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REFUND POLICY</w:t>
      </w:r>
    </w:p>
    <w:p/>
    <w:p>
      <w:r>
        <w:t>Last Updated: [DATE]</w:t>
      </w:r>
    </w:p>
    <w:p/>
    <w:p>
      <w:r>
        <w:t>Thank you for subscribing to [Company Name, LLC].</w:t>
      </w:r>
    </w:p>
    <w:p/>
    <w:p>
      <w:r>
        <w:t>All subscription fees are non-refundable. This includes partial periods, unused time, or dissatisfaction with the service.</w:t>
      </w:r>
    </w:p>
    <w:p/>
    <w:p>
      <w:r>
        <w:t>You may cancel your subscription at any time. Access will continue until the end of the current billing period, and you will not be charged again.</w:t>
      </w:r>
    </w:p>
    <w:p/>
    <w:p>
      <w:r>
        <w:t>Chargebacks may result in account suspension.</w:t>
      </w:r>
    </w:p>
    <w:p/>
    <w:p>
      <w:r>
        <w:t>Refunds may be issued only at the Company’s discretion for duplicate charges or technical errors.</w:t>
      </w:r>
    </w:p>
    <w:p/>
    <w:p>
      <w:r>
        <w:t>For questions, contact support@[yourdomain].com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