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006148" w:rsidR="00703828" w:rsidP="00703828" w:rsidRDefault="00703828" w14:paraId="44884B87" w14:textId="3B2B345A">
      <w:pPr>
        <w:pStyle w:val="Title"/>
        <w:rPr>
          <w:rFonts w:asciiTheme="minorHAnsi" w:hAnsiTheme="minorHAnsi" w:cstheme="minorHAnsi"/>
          <w:sz w:val="36"/>
        </w:rPr>
      </w:pPr>
      <w:r w:rsidRPr="00006148">
        <w:rPr>
          <w:rFonts w:asciiTheme="minorHAnsi" w:hAnsiTheme="minorHAnsi" w:cstheme="minorHAnsi"/>
          <w:sz w:val="36"/>
        </w:rPr>
        <w:t>APC0</w:t>
      </w:r>
      <w:r w:rsidR="00366F5C">
        <w:rPr>
          <w:rFonts w:asciiTheme="minorHAnsi" w:hAnsiTheme="minorHAnsi" w:cstheme="minorHAnsi"/>
          <w:sz w:val="36"/>
        </w:rPr>
        <w:t>2</w:t>
      </w:r>
      <w:r w:rsidR="00D946A1">
        <w:rPr>
          <w:rFonts w:asciiTheme="minorHAnsi" w:hAnsiTheme="minorHAnsi" w:cstheme="minorHAnsi"/>
          <w:sz w:val="36"/>
        </w:rPr>
        <w:t>6</w:t>
      </w:r>
      <w:r w:rsidR="008868CA">
        <w:rPr>
          <w:rFonts w:asciiTheme="minorHAnsi" w:hAnsiTheme="minorHAnsi" w:cstheme="minorHAnsi"/>
          <w:sz w:val="36"/>
        </w:rPr>
        <w:t>4</w:t>
      </w:r>
      <w:r w:rsidRPr="00006148">
        <w:rPr>
          <w:rFonts w:asciiTheme="minorHAnsi" w:hAnsiTheme="minorHAnsi" w:cstheme="minorHAnsi"/>
          <w:sz w:val="36"/>
        </w:rPr>
        <w:t xml:space="preserve"> ABL Data Report</w:t>
      </w:r>
      <w:r w:rsidR="003E6800">
        <w:rPr>
          <w:rFonts w:asciiTheme="minorHAnsi" w:hAnsiTheme="minorHAnsi" w:cstheme="minorHAnsi"/>
          <w:sz w:val="36"/>
        </w:rPr>
        <w:t xml:space="preserve"> – </w:t>
      </w:r>
      <w:proofErr w:type="spellStart"/>
      <w:r w:rsidR="008868CA">
        <w:rPr>
          <w:rFonts w:asciiTheme="minorHAnsi" w:hAnsiTheme="minorHAnsi" w:cstheme="minorHAnsi"/>
          <w:sz w:val="36"/>
        </w:rPr>
        <w:t>Perley</w:t>
      </w:r>
      <w:proofErr w:type="spellEnd"/>
      <w:r w:rsidR="008868CA">
        <w:rPr>
          <w:rFonts w:asciiTheme="minorHAnsi" w:hAnsiTheme="minorHAnsi" w:cstheme="minorHAnsi"/>
          <w:sz w:val="36"/>
        </w:rPr>
        <w:t xml:space="preserve"> Offshore Collection</w:t>
      </w:r>
    </w:p>
    <w:p w:rsidRPr="007836CA" w:rsidR="00703828" w:rsidP="00E014E3" w:rsidRDefault="00703828" w14:paraId="3BC6451F" w14:textId="77777777">
      <w:pPr>
        <w:pStyle w:val="Heading2"/>
      </w:pPr>
      <w:r w:rsidRPr="007836CA">
        <w:t>Objectives (from Work Plan Agreement)</w:t>
      </w:r>
    </w:p>
    <w:p w:rsidR="00703828" w:rsidP="00E014E3" w:rsidRDefault="008F0BE3" w14:paraId="40569040" w14:textId="26C4F750">
      <w:pPr>
        <w:pStyle w:val="ListParagraph"/>
        <w:numPr>
          <w:ilvl w:val="0"/>
          <w:numId w:val="2"/>
        </w:numPr>
      </w:pPr>
      <w:r>
        <w:t xml:space="preserve">Extract </w:t>
      </w:r>
      <w:r w:rsidR="003E6800">
        <w:t xml:space="preserve">and quantify </w:t>
      </w:r>
      <w:r w:rsidR="008868CA">
        <w:t>140</w:t>
      </w:r>
      <w:r w:rsidR="003E6800">
        <w:t xml:space="preserve"> eDNA samples</w:t>
      </w:r>
      <w:r w:rsidR="008868CA">
        <w:t>.</w:t>
      </w:r>
    </w:p>
    <w:p w:rsidR="008868CA" w:rsidP="008868CA" w:rsidRDefault="008868CA" w14:paraId="4831E772" w14:textId="73A6B4A1">
      <w:pPr>
        <w:pStyle w:val="ListParagraph"/>
        <w:numPr>
          <w:ilvl w:val="0"/>
          <w:numId w:val="2"/>
        </w:numPr>
      </w:pPr>
      <w:r>
        <w:t xml:space="preserve">Optimize Atlantic halibut, Atlantic cod, and </w:t>
      </w:r>
      <w:r w:rsidR="00085D5C">
        <w:t>Atlantic w</w:t>
      </w:r>
      <w:r>
        <w:t>olffish qPCR assays.</w:t>
      </w:r>
    </w:p>
    <w:p w:rsidR="008868CA" w:rsidP="008868CA" w:rsidRDefault="008868CA" w14:paraId="3D88CDD1" w14:textId="4230D67A">
      <w:pPr>
        <w:pStyle w:val="ListParagraph"/>
        <w:numPr>
          <w:ilvl w:val="0"/>
          <w:numId w:val="2"/>
        </w:numPr>
      </w:pPr>
      <w:r>
        <w:t>Apply optimized qPCR assays to a subset of (114) extracted samples.</w:t>
      </w:r>
    </w:p>
    <w:p w:rsidR="008868CA" w:rsidP="008868CA" w:rsidRDefault="008868CA" w14:paraId="34398D7F" w14:textId="5FC6DEA1">
      <w:pPr>
        <w:pStyle w:val="ListParagraph"/>
        <w:numPr>
          <w:ilvl w:val="0"/>
          <w:numId w:val="2"/>
        </w:numPr>
      </w:pPr>
      <w:r>
        <w:t>Develop metabarcoding libraries for COI</w:t>
      </w:r>
      <w:r w:rsidR="009D74B6">
        <w:t>-1 (Cytochrome oxidase I)</w:t>
      </w:r>
      <w:r>
        <w:t xml:space="preserve"> and 12S </w:t>
      </w:r>
      <w:r w:rsidR="00942C76">
        <w:t xml:space="preserve">(ribosomal RNA) </w:t>
      </w:r>
      <w:r>
        <w:t>for a total of 4 libraries</w:t>
      </w:r>
      <w:r w:rsidR="00FB74B4">
        <w:t>.</w:t>
      </w:r>
    </w:p>
    <w:p w:rsidR="008868CA" w:rsidP="008868CA" w:rsidRDefault="008868CA" w14:paraId="1EF600AE" w14:textId="2A47DF0B">
      <w:pPr>
        <w:pStyle w:val="ListParagraph"/>
        <w:numPr>
          <w:ilvl w:val="0"/>
          <w:numId w:val="2"/>
        </w:numPr>
      </w:pPr>
      <w:r>
        <w:t xml:space="preserve">Sequence COI and 12S libraries on </w:t>
      </w:r>
      <w:proofErr w:type="spellStart"/>
      <w:r>
        <w:t>MiSeq</w:t>
      </w:r>
      <w:proofErr w:type="spellEnd"/>
      <w:r w:rsidR="00FB74B4">
        <w:t>.</w:t>
      </w:r>
    </w:p>
    <w:p w:rsidRPr="00D946A1" w:rsidR="00D946A1" w:rsidP="008868CA" w:rsidRDefault="008868CA" w14:paraId="4B76785F" w14:textId="6C812D6F">
      <w:pPr>
        <w:pStyle w:val="ListParagraph"/>
        <w:numPr>
          <w:ilvl w:val="0"/>
          <w:numId w:val="2"/>
        </w:numPr>
      </w:pPr>
      <w:r>
        <w:t>Provide raw sequencing data and corresponding sample index information</w:t>
      </w:r>
      <w:bookmarkStart w:name="_Hlk181283884" w:id="0"/>
      <w:r>
        <w:t>.</w:t>
      </w:r>
    </w:p>
    <w:bookmarkEnd w:id="0"/>
    <w:p w:rsidR="00067949" w:rsidP="00E014E3" w:rsidRDefault="00D946A1" w14:paraId="087C18AB" w14:textId="5C7D77B8">
      <w:pPr>
        <w:pStyle w:val="ListParagraph"/>
        <w:numPr>
          <w:ilvl w:val="0"/>
          <w:numId w:val="2"/>
        </w:numPr>
      </w:pPr>
      <w:r w:rsidRPr="00D946A1">
        <w:t>Provide ABL Report upon completion of the project</w:t>
      </w:r>
      <w:r w:rsidR="008868CA">
        <w:t>.</w:t>
      </w:r>
    </w:p>
    <w:p w:rsidR="00560198" w:rsidP="00E014E3" w:rsidRDefault="00444954" w14:paraId="07985519" w14:textId="22446B76">
      <w:pPr>
        <w:pStyle w:val="Heading2"/>
      </w:pPr>
      <w:r>
        <w:t xml:space="preserve">1. </w:t>
      </w:r>
      <w:r w:rsidR="00FB74B4">
        <w:t xml:space="preserve"> </w:t>
      </w:r>
      <w:r w:rsidRPr="00560198" w:rsidR="00D61A74">
        <w:rPr>
          <w:lang w:val="en-US"/>
        </w:rPr>
        <w:t>S</w:t>
      </w:r>
      <w:r w:rsidRPr="00560198" w:rsidR="00544334">
        <w:rPr>
          <w:lang w:val="en-US"/>
        </w:rPr>
        <w:t>ample Extraction</w:t>
      </w:r>
      <w:r w:rsidR="00E93EC5">
        <w:rPr>
          <w:lang w:val="en-US"/>
        </w:rPr>
        <w:t xml:space="preserve"> &amp;</w:t>
      </w:r>
      <w:r w:rsidRPr="00560198" w:rsidR="00544334">
        <w:rPr>
          <w:lang w:val="en-US"/>
        </w:rPr>
        <w:t xml:space="preserve"> Quantification </w:t>
      </w:r>
      <w:r w:rsidRPr="00560198" w:rsidR="00E7163A">
        <w:rPr>
          <w:lang w:val="en-US"/>
        </w:rPr>
        <w:tab/>
      </w:r>
      <w:r w:rsidR="00D946A1">
        <w:t xml:space="preserve"> </w:t>
      </w:r>
    </w:p>
    <w:p w:rsidR="00BE438A" w:rsidP="0031676A" w:rsidRDefault="003E6800" w14:paraId="20F44D95" w14:textId="6A859706">
      <w:pPr>
        <w:spacing w:after="120"/>
        <w:ind w:firstLine="720"/>
      </w:pPr>
      <w:r>
        <w:t xml:space="preserve">A total of </w:t>
      </w:r>
      <w:r w:rsidR="00B00E30">
        <w:t xml:space="preserve">140 </w:t>
      </w:r>
      <w:r>
        <w:t>samples</w:t>
      </w:r>
      <w:r w:rsidR="00D2178C">
        <w:t xml:space="preserve"> </w:t>
      </w:r>
      <w:r>
        <w:t>were received</w:t>
      </w:r>
      <w:r w:rsidR="00B00E30">
        <w:t>.  Of those, 17 were “sponge” fiber filters preserved in DNA</w:t>
      </w:r>
      <w:r w:rsidR="00085D5C">
        <w:t xml:space="preserve">/RNA </w:t>
      </w:r>
      <w:r w:rsidR="00B00E30">
        <w:t>Shield</w:t>
      </w:r>
      <w:r w:rsidR="00085D5C">
        <w:t xml:space="preserve"> (</w:t>
      </w:r>
      <w:proofErr w:type="spellStart"/>
      <w:r w:rsidR="00085D5C">
        <w:t>Zymo</w:t>
      </w:r>
      <w:proofErr w:type="spellEnd"/>
      <w:r w:rsidR="00085D5C">
        <w:t xml:space="preserve"> Research)</w:t>
      </w:r>
      <w:r w:rsidR="00B00E30">
        <w:t xml:space="preserve"> and 123 were </w:t>
      </w:r>
      <w:proofErr w:type="spellStart"/>
      <w:r w:rsidR="00B00E30">
        <w:t>SmithRoot</w:t>
      </w:r>
      <w:proofErr w:type="spellEnd"/>
      <w:r w:rsidR="00B00E30">
        <w:t xml:space="preserve"> filters preserved in ethanol. </w:t>
      </w:r>
      <w:r w:rsidR="00D2178C">
        <w:t xml:space="preserve"> </w:t>
      </w:r>
      <w:r w:rsidR="004A4E47">
        <w:t>These were a collection of samples from 44 s</w:t>
      </w:r>
      <w:r w:rsidR="009930C6">
        <w:t xml:space="preserve">tations along St. Ann’s Bank (SAB) and the AZMP. </w:t>
      </w:r>
      <w:r w:rsidR="005C4E77">
        <w:t>There were 123 samples (</w:t>
      </w:r>
      <w:r w:rsidR="009930C6">
        <w:t xml:space="preserve">each station </w:t>
      </w:r>
      <w:r w:rsidR="004A4E47">
        <w:t xml:space="preserve">had </w:t>
      </w:r>
      <w:r w:rsidR="00891C61">
        <w:t xml:space="preserve">at least </w:t>
      </w:r>
      <w:r w:rsidR="004A4E47">
        <w:t>three sample replicates</w:t>
      </w:r>
      <w:r w:rsidR="005C4E77">
        <w:t>)</w:t>
      </w:r>
      <w:r w:rsidR="009930C6">
        <w:t>,</w:t>
      </w:r>
      <w:r w:rsidR="005C4E77">
        <w:t xml:space="preserve"> and 11</w:t>
      </w:r>
      <w:r w:rsidR="009930C6">
        <w:t xml:space="preserve"> Field Blank</w:t>
      </w:r>
      <w:r w:rsidR="005C4E77">
        <w:t>s</w:t>
      </w:r>
      <w:r w:rsidR="004A4E47">
        <w:t xml:space="preserve"> </w:t>
      </w:r>
      <w:r w:rsidR="00E014E3">
        <w:t xml:space="preserve">(see Table 1). </w:t>
      </w:r>
    </w:p>
    <w:p w:rsidR="00560198" w:rsidP="0031676A" w:rsidRDefault="005C4E77" w14:paraId="7C7BD863" w14:textId="47044BE7">
      <w:pPr>
        <w:spacing w:after="120"/>
        <w:ind w:firstLine="720"/>
      </w:pPr>
      <w:r>
        <w:t>For the extraction</w:t>
      </w:r>
      <w:r w:rsidR="0024339E">
        <w:t>s</w:t>
      </w:r>
      <w:r>
        <w:t>, a</w:t>
      </w:r>
      <w:r w:rsidR="000B73C5">
        <w:t xml:space="preserve">ll </w:t>
      </w:r>
      <w:r>
        <w:t xml:space="preserve">sample </w:t>
      </w:r>
      <w:r w:rsidR="000B73C5">
        <w:t>filter</w:t>
      </w:r>
      <w:r>
        <w:t>s</w:t>
      </w:r>
      <w:r w:rsidR="000B73C5">
        <w:t xml:space="preserve"> were cut in half and processed </w:t>
      </w:r>
      <w:r>
        <w:t xml:space="preserve">according to </w:t>
      </w:r>
      <w:r w:rsidR="003A186A">
        <w:t>ABL’s eDNA extraction protocol</w:t>
      </w:r>
      <w:r>
        <w:t xml:space="preserve">. </w:t>
      </w:r>
      <w:r w:rsidR="0024339E">
        <w:t>T</w:t>
      </w:r>
      <w:r>
        <w:t>his</w:t>
      </w:r>
      <w:r w:rsidR="0024339E">
        <w:t xml:space="preserve"> particular</w:t>
      </w:r>
      <w:r>
        <w:t xml:space="preserve"> protocol </w:t>
      </w:r>
      <w:r w:rsidR="003A186A">
        <w:t>utilize</w:t>
      </w:r>
      <w:r>
        <w:t>d</w:t>
      </w:r>
      <w:r w:rsidR="00E014E3">
        <w:t xml:space="preserve"> </w:t>
      </w:r>
      <w:r w:rsidR="003A186A">
        <w:t xml:space="preserve">the </w:t>
      </w:r>
      <w:proofErr w:type="spellStart"/>
      <w:r w:rsidR="003A186A">
        <w:t>QIACube</w:t>
      </w:r>
      <w:proofErr w:type="spellEnd"/>
      <w:r w:rsidR="003A186A">
        <w:t xml:space="preserve"> Connect (Qiagen) and a modified version of the </w:t>
      </w:r>
      <w:r w:rsidR="00E014E3">
        <w:t>Qiagen DNeasy</w:t>
      </w:r>
      <w:r w:rsidR="00D2178C">
        <w:t xml:space="preserve"> </w:t>
      </w:r>
      <w:r>
        <w:t>Blood and Tissue</w:t>
      </w:r>
      <w:r w:rsidR="003A186A">
        <w:t xml:space="preserve"> </w:t>
      </w:r>
      <w:r>
        <w:t>K</w:t>
      </w:r>
      <w:r w:rsidR="003A186A">
        <w:t>it</w:t>
      </w:r>
      <w:r>
        <w:t xml:space="preserve"> (240).</w:t>
      </w:r>
      <w:r w:rsidR="003A186A">
        <w:t xml:space="preserve"> </w:t>
      </w:r>
      <w:r w:rsidR="0024339E">
        <w:t xml:space="preserve">Each set of extractions consisted of 11 samples and one </w:t>
      </w:r>
      <w:r w:rsidR="003A186A">
        <w:t xml:space="preserve">Extraction Negative </w:t>
      </w:r>
      <w:r w:rsidR="000B73C5">
        <w:t>(ENEG)</w:t>
      </w:r>
      <w:r w:rsidR="003A186A">
        <w:t xml:space="preserve">. </w:t>
      </w:r>
      <w:r w:rsidR="000B73C5">
        <w:t xml:space="preserve">All </w:t>
      </w:r>
      <w:r w:rsidR="0024339E">
        <w:t xml:space="preserve">extracted samples, Field Blanks, and </w:t>
      </w:r>
      <w:r w:rsidR="000B73C5">
        <w:t xml:space="preserve">ENEGs were </w:t>
      </w:r>
      <w:r w:rsidR="00560198">
        <w:t xml:space="preserve">quantified using the Qubit </w:t>
      </w:r>
      <w:r w:rsidR="000B73C5">
        <w:t>Fluorometer with</w:t>
      </w:r>
      <w:r w:rsidR="0024339E">
        <w:t xml:space="preserve"> the </w:t>
      </w:r>
      <w:r w:rsidR="00560198">
        <w:t>ds</w:t>
      </w:r>
      <w:r w:rsidR="000B73C5">
        <w:t>DNA</w:t>
      </w:r>
      <w:r w:rsidR="00560198">
        <w:t xml:space="preserve"> H</w:t>
      </w:r>
      <w:r w:rsidR="000B73C5">
        <w:t xml:space="preserve">igh </w:t>
      </w:r>
      <w:r w:rsidR="00560198">
        <w:t>S</w:t>
      </w:r>
      <w:r w:rsidR="000B73C5">
        <w:t>ensitivity</w:t>
      </w:r>
      <w:r w:rsidR="00560198">
        <w:t xml:space="preserve"> </w:t>
      </w:r>
      <w:r w:rsidR="0024339E">
        <w:t>A</w:t>
      </w:r>
      <w:r w:rsidR="00560198">
        <w:t>ssay</w:t>
      </w:r>
      <w:r w:rsidR="0024339E">
        <w:t xml:space="preserve"> Kit</w:t>
      </w:r>
      <w:r w:rsidR="000B73C5">
        <w:t xml:space="preserve"> (</w:t>
      </w:r>
      <w:proofErr w:type="spellStart"/>
      <w:r w:rsidR="000B73C5">
        <w:t>ThermoFisher</w:t>
      </w:r>
      <w:proofErr w:type="spellEnd"/>
      <w:r w:rsidR="000B73C5">
        <w:t>)</w:t>
      </w:r>
      <w:r w:rsidR="00560198">
        <w:t xml:space="preserve">. </w:t>
      </w:r>
    </w:p>
    <w:p w:rsidR="00085D5C" w:rsidP="0031676A" w:rsidRDefault="00085D5C" w14:paraId="237C7678" w14:textId="70AAEA59">
      <w:pPr>
        <w:spacing w:after="120"/>
        <w:ind w:firstLine="720"/>
      </w:pPr>
      <w:r>
        <w:t xml:space="preserve">The </w:t>
      </w:r>
      <w:r w:rsidR="00506863">
        <w:t xml:space="preserve">highest </w:t>
      </w:r>
      <w:r>
        <w:t>eDNA concentrations were</w:t>
      </w:r>
      <w:r w:rsidR="00506863">
        <w:t xml:space="preserve"> observed in samples from the CURDO stations (see Table 1). The lowest concentrations were observed in the </w:t>
      </w:r>
      <w:r>
        <w:t>samples collected from AZMP, as well as those that were preserved in DNA/RNA Shield. The latter did not incorporate well into the DNeasy buffers</w:t>
      </w:r>
      <w:r w:rsidR="00506863">
        <w:t xml:space="preserve">, despite claims from the manufacturer. It is recommended that </w:t>
      </w:r>
      <w:r>
        <w:t xml:space="preserve">using a DNA purification kit from </w:t>
      </w:r>
      <w:proofErr w:type="spellStart"/>
      <w:r>
        <w:t>Zymo</w:t>
      </w:r>
      <w:proofErr w:type="spellEnd"/>
      <w:r>
        <w:t xml:space="preserve"> Research</w:t>
      </w:r>
      <w:r w:rsidR="00506863">
        <w:t xml:space="preserve"> would be more compatible with the buffer/kit chemistry</w:t>
      </w:r>
      <w:r w:rsidR="000B6627">
        <w:t xml:space="preserve">. </w:t>
      </w:r>
    </w:p>
    <w:p w:rsidR="00446528" w:rsidP="0031676A" w:rsidRDefault="00446528" w14:paraId="167E9C20" w14:textId="1C319D91">
      <w:pPr>
        <w:spacing w:after="120"/>
        <w:ind w:firstLine="720"/>
      </w:pPr>
      <w:r w:rsidR="00446528">
        <w:rPr/>
        <w:t xml:space="preserve">All ENEGs had DNA concentrations that were below quantifiable limits (BQL) for the Qubit </w:t>
      </w:r>
      <w:r w:rsidR="00446528">
        <w:rPr/>
        <w:t>Fluorometer and</w:t>
      </w:r>
      <w:r w:rsidR="00446528">
        <w:rPr/>
        <w:t xml:space="preserve"> considered to be 0</w:t>
      </w:r>
      <w:r w:rsidR="00ED2059">
        <w:rPr/>
        <w:t xml:space="preserve"> </w:t>
      </w:r>
      <w:r w:rsidR="00446528">
        <w:rPr/>
        <w:t>ng/</w:t>
      </w:r>
      <w:r w:rsidRPr="622D080B" w:rsidR="00446528">
        <w:rPr>
          <w:rFonts w:cs="Calibri" w:cstheme="minorAscii"/>
        </w:rPr>
        <w:t>µ</w:t>
      </w:r>
      <w:r w:rsidR="00446528">
        <w:rPr/>
        <w:t>L. The Field Blanks for the DNA/RNA Shield</w:t>
      </w:r>
      <w:r w:rsidR="00732FDE">
        <w:rPr/>
        <w:t>-</w:t>
      </w:r>
      <w:r w:rsidR="00446528">
        <w:rPr/>
        <w:t>preserved collection were also BQL. However, all other Field Blanks had DNA concentrations that were detectable (Table 1). This may have implications for downstream analyses (see qPCR application section).</w:t>
      </w:r>
    </w:p>
    <w:p w:rsidRPr="00372B9C" w:rsidR="00372B9C" w:rsidP="0031676A" w:rsidRDefault="00372B9C" w14:paraId="57C45EC7" w14:textId="77777777">
      <w:pPr>
        <w:spacing w:after="0" w:line="240" w:lineRule="auto"/>
        <w:rPr>
          <w:b/>
        </w:rPr>
      </w:pPr>
    </w:p>
    <w:p w:rsidR="0031676A" w:rsidP="0031676A" w:rsidRDefault="0031676A" w14:paraId="6B495769" w14:textId="212C5942">
      <w:pPr>
        <w:spacing w:after="0" w:line="240" w:lineRule="auto"/>
        <w:rPr>
          <w:sz w:val="20"/>
          <w:szCs w:val="20"/>
        </w:rPr>
      </w:pPr>
      <w:r w:rsidRPr="00372B9C">
        <w:rPr>
          <w:b/>
        </w:rPr>
        <w:t>Table 1:</w:t>
      </w:r>
      <w:r w:rsidRPr="00372B9C">
        <w:t xml:space="preserve"> </w:t>
      </w:r>
      <w:r w:rsidR="00372B9C">
        <w:t xml:space="preserve">The number </w:t>
      </w:r>
      <w:r w:rsidR="0024330E">
        <w:t xml:space="preserve">of </w:t>
      </w:r>
      <w:r w:rsidRPr="00372B9C">
        <w:t>eDNA filter samples</w:t>
      </w:r>
      <w:r w:rsidR="00372B9C">
        <w:t xml:space="preserve"> and Field Blanks</w:t>
      </w:r>
      <w:r w:rsidRPr="00372B9C">
        <w:t xml:space="preserve"> </w:t>
      </w:r>
      <w:r w:rsidR="00372B9C">
        <w:t>processed from each station</w:t>
      </w:r>
      <w:r w:rsidRPr="00372B9C">
        <w:t xml:space="preserve">, </w:t>
      </w:r>
      <w:r w:rsidR="00372B9C">
        <w:t xml:space="preserve">as well the average eDNA concentration of samples by station. </w:t>
      </w:r>
    </w:p>
    <w:tbl>
      <w:tblPr>
        <w:tblStyle w:val="GridTable1Light"/>
        <w:tblW w:w="9360" w:type="dxa"/>
        <w:tblLook w:val="04A0" w:firstRow="1" w:lastRow="0" w:firstColumn="1" w:lastColumn="0" w:noHBand="0" w:noVBand="1"/>
      </w:tblPr>
      <w:tblGrid>
        <w:gridCol w:w="1342"/>
        <w:gridCol w:w="1131"/>
        <w:gridCol w:w="1431"/>
        <w:gridCol w:w="1203"/>
        <w:gridCol w:w="1302"/>
        <w:gridCol w:w="1520"/>
        <w:gridCol w:w="1431"/>
      </w:tblGrid>
      <w:tr w:rsidRPr="0031676A" w:rsidR="00891C61" w:rsidTr="00E925E2" w14:paraId="685DEDA3" w14:textId="0E4085C7">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342" w:type="dxa"/>
          </w:tcPr>
          <w:p w:rsidRPr="00B42B87" w:rsidR="00372B9C" w:rsidP="005C4E77" w:rsidRDefault="00372B9C" w14:paraId="2C61E086" w14:textId="40A75681">
            <w:pPr>
              <w:rPr>
                <w:rFonts w:eastAsia="Times New Roman" w:cstheme="minorHAnsi"/>
                <w:b w:val="0"/>
                <w:bCs w:val="0"/>
                <w:color w:val="000000"/>
                <w:lang w:val="en-US"/>
              </w:rPr>
            </w:pPr>
            <w:r w:rsidRPr="00B42B87">
              <w:rPr>
                <w:rFonts w:eastAsia="Times New Roman" w:cstheme="minorHAnsi"/>
                <w:color w:val="000000"/>
                <w:lang w:val="en-US"/>
              </w:rPr>
              <w:t>Station</w:t>
            </w:r>
          </w:p>
        </w:tc>
        <w:tc>
          <w:tcPr>
            <w:tcW w:w="1131" w:type="dxa"/>
          </w:tcPr>
          <w:p w:rsidRPr="00B42B87" w:rsidR="00372B9C" w:rsidP="005C4E77" w:rsidRDefault="00372B9C" w14:paraId="41EF4561" w14:textId="4756E230">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US"/>
              </w:rPr>
            </w:pPr>
            <w:r w:rsidRPr="00B42B87">
              <w:rPr>
                <w:rFonts w:eastAsia="Times New Roman" w:cstheme="minorHAnsi"/>
                <w:color w:val="000000"/>
                <w:lang w:val="en-US"/>
              </w:rPr>
              <w:t>Collection</w:t>
            </w:r>
          </w:p>
        </w:tc>
        <w:tc>
          <w:tcPr>
            <w:tcW w:w="1431" w:type="dxa"/>
          </w:tcPr>
          <w:p w:rsidRPr="00B42B87" w:rsidR="00372B9C" w:rsidP="005C4E77" w:rsidRDefault="00125283" w14:paraId="6E775FA8" w14:textId="3A212128">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US"/>
              </w:rPr>
            </w:pPr>
            <w:r w:rsidRPr="00B42B87">
              <w:rPr>
                <w:rFonts w:eastAsia="Times New Roman" w:cstheme="minorHAnsi"/>
                <w:color w:val="000000"/>
                <w:lang w:val="en-US"/>
              </w:rPr>
              <w:t>Preservative</w:t>
            </w:r>
          </w:p>
        </w:tc>
        <w:tc>
          <w:tcPr>
            <w:tcW w:w="1203" w:type="dxa"/>
          </w:tcPr>
          <w:p w:rsidRPr="00B42B87" w:rsidR="00372B9C" w:rsidP="005C4E77" w:rsidRDefault="00125283" w14:paraId="134565C5" w14:textId="319BAE8C">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US"/>
              </w:rPr>
            </w:pPr>
            <w:r w:rsidRPr="00B42B87">
              <w:rPr>
                <w:rFonts w:eastAsia="Times New Roman" w:cstheme="minorHAnsi"/>
                <w:color w:val="000000"/>
                <w:lang w:val="en-US"/>
              </w:rPr>
              <w:t>No. of Replicates</w:t>
            </w:r>
          </w:p>
        </w:tc>
        <w:tc>
          <w:tcPr>
            <w:tcW w:w="1302" w:type="dxa"/>
          </w:tcPr>
          <w:p w:rsidRPr="00B42B87" w:rsidR="00372B9C" w:rsidP="005C4E77" w:rsidRDefault="00372B9C" w14:paraId="5579BA47" w14:textId="0227B1D8">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US"/>
              </w:rPr>
            </w:pPr>
            <w:r w:rsidRPr="00B42B87">
              <w:rPr>
                <w:rFonts w:eastAsia="Times New Roman" w:cstheme="minorHAnsi"/>
                <w:color w:val="000000"/>
                <w:lang w:val="en-US"/>
              </w:rPr>
              <w:t>No. of Field Blanks</w:t>
            </w:r>
          </w:p>
        </w:tc>
        <w:tc>
          <w:tcPr>
            <w:tcW w:w="1520" w:type="dxa"/>
          </w:tcPr>
          <w:p w:rsidRPr="00B42B87" w:rsidR="00372B9C" w:rsidP="005C4E77" w:rsidRDefault="00372B9C" w14:paraId="1D87DD0F" w14:textId="6D9E4AEA">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US"/>
              </w:rPr>
            </w:pPr>
            <w:r w:rsidRPr="00B42B87">
              <w:rPr>
                <w:rFonts w:eastAsia="Times New Roman" w:cstheme="minorHAnsi"/>
                <w:color w:val="000000"/>
                <w:lang w:val="en-US"/>
              </w:rPr>
              <w:t>Aver. eDNA Sample Conc. (ng/µL)</w:t>
            </w:r>
          </w:p>
        </w:tc>
        <w:tc>
          <w:tcPr>
            <w:tcW w:w="1431" w:type="dxa"/>
          </w:tcPr>
          <w:p w:rsidRPr="00B42B87" w:rsidR="00372B9C" w:rsidP="005C4E77" w:rsidRDefault="00372B9C" w14:paraId="5C58EEAB" w14:textId="51519A6B">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US"/>
              </w:rPr>
            </w:pPr>
            <w:r w:rsidRPr="00B42B87">
              <w:rPr>
                <w:rFonts w:eastAsia="Times New Roman" w:cstheme="minorHAnsi"/>
                <w:color w:val="000000"/>
                <w:lang w:val="en-US"/>
              </w:rPr>
              <w:t>Field Blank Conc. (ng/µL)</w:t>
            </w:r>
          </w:p>
        </w:tc>
      </w:tr>
      <w:tr w:rsidR="00125283" w:rsidTr="00E925E2" w14:paraId="679A08C2"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596A8FC6" w14:textId="77777777">
            <w:pPr>
              <w:rPr>
                <w:rFonts w:cstheme="minorHAnsi"/>
                <w:color w:val="000000"/>
                <w:sz w:val="20"/>
                <w:szCs w:val="20"/>
              </w:rPr>
            </w:pPr>
            <w:r w:rsidRPr="00B42B87">
              <w:rPr>
                <w:rFonts w:cstheme="minorHAnsi"/>
                <w:color w:val="000000"/>
                <w:sz w:val="20"/>
                <w:szCs w:val="20"/>
              </w:rPr>
              <w:t>BBL_05</w:t>
            </w:r>
          </w:p>
        </w:tc>
        <w:tc>
          <w:tcPr>
            <w:tcW w:w="1131" w:type="dxa"/>
            <w:noWrap/>
            <w:hideMark/>
          </w:tcPr>
          <w:p w:rsidRPr="00B42B87" w:rsidR="00372B9C" w:rsidRDefault="00372B9C" w14:paraId="681A8AF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372B9C" w:rsidRDefault="00372B9C" w14:paraId="5D526FD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3E9853FB"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w:t>
            </w:r>
          </w:p>
        </w:tc>
        <w:tc>
          <w:tcPr>
            <w:tcW w:w="1302" w:type="dxa"/>
            <w:noWrap/>
            <w:hideMark/>
          </w:tcPr>
          <w:p w:rsidRPr="00B42B87" w:rsidR="00372B9C" w:rsidP="0024330E" w:rsidRDefault="00372B9C" w14:paraId="74DAA0B8"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02549933"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2.10</w:t>
            </w:r>
          </w:p>
        </w:tc>
        <w:tc>
          <w:tcPr>
            <w:tcW w:w="1431" w:type="dxa"/>
            <w:noWrap/>
            <w:hideMark/>
          </w:tcPr>
          <w:p w:rsidRPr="00B42B87" w:rsidR="00372B9C" w:rsidP="0024330E" w:rsidRDefault="00372B9C" w14:paraId="0285F1CD"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3A90F8CD"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1B4EEFAA" w14:textId="77777777">
            <w:pPr>
              <w:rPr>
                <w:rFonts w:cstheme="minorHAnsi"/>
                <w:color w:val="000000"/>
                <w:sz w:val="20"/>
                <w:szCs w:val="20"/>
              </w:rPr>
            </w:pPr>
            <w:r w:rsidRPr="00B42B87">
              <w:rPr>
                <w:rFonts w:cstheme="minorHAnsi"/>
                <w:color w:val="000000"/>
                <w:sz w:val="20"/>
                <w:szCs w:val="20"/>
              </w:rPr>
              <w:t>BBL_07</w:t>
            </w:r>
          </w:p>
        </w:tc>
        <w:tc>
          <w:tcPr>
            <w:tcW w:w="1131" w:type="dxa"/>
            <w:noWrap/>
            <w:hideMark/>
          </w:tcPr>
          <w:p w:rsidRPr="00B42B87" w:rsidR="00372B9C" w:rsidRDefault="00372B9C" w14:paraId="3E4CFBE3"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372B9C" w:rsidRDefault="00372B9C" w14:paraId="2A6816F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76460A52"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w:t>
            </w:r>
          </w:p>
        </w:tc>
        <w:tc>
          <w:tcPr>
            <w:tcW w:w="1302" w:type="dxa"/>
            <w:noWrap/>
            <w:hideMark/>
          </w:tcPr>
          <w:p w:rsidRPr="00B42B87" w:rsidR="00372B9C" w:rsidP="0024330E" w:rsidRDefault="00372B9C" w14:paraId="7806F102"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3D58D86E"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0.358</w:t>
            </w:r>
          </w:p>
        </w:tc>
        <w:tc>
          <w:tcPr>
            <w:tcW w:w="1431" w:type="dxa"/>
            <w:noWrap/>
            <w:hideMark/>
          </w:tcPr>
          <w:p w:rsidRPr="00B42B87" w:rsidR="00372B9C" w:rsidP="0024330E" w:rsidRDefault="00372B9C" w14:paraId="1473D3CC"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7EBB558F"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66A59315" w14:textId="77777777">
            <w:pPr>
              <w:rPr>
                <w:rFonts w:cstheme="minorHAnsi"/>
                <w:color w:val="000000"/>
                <w:sz w:val="20"/>
                <w:szCs w:val="20"/>
              </w:rPr>
            </w:pPr>
            <w:r w:rsidRPr="00B42B87">
              <w:rPr>
                <w:rFonts w:cstheme="minorHAnsi"/>
                <w:color w:val="000000"/>
                <w:sz w:val="20"/>
                <w:szCs w:val="20"/>
              </w:rPr>
              <w:t>CAM_13C</w:t>
            </w:r>
          </w:p>
        </w:tc>
        <w:tc>
          <w:tcPr>
            <w:tcW w:w="1131" w:type="dxa"/>
            <w:noWrap/>
            <w:hideMark/>
          </w:tcPr>
          <w:p w:rsidRPr="00B42B87" w:rsidR="00372B9C" w:rsidRDefault="00372B9C" w14:paraId="790878D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55101B94" w14:textId="69F5363F">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DNA</w:t>
            </w:r>
            <w:r w:rsidRPr="00B42B87" w:rsidR="00085D5C">
              <w:rPr>
                <w:rFonts w:cstheme="minorHAnsi"/>
                <w:color w:val="000000"/>
                <w:sz w:val="20"/>
                <w:szCs w:val="20"/>
              </w:rPr>
              <w:t xml:space="preserve"> </w:t>
            </w:r>
            <w:r w:rsidRPr="00B42B87">
              <w:rPr>
                <w:rFonts w:cstheme="minorHAnsi"/>
                <w:color w:val="000000"/>
                <w:sz w:val="20"/>
                <w:szCs w:val="20"/>
              </w:rPr>
              <w:t>Shield</w:t>
            </w:r>
          </w:p>
        </w:tc>
        <w:tc>
          <w:tcPr>
            <w:tcW w:w="1203" w:type="dxa"/>
            <w:noWrap/>
            <w:hideMark/>
          </w:tcPr>
          <w:p w:rsidRPr="00B42B87" w:rsidR="00372B9C" w:rsidP="0024330E" w:rsidRDefault="00372B9C" w14:paraId="65FEF061"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5</w:t>
            </w:r>
          </w:p>
        </w:tc>
        <w:tc>
          <w:tcPr>
            <w:tcW w:w="1302" w:type="dxa"/>
            <w:noWrap/>
            <w:hideMark/>
          </w:tcPr>
          <w:p w:rsidRPr="00B42B87" w:rsidR="00372B9C" w:rsidP="0024330E" w:rsidRDefault="00372B9C" w14:paraId="00589D7F"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w:t>
            </w:r>
          </w:p>
        </w:tc>
        <w:tc>
          <w:tcPr>
            <w:tcW w:w="1520" w:type="dxa"/>
            <w:noWrap/>
            <w:hideMark/>
          </w:tcPr>
          <w:p w:rsidRPr="00B42B87" w:rsidR="00372B9C" w:rsidRDefault="00372B9C" w14:paraId="629EC5F6"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0.789</w:t>
            </w:r>
          </w:p>
        </w:tc>
        <w:tc>
          <w:tcPr>
            <w:tcW w:w="1431" w:type="dxa"/>
            <w:noWrap/>
            <w:hideMark/>
          </w:tcPr>
          <w:p w:rsidRPr="00B42B87" w:rsidR="00372B9C" w:rsidP="0024330E" w:rsidRDefault="00372B9C" w14:paraId="001D4A63"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B050"/>
                <w:sz w:val="20"/>
                <w:szCs w:val="20"/>
              </w:rPr>
            </w:pPr>
            <w:r w:rsidRPr="00B42B87">
              <w:rPr>
                <w:rFonts w:cstheme="minorHAnsi"/>
                <w:color w:val="00B050"/>
                <w:sz w:val="20"/>
                <w:szCs w:val="20"/>
              </w:rPr>
              <w:t>BQL</w:t>
            </w:r>
          </w:p>
        </w:tc>
      </w:tr>
      <w:tr w:rsidR="00125283" w:rsidTr="00E925E2" w14:paraId="1BD9F217"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73CE457C" w14:textId="77777777">
            <w:pPr>
              <w:rPr>
                <w:rFonts w:cstheme="minorHAnsi"/>
                <w:color w:val="000000"/>
                <w:sz w:val="20"/>
                <w:szCs w:val="20"/>
              </w:rPr>
            </w:pPr>
            <w:r w:rsidRPr="00B42B87">
              <w:rPr>
                <w:rFonts w:cstheme="minorHAnsi"/>
                <w:color w:val="000000"/>
                <w:sz w:val="20"/>
                <w:szCs w:val="20"/>
              </w:rPr>
              <w:t>CAM_14</w:t>
            </w:r>
          </w:p>
        </w:tc>
        <w:tc>
          <w:tcPr>
            <w:tcW w:w="1131" w:type="dxa"/>
            <w:noWrap/>
            <w:hideMark/>
          </w:tcPr>
          <w:p w:rsidRPr="00B42B87" w:rsidR="00372B9C" w:rsidRDefault="00372B9C" w14:paraId="4B4C9BE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550608D8" w14:textId="7F2F117C">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DNA</w:t>
            </w:r>
            <w:r w:rsidRPr="00B42B87" w:rsidR="00085D5C">
              <w:rPr>
                <w:rFonts w:cstheme="minorHAnsi"/>
                <w:color w:val="000000"/>
                <w:sz w:val="20"/>
                <w:szCs w:val="20"/>
              </w:rPr>
              <w:t xml:space="preserve"> </w:t>
            </w:r>
            <w:r w:rsidRPr="00B42B87">
              <w:rPr>
                <w:rFonts w:cstheme="minorHAnsi"/>
                <w:color w:val="000000"/>
                <w:sz w:val="20"/>
                <w:szCs w:val="20"/>
              </w:rPr>
              <w:t>Shield</w:t>
            </w:r>
          </w:p>
        </w:tc>
        <w:tc>
          <w:tcPr>
            <w:tcW w:w="1203" w:type="dxa"/>
            <w:noWrap/>
            <w:hideMark/>
          </w:tcPr>
          <w:p w:rsidRPr="00B42B87" w:rsidR="00372B9C" w:rsidP="0024330E" w:rsidRDefault="00372B9C" w14:paraId="638E2015"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5</w:t>
            </w:r>
          </w:p>
        </w:tc>
        <w:tc>
          <w:tcPr>
            <w:tcW w:w="1302" w:type="dxa"/>
            <w:noWrap/>
            <w:hideMark/>
          </w:tcPr>
          <w:p w:rsidRPr="00B42B87" w:rsidR="00372B9C" w:rsidP="0024330E" w:rsidRDefault="00372B9C" w14:paraId="5E71A8C2"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w:t>
            </w:r>
          </w:p>
        </w:tc>
        <w:tc>
          <w:tcPr>
            <w:tcW w:w="1520" w:type="dxa"/>
            <w:noWrap/>
            <w:hideMark/>
          </w:tcPr>
          <w:p w:rsidRPr="00B42B87" w:rsidR="00372B9C" w:rsidRDefault="00372B9C" w14:paraId="4964003B"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2.442</w:t>
            </w:r>
          </w:p>
        </w:tc>
        <w:tc>
          <w:tcPr>
            <w:tcW w:w="1431" w:type="dxa"/>
            <w:noWrap/>
            <w:hideMark/>
          </w:tcPr>
          <w:p w:rsidRPr="00B42B87" w:rsidR="00372B9C" w:rsidP="0024330E" w:rsidRDefault="00372B9C" w14:paraId="1C69A48A"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B050"/>
                <w:sz w:val="20"/>
                <w:szCs w:val="20"/>
              </w:rPr>
            </w:pPr>
            <w:r w:rsidRPr="00B42B87">
              <w:rPr>
                <w:rFonts w:cstheme="minorHAnsi"/>
                <w:color w:val="00B050"/>
                <w:sz w:val="20"/>
                <w:szCs w:val="20"/>
              </w:rPr>
              <w:t>BQL</w:t>
            </w:r>
          </w:p>
        </w:tc>
      </w:tr>
      <w:tr w:rsidR="00125283" w:rsidTr="00E925E2" w14:paraId="15D0F4CD"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1329196D" w14:textId="77777777">
            <w:pPr>
              <w:rPr>
                <w:rFonts w:cstheme="minorHAnsi"/>
                <w:color w:val="000000"/>
                <w:sz w:val="20"/>
                <w:szCs w:val="20"/>
              </w:rPr>
            </w:pPr>
            <w:r w:rsidRPr="00B42B87">
              <w:rPr>
                <w:rFonts w:cstheme="minorHAnsi"/>
                <w:color w:val="000000"/>
                <w:sz w:val="20"/>
                <w:szCs w:val="20"/>
              </w:rPr>
              <w:t>CAM_17</w:t>
            </w:r>
          </w:p>
        </w:tc>
        <w:tc>
          <w:tcPr>
            <w:tcW w:w="1131" w:type="dxa"/>
            <w:noWrap/>
            <w:hideMark/>
          </w:tcPr>
          <w:p w:rsidRPr="00B42B87" w:rsidR="00372B9C" w:rsidRDefault="00372B9C" w14:paraId="2AC11F8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4DE22E1E" w14:textId="4BBEB2E3">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DNA</w:t>
            </w:r>
            <w:r w:rsidRPr="00B42B87" w:rsidR="00085D5C">
              <w:rPr>
                <w:rFonts w:cstheme="minorHAnsi"/>
                <w:color w:val="000000"/>
                <w:sz w:val="20"/>
                <w:szCs w:val="20"/>
              </w:rPr>
              <w:t xml:space="preserve"> </w:t>
            </w:r>
            <w:r w:rsidRPr="00B42B87">
              <w:rPr>
                <w:rFonts w:cstheme="minorHAnsi"/>
                <w:color w:val="000000"/>
                <w:sz w:val="20"/>
                <w:szCs w:val="20"/>
              </w:rPr>
              <w:t>Shield</w:t>
            </w:r>
          </w:p>
        </w:tc>
        <w:tc>
          <w:tcPr>
            <w:tcW w:w="1203" w:type="dxa"/>
            <w:noWrap/>
            <w:hideMark/>
          </w:tcPr>
          <w:p w:rsidRPr="00B42B87" w:rsidR="00372B9C" w:rsidP="0024330E" w:rsidRDefault="00372B9C" w14:paraId="79100CB6"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4</w:t>
            </w:r>
          </w:p>
        </w:tc>
        <w:tc>
          <w:tcPr>
            <w:tcW w:w="1302" w:type="dxa"/>
            <w:noWrap/>
            <w:hideMark/>
          </w:tcPr>
          <w:p w:rsidRPr="00B42B87" w:rsidR="00372B9C" w:rsidP="0024330E" w:rsidRDefault="00372B9C" w14:paraId="77C49DD2"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w:t>
            </w:r>
          </w:p>
        </w:tc>
        <w:tc>
          <w:tcPr>
            <w:tcW w:w="1520" w:type="dxa"/>
            <w:noWrap/>
            <w:hideMark/>
          </w:tcPr>
          <w:p w:rsidRPr="00B42B87" w:rsidR="00372B9C" w:rsidRDefault="00372B9C" w14:paraId="4CE77D4C"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0.4435</w:t>
            </w:r>
          </w:p>
        </w:tc>
        <w:tc>
          <w:tcPr>
            <w:tcW w:w="1431" w:type="dxa"/>
            <w:noWrap/>
            <w:hideMark/>
          </w:tcPr>
          <w:p w:rsidRPr="00B42B87" w:rsidR="00372B9C" w:rsidP="0024330E" w:rsidRDefault="00372B9C" w14:paraId="67BE97C3"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B050"/>
                <w:sz w:val="20"/>
                <w:szCs w:val="20"/>
              </w:rPr>
            </w:pPr>
            <w:r w:rsidRPr="00B42B87">
              <w:rPr>
                <w:rFonts w:cstheme="minorHAnsi"/>
                <w:color w:val="00B050"/>
                <w:sz w:val="20"/>
                <w:szCs w:val="20"/>
              </w:rPr>
              <w:t>BQL</w:t>
            </w:r>
          </w:p>
        </w:tc>
      </w:tr>
      <w:tr w:rsidR="00125283" w:rsidTr="00E925E2" w14:paraId="2CF255A6"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0C4C119A" w14:textId="77777777">
            <w:pPr>
              <w:rPr>
                <w:rFonts w:cstheme="minorHAnsi"/>
                <w:color w:val="000000"/>
                <w:sz w:val="20"/>
                <w:szCs w:val="20"/>
              </w:rPr>
            </w:pPr>
            <w:r w:rsidRPr="00B42B87">
              <w:rPr>
                <w:rFonts w:cstheme="minorHAnsi"/>
                <w:color w:val="000000"/>
                <w:sz w:val="20"/>
                <w:szCs w:val="20"/>
              </w:rPr>
              <w:t>CAM_34</w:t>
            </w:r>
          </w:p>
        </w:tc>
        <w:tc>
          <w:tcPr>
            <w:tcW w:w="1131" w:type="dxa"/>
            <w:noWrap/>
            <w:hideMark/>
          </w:tcPr>
          <w:p w:rsidRPr="00B42B87" w:rsidR="00372B9C" w:rsidRDefault="00372B9C" w14:paraId="5D4BEC1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44AD9343"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51F747CE"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168A9B35"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5E70ECE9"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8.04</w:t>
            </w:r>
          </w:p>
        </w:tc>
        <w:tc>
          <w:tcPr>
            <w:tcW w:w="1431" w:type="dxa"/>
            <w:noWrap/>
            <w:hideMark/>
          </w:tcPr>
          <w:p w:rsidRPr="00B42B87" w:rsidR="00372B9C" w:rsidP="0024330E" w:rsidRDefault="00372B9C" w14:paraId="2D3D8A60"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45191FFA"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67CC93CC" w14:textId="77777777">
            <w:pPr>
              <w:rPr>
                <w:rFonts w:cstheme="minorHAnsi"/>
                <w:color w:val="000000"/>
                <w:sz w:val="20"/>
                <w:szCs w:val="20"/>
              </w:rPr>
            </w:pPr>
            <w:r w:rsidRPr="00B42B87">
              <w:rPr>
                <w:rFonts w:cstheme="minorHAnsi"/>
                <w:color w:val="000000"/>
                <w:sz w:val="20"/>
                <w:szCs w:val="20"/>
              </w:rPr>
              <w:t>CAM_37</w:t>
            </w:r>
          </w:p>
        </w:tc>
        <w:tc>
          <w:tcPr>
            <w:tcW w:w="1131" w:type="dxa"/>
            <w:noWrap/>
            <w:hideMark/>
          </w:tcPr>
          <w:p w:rsidRPr="00B42B87" w:rsidR="00372B9C" w:rsidRDefault="00372B9C" w14:paraId="2E4EF8C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26AB24A4"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0EA97774"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165868BF"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w:t>
            </w:r>
          </w:p>
        </w:tc>
        <w:tc>
          <w:tcPr>
            <w:tcW w:w="1520" w:type="dxa"/>
            <w:noWrap/>
            <w:hideMark/>
          </w:tcPr>
          <w:p w:rsidRPr="00B42B87" w:rsidR="00372B9C" w:rsidRDefault="00372B9C" w14:paraId="58B7256D"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6.14</w:t>
            </w:r>
          </w:p>
        </w:tc>
        <w:tc>
          <w:tcPr>
            <w:tcW w:w="1431" w:type="dxa"/>
            <w:noWrap/>
            <w:hideMark/>
          </w:tcPr>
          <w:p w:rsidRPr="00B42B87" w:rsidR="00372B9C" w:rsidP="0024330E" w:rsidRDefault="00372B9C" w14:paraId="0523AFBA" w14:textId="77777777">
            <w:pPr>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42B87">
              <w:rPr>
                <w:rFonts w:cstheme="minorHAnsi"/>
                <w:sz w:val="20"/>
                <w:szCs w:val="20"/>
              </w:rPr>
              <w:t>2.70</w:t>
            </w:r>
          </w:p>
        </w:tc>
      </w:tr>
      <w:tr w:rsidR="00125283" w:rsidTr="00E925E2" w14:paraId="0203863E"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6FEC9681" w14:textId="77777777">
            <w:pPr>
              <w:rPr>
                <w:rFonts w:cstheme="minorHAnsi"/>
                <w:color w:val="000000"/>
                <w:sz w:val="20"/>
                <w:szCs w:val="20"/>
              </w:rPr>
            </w:pPr>
            <w:r w:rsidRPr="00B42B87">
              <w:rPr>
                <w:rFonts w:cstheme="minorHAnsi"/>
                <w:color w:val="000000"/>
                <w:sz w:val="20"/>
                <w:szCs w:val="20"/>
              </w:rPr>
              <w:t>CURDO_1</w:t>
            </w:r>
          </w:p>
        </w:tc>
        <w:tc>
          <w:tcPr>
            <w:tcW w:w="1131" w:type="dxa"/>
            <w:noWrap/>
            <w:hideMark/>
          </w:tcPr>
          <w:p w:rsidRPr="00B42B87" w:rsidR="00372B9C" w:rsidRDefault="00372B9C" w14:paraId="6256C726"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3622F96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76C70D9A"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4D61D2B1"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3CDCB2FB"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19.90</w:t>
            </w:r>
          </w:p>
        </w:tc>
        <w:tc>
          <w:tcPr>
            <w:tcW w:w="1431" w:type="dxa"/>
            <w:noWrap/>
            <w:hideMark/>
          </w:tcPr>
          <w:p w:rsidRPr="00B42B87" w:rsidR="00372B9C" w:rsidP="0024330E" w:rsidRDefault="00372B9C" w14:paraId="79CB297C"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39622F87"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5C41A64E" w14:textId="77777777">
            <w:pPr>
              <w:rPr>
                <w:rFonts w:cstheme="minorHAnsi"/>
                <w:color w:val="000000"/>
                <w:sz w:val="20"/>
                <w:szCs w:val="20"/>
              </w:rPr>
            </w:pPr>
            <w:r w:rsidRPr="00B42B87">
              <w:rPr>
                <w:rFonts w:cstheme="minorHAnsi"/>
                <w:color w:val="000000"/>
                <w:sz w:val="20"/>
                <w:szCs w:val="20"/>
              </w:rPr>
              <w:t>CURDO_2</w:t>
            </w:r>
          </w:p>
        </w:tc>
        <w:tc>
          <w:tcPr>
            <w:tcW w:w="1131" w:type="dxa"/>
            <w:noWrap/>
            <w:hideMark/>
          </w:tcPr>
          <w:p w:rsidRPr="00B42B87" w:rsidR="00372B9C" w:rsidRDefault="00372B9C" w14:paraId="5D95D78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5879402F"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3EA0407D"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24D6C717"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5EA0825D"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8.04</w:t>
            </w:r>
          </w:p>
        </w:tc>
        <w:tc>
          <w:tcPr>
            <w:tcW w:w="1431" w:type="dxa"/>
            <w:noWrap/>
            <w:hideMark/>
          </w:tcPr>
          <w:p w:rsidRPr="00B42B87" w:rsidR="00372B9C" w:rsidP="0024330E" w:rsidRDefault="00372B9C" w14:paraId="4EB60ECA"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0DF31CA4"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06C62736" w14:textId="77777777">
            <w:pPr>
              <w:rPr>
                <w:rFonts w:cstheme="minorHAnsi"/>
                <w:color w:val="000000"/>
                <w:sz w:val="20"/>
                <w:szCs w:val="20"/>
              </w:rPr>
            </w:pPr>
            <w:r w:rsidRPr="00B42B87">
              <w:rPr>
                <w:rFonts w:cstheme="minorHAnsi"/>
                <w:color w:val="000000"/>
                <w:sz w:val="20"/>
                <w:szCs w:val="20"/>
              </w:rPr>
              <w:t>CURDO_3</w:t>
            </w:r>
          </w:p>
        </w:tc>
        <w:tc>
          <w:tcPr>
            <w:tcW w:w="1131" w:type="dxa"/>
            <w:noWrap/>
            <w:hideMark/>
          </w:tcPr>
          <w:p w:rsidRPr="00B42B87" w:rsidR="00372B9C" w:rsidRDefault="00372B9C" w14:paraId="7ADAFBEF"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3DFFFE4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20CBC131"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43BF39E3"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1A1C7F13"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16.10</w:t>
            </w:r>
          </w:p>
        </w:tc>
        <w:tc>
          <w:tcPr>
            <w:tcW w:w="1431" w:type="dxa"/>
            <w:noWrap/>
            <w:hideMark/>
          </w:tcPr>
          <w:p w:rsidRPr="00B42B87" w:rsidR="00372B9C" w:rsidP="0024330E" w:rsidRDefault="00372B9C" w14:paraId="5243CBED"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1256E02C"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429E7560" w14:textId="77777777">
            <w:pPr>
              <w:rPr>
                <w:rFonts w:cstheme="minorHAnsi"/>
                <w:color w:val="000000"/>
                <w:sz w:val="20"/>
                <w:szCs w:val="20"/>
              </w:rPr>
            </w:pPr>
            <w:r w:rsidRPr="00B42B87">
              <w:rPr>
                <w:rFonts w:cstheme="minorHAnsi"/>
                <w:color w:val="000000"/>
                <w:sz w:val="20"/>
                <w:szCs w:val="20"/>
              </w:rPr>
              <w:t>CURDO_4</w:t>
            </w:r>
          </w:p>
        </w:tc>
        <w:tc>
          <w:tcPr>
            <w:tcW w:w="1131" w:type="dxa"/>
            <w:noWrap/>
            <w:hideMark/>
          </w:tcPr>
          <w:p w:rsidRPr="00B42B87" w:rsidR="00372B9C" w:rsidRDefault="00372B9C" w14:paraId="5409CDBF"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17270B7B"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4FF02129"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4A34F391"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6C70DB10"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9.63</w:t>
            </w:r>
          </w:p>
        </w:tc>
        <w:tc>
          <w:tcPr>
            <w:tcW w:w="1431" w:type="dxa"/>
            <w:noWrap/>
            <w:hideMark/>
          </w:tcPr>
          <w:p w:rsidRPr="00B42B87" w:rsidR="00372B9C" w:rsidP="0024330E" w:rsidRDefault="00372B9C" w14:paraId="4090E967"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3E7789F1"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29E2C3F7" w14:textId="77777777">
            <w:pPr>
              <w:rPr>
                <w:rFonts w:cstheme="minorHAnsi"/>
                <w:color w:val="000000"/>
                <w:sz w:val="20"/>
                <w:szCs w:val="20"/>
              </w:rPr>
            </w:pPr>
            <w:r w:rsidRPr="00B42B87">
              <w:rPr>
                <w:rFonts w:cstheme="minorHAnsi"/>
                <w:color w:val="000000"/>
                <w:sz w:val="20"/>
                <w:szCs w:val="20"/>
              </w:rPr>
              <w:t>CURDO_5</w:t>
            </w:r>
          </w:p>
        </w:tc>
        <w:tc>
          <w:tcPr>
            <w:tcW w:w="1131" w:type="dxa"/>
            <w:noWrap/>
            <w:hideMark/>
          </w:tcPr>
          <w:p w:rsidRPr="00B42B87" w:rsidR="00372B9C" w:rsidRDefault="00372B9C" w14:paraId="7B84953F"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285E8CC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4E4B3735"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3691DDB2"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14F2CFA8"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8.10</w:t>
            </w:r>
          </w:p>
        </w:tc>
        <w:tc>
          <w:tcPr>
            <w:tcW w:w="1431" w:type="dxa"/>
            <w:noWrap/>
            <w:hideMark/>
          </w:tcPr>
          <w:p w:rsidRPr="00B42B87" w:rsidR="00372B9C" w:rsidP="0024330E" w:rsidRDefault="00372B9C" w14:paraId="42151947"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2C829BC8"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0AF3B187" w14:textId="77777777">
            <w:pPr>
              <w:rPr>
                <w:rFonts w:cstheme="minorHAnsi"/>
                <w:color w:val="000000"/>
                <w:sz w:val="20"/>
                <w:szCs w:val="20"/>
              </w:rPr>
            </w:pPr>
            <w:r w:rsidRPr="00B42B87">
              <w:rPr>
                <w:rFonts w:cstheme="minorHAnsi"/>
                <w:color w:val="000000"/>
                <w:sz w:val="20"/>
                <w:szCs w:val="20"/>
              </w:rPr>
              <w:t>CURDO_6</w:t>
            </w:r>
          </w:p>
        </w:tc>
        <w:tc>
          <w:tcPr>
            <w:tcW w:w="1131" w:type="dxa"/>
            <w:noWrap/>
            <w:hideMark/>
          </w:tcPr>
          <w:p w:rsidRPr="00B42B87" w:rsidR="00372B9C" w:rsidRDefault="00372B9C" w14:paraId="41EE4CC1"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6E03513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10509C28"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7F835BE8"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6D69C804"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17.40</w:t>
            </w:r>
          </w:p>
        </w:tc>
        <w:tc>
          <w:tcPr>
            <w:tcW w:w="1431" w:type="dxa"/>
            <w:noWrap/>
            <w:hideMark/>
          </w:tcPr>
          <w:p w:rsidRPr="00B42B87" w:rsidR="00372B9C" w:rsidP="0024330E" w:rsidRDefault="00372B9C" w14:paraId="0E2B41A9"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58D0E960"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299F01A7" w14:textId="77777777">
            <w:pPr>
              <w:rPr>
                <w:rFonts w:cstheme="minorHAnsi"/>
                <w:color w:val="000000"/>
                <w:sz w:val="20"/>
                <w:szCs w:val="20"/>
              </w:rPr>
            </w:pPr>
            <w:r w:rsidRPr="00B42B87">
              <w:rPr>
                <w:rFonts w:cstheme="minorHAnsi"/>
                <w:color w:val="000000"/>
                <w:sz w:val="20"/>
                <w:szCs w:val="20"/>
              </w:rPr>
              <w:t>CURDO_7</w:t>
            </w:r>
          </w:p>
        </w:tc>
        <w:tc>
          <w:tcPr>
            <w:tcW w:w="1131" w:type="dxa"/>
            <w:noWrap/>
            <w:hideMark/>
          </w:tcPr>
          <w:p w:rsidRPr="00B42B87" w:rsidR="00372B9C" w:rsidRDefault="00372B9C" w14:paraId="540F2DC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655BD10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0E6FF4E9"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7813348E"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13D42858"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8.14</w:t>
            </w:r>
          </w:p>
        </w:tc>
        <w:tc>
          <w:tcPr>
            <w:tcW w:w="1431" w:type="dxa"/>
            <w:noWrap/>
            <w:hideMark/>
          </w:tcPr>
          <w:p w:rsidRPr="00B42B87" w:rsidR="00372B9C" w:rsidP="0024330E" w:rsidRDefault="00372B9C" w14:paraId="4D1C7C14"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62CBCCE1"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6195E71B" w14:textId="77777777">
            <w:pPr>
              <w:rPr>
                <w:rFonts w:cstheme="minorHAnsi"/>
                <w:color w:val="000000"/>
                <w:sz w:val="20"/>
                <w:szCs w:val="20"/>
              </w:rPr>
            </w:pPr>
            <w:r w:rsidRPr="00B42B87">
              <w:rPr>
                <w:rFonts w:cstheme="minorHAnsi"/>
                <w:color w:val="000000"/>
                <w:sz w:val="20"/>
                <w:szCs w:val="20"/>
              </w:rPr>
              <w:t>CURDO_8</w:t>
            </w:r>
          </w:p>
        </w:tc>
        <w:tc>
          <w:tcPr>
            <w:tcW w:w="1131" w:type="dxa"/>
            <w:noWrap/>
            <w:hideMark/>
          </w:tcPr>
          <w:p w:rsidRPr="00B42B87" w:rsidR="00372B9C" w:rsidRDefault="00372B9C" w14:paraId="4ECFF1D7"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1A7DA8B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61BD2AC6"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311EC8AB"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050520B1"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8.27</w:t>
            </w:r>
          </w:p>
        </w:tc>
        <w:tc>
          <w:tcPr>
            <w:tcW w:w="1431" w:type="dxa"/>
            <w:noWrap/>
            <w:hideMark/>
          </w:tcPr>
          <w:p w:rsidRPr="00B42B87" w:rsidR="00372B9C" w:rsidP="0024330E" w:rsidRDefault="00372B9C" w14:paraId="30C3CE3D"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34A1D1A2"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3F7FC1F5" w14:textId="77777777">
            <w:pPr>
              <w:rPr>
                <w:rFonts w:cstheme="minorHAnsi"/>
                <w:color w:val="000000"/>
                <w:sz w:val="20"/>
                <w:szCs w:val="20"/>
              </w:rPr>
            </w:pPr>
            <w:r w:rsidRPr="00B42B87">
              <w:rPr>
                <w:rFonts w:cstheme="minorHAnsi"/>
                <w:color w:val="000000"/>
                <w:sz w:val="20"/>
                <w:szCs w:val="20"/>
              </w:rPr>
              <w:t>CURDO_9</w:t>
            </w:r>
          </w:p>
        </w:tc>
        <w:tc>
          <w:tcPr>
            <w:tcW w:w="1131" w:type="dxa"/>
            <w:noWrap/>
            <w:hideMark/>
          </w:tcPr>
          <w:p w:rsidRPr="00B42B87" w:rsidR="00372B9C" w:rsidRDefault="00372B9C" w14:paraId="2340B543"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04769C57"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555876A4"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3DCC64E5"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65476D92"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11.80</w:t>
            </w:r>
          </w:p>
        </w:tc>
        <w:tc>
          <w:tcPr>
            <w:tcW w:w="1431" w:type="dxa"/>
            <w:noWrap/>
            <w:hideMark/>
          </w:tcPr>
          <w:p w:rsidRPr="00B42B87" w:rsidR="00372B9C" w:rsidP="0024330E" w:rsidRDefault="00372B9C" w14:paraId="004365B7"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0B1F1859"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3EF3F783" w14:textId="77777777">
            <w:pPr>
              <w:rPr>
                <w:rFonts w:cstheme="minorHAnsi"/>
                <w:color w:val="000000"/>
                <w:sz w:val="20"/>
                <w:szCs w:val="20"/>
              </w:rPr>
            </w:pPr>
            <w:r w:rsidRPr="00B42B87">
              <w:rPr>
                <w:rFonts w:cstheme="minorHAnsi"/>
                <w:color w:val="000000"/>
                <w:sz w:val="20"/>
                <w:szCs w:val="20"/>
              </w:rPr>
              <w:t>CURDO_10</w:t>
            </w:r>
          </w:p>
        </w:tc>
        <w:tc>
          <w:tcPr>
            <w:tcW w:w="1131" w:type="dxa"/>
            <w:noWrap/>
            <w:hideMark/>
          </w:tcPr>
          <w:p w:rsidRPr="00B42B87" w:rsidR="00372B9C" w:rsidRDefault="00372B9C" w14:paraId="306B45A4"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1E5B716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3519770C"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2CF8D4E9"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610CC868"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18.47</w:t>
            </w:r>
          </w:p>
        </w:tc>
        <w:tc>
          <w:tcPr>
            <w:tcW w:w="1431" w:type="dxa"/>
            <w:noWrap/>
            <w:hideMark/>
          </w:tcPr>
          <w:p w:rsidRPr="00B42B87" w:rsidR="00372B9C" w:rsidP="0024330E" w:rsidRDefault="00372B9C" w14:paraId="42712ED9"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539BE0B0"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42F5B5D2" w14:textId="77777777">
            <w:pPr>
              <w:rPr>
                <w:rFonts w:cstheme="minorHAnsi"/>
                <w:color w:val="000000"/>
                <w:sz w:val="20"/>
                <w:szCs w:val="20"/>
              </w:rPr>
            </w:pPr>
            <w:r w:rsidRPr="00B42B87">
              <w:rPr>
                <w:rFonts w:cstheme="minorHAnsi"/>
                <w:color w:val="000000"/>
                <w:sz w:val="20"/>
                <w:szCs w:val="20"/>
              </w:rPr>
              <w:t>GUL_02</w:t>
            </w:r>
          </w:p>
        </w:tc>
        <w:tc>
          <w:tcPr>
            <w:tcW w:w="1131" w:type="dxa"/>
            <w:noWrap/>
            <w:hideMark/>
          </w:tcPr>
          <w:p w:rsidRPr="00B42B87" w:rsidR="00372B9C" w:rsidRDefault="00372B9C" w14:paraId="674D089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372B9C" w:rsidRDefault="00372B9C" w14:paraId="114E5CE6"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064E9C34"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w:t>
            </w:r>
          </w:p>
        </w:tc>
        <w:tc>
          <w:tcPr>
            <w:tcW w:w="1302" w:type="dxa"/>
            <w:noWrap/>
            <w:hideMark/>
          </w:tcPr>
          <w:p w:rsidRPr="00B42B87" w:rsidR="00372B9C" w:rsidP="0024330E" w:rsidRDefault="00372B9C" w14:paraId="10CB36A8"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5EFC949C"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0.341</w:t>
            </w:r>
          </w:p>
        </w:tc>
        <w:tc>
          <w:tcPr>
            <w:tcW w:w="1431" w:type="dxa"/>
            <w:noWrap/>
            <w:hideMark/>
          </w:tcPr>
          <w:p w:rsidRPr="00B42B87" w:rsidR="00372B9C" w:rsidP="0024330E" w:rsidRDefault="00372B9C" w14:paraId="1ADE0CC0"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35A424F9"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1E07AFF5" w14:textId="77777777">
            <w:pPr>
              <w:rPr>
                <w:rFonts w:cstheme="minorHAnsi"/>
                <w:color w:val="000000"/>
                <w:sz w:val="20"/>
                <w:szCs w:val="20"/>
              </w:rPr>
            </w:pPr>
            <w:r w:rsidRPr="00B42B87">
              <w:rPr>
                <w:rFonts w:cstheme="minorHAnsi"/>
                <w:color w:val="000000"/>
                <w:sz w:val="20"/>
                <w:szCs w:val="20"/>
              </w:rPr>
              <w:t>GUL_03</w:t>
            </w:r>
          </w:p>
        </w:tc>
        <w:tc>
          <w:tcPr>
            <w:tcW w:w="1131" w:type="dxa"/>
            <w:noWrap/>
            <w:hideMark/>
          </w:tcPr>
          <w:p w:rsidRPr="00B42B87" w:rsidR="00372B9C" w:rsidRDefault="00372B9C" w14:paraId="27F612B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372B9C" w:rsidRDefault="00372B9C" w14:paraId="2637A4C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3FB87082"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4</w:t>
            </w:r>
          </w:p>
        </w:tc>
        <w:tc>
          <w:tcPr>
            <w:tcW w:w="1302" w:type="dxa"/>
            <w:noWrap/>
            <w:hideMark/>
          </w:tcPr>
          <w:p w:rsidRPr="00B42B87" w:rsidR="00372B9C" w:rsidP="0024330E" w:rsidRDefault="00372B9C" w14:paraId="21C0F063"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01D2D28C"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0.661</w:t>
            </w:r>
          </w:p>
        </w:tc>
        <w:tc>
          <w:tcPr>
            <w:tcW w:w="1431" w:type="dxa"/>
            <w:noWrap/>
            <w:hideMark/>
          </w:tcPr>
          <w:p w:rsidRPr="00B42B87" w:rsidR="00372B9C" w:rsidP="0024330E" w:rsidRDefault="00372B9C" w14:paraId="0FE3EA67"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0ADD024E"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752B2DBC" w14:textId="77777777">
            <w:pPr>
              <w:rPr>
                <w:rFonts w:cstheme="minorHAnsi"/>
                <w:color w:val="000000"/>
                <w:sz w:val="20"/>
                <w:szCs w:val="20"/>
              </w:rPr>
            </w:pPr>
            <w:r w:rsidRPr="00B42B87">
              <w:rPr>
                <w:rFonts w:cstheme="minorHAnsi"/>
                <w:color w:val="000000"/>
                <w:sz w:val="20"/>
                <w:szCs w:val="20"/>
              </w:rPr>
              <w:t>NEC_05</w:t>
            </w:r>
          </w:p>
        </w:tc>
        <w:tc>
          <w:tcPr>
            <w:tcW w:w="1131" w:type="dxa"/>
            <w:noWrap/>
            <w:hideMark/>
          </w:tcPr>
          <w:p w:rsidRPr="00B42B87" w:rsidR="00372B9C" w:rsidRDefault="00372B9C" w14:paraId="148677DD"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372B9C" w:rsidRDefault="00372B9C" w14:paraId="05B128C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78767624"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4</w:t>
            </w:r>
          </w:p>
        </w:tc>
        <w:tc>
          <w:tcPr>
            <w:tcW w:w="1302" w:type="dxa"/>
            <w:noWrap/>
            <w:hideMark/>
          </w:tcPr>
          <w:p w:rsidRPr="00B42B87" w:rsidR="00372B9C" w:rsidP="0024330E" w:rsidRDefault="00372B9C" w14:paraId="739F3C16"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3ED0FF52"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1.72</w:t>
            </w:r>
          </w:p>
        </w:tc>
        <w:tc>
          <w:tcPr>
            <w:tcW w:w="1431" w:type="dxa"/>
            <w:noWrap/>
            <w:hideMark/>
          </w:tcPr>
          <w:p w:rsidRPr="00B42B87" w:rsidR="00372B9C" w:rsidP="0024330E" w:rsidRDefault="00372B9C" w14:paraId="72DFB2D8"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197165A1"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5BAE2B4C" w14:textId="77777777">
            <w:pPr>
              <w:rPr>
                <w:rFonts w:cstheme="minorHAnsi"/>
                <w:color w:val="000000"/>
                <w:sz w:val="20"/>
                <w:szCs w:val="20"/>
              </w:rPr>
            </w:pPr>
            <w:r w:rsidRPr="00B42B87">
              <w:rPr>
                <w:rFonts w:cstheme="minorHAnsi"/>
                <w:color w:val="000000"/>
                <w:sz w:val="20"/>
                <w:szCs w:val="20"/>
              </w:rPr>
              <w:t>NEC_06</w:t>
            </w:r>
          </w:p>
        </w:tc>
        <w:tc>
          <w:tcPr>
            <w:tcW w:w="1131" w:type="dxa"/>
            <w:noWrap/>
            <w:hideMark/>
          </w:tcPr>
          <w:p w:rsidRPr="00B42B87" w:rsidR="00372B9C" w:rsidRDefault="00372B9C" w14:paraId="43BFEEF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372B9C" w:rsidRDefault="00372B9C" w14:paraId="353EF98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4BF6B529"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w:t>
            </w:r>
          </w:p>
        </w:tc>
        <w:tc>
          <w:tcPr>
            <w:tcW w:w="1302" w:type="dxa"/>
            <w:noWrap/>
            <w:hideMark/>
          </w:tcPr>
          <w:p w:rsidRPr="00B42B87" w:rsidR="00372B9C" w:rsidP="0024330E" w:rsidRDefault="00372B9C" w14:paraId="5290C3EE"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16B959BB"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1.15</w:t>
            </w:r>
          </w:p>
        </w:tc>
        <w:tc>
          <w:tcPr>
            <w:tcW w:w="1431" w:type="dxa"/>
            <w:noWrap/>
            <w:hideMark/>
          </w:tcPr>
          <w:p w:rsidRPr="00B42B87" w:rsidR="00372B9C" w:rsidP="0024330E" w:rsidRDefault="00372B9C" w14:paraId="5FB40D5C"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30765EA9"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2E5497D9" w14:textId="77777777">
            <w:pPr>
              <w:rPr>
                <w:rFonts w:cstheme="minorHAnsi"/>
                <w:color w:val="000000"/>
                <w:sz w:val="20"/>
                <w:szCs w:val="20"/>
              </w:rPr>
            </w:pPr>
            <w:r w:rsidRPr="00B42B87">
              <w:rPr>
                <w:rFonts w:cstheme="minorHAnsi"/>
                <w:color w:val="000000"/>
                <w:sz w:val="20"/>
                <w:szCs w:val="20"/>
              </w:rPr>
              <w:t>SAB_1</w:t>
            </w:r>
          </w:p>
        </w:tc>
        <w:tc>
          <w:tcPr>
            <w:tcW w:w="1131" w:type="dxa"/>
            <w:noWrap/>
            <w:hideMark/>
          </w:tcPr>
          <w:p w:rsidRPr="00B42B87" w:rsidR="00372B9C" w:rsidRDefault="00372B9C" w14:paraId="7E5228CF"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30F48A41"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3068BF99"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3D8B1E35"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0"/>
                <w:szCs w:val="20"/>
              </w:rPr>
            </w:pPr>
            <w:r w:rsidRPr="00B42B87">
              <w:rPr>
                <w:rFonts w:cstheme="minorHAnsi"/>
                <w:color w:val="FF0000"/>
                <w:sz w:val="20"/>
                <w:szCs w:val="20"/>
              </w:rPr>
              <w:t>2</w:t>
            </w:r>
          </w:p>
        </w:tc>
        <w:tc>
          <w:tcPr>
            <w:tcW w:w="1520" w:type="dxa"/>
            <w:noWrap/>
            <w:hideMark/>
          </w:tcPr>
          <w:p w:rsidRPr="00B42B87" w:rsidR="00372B9C" w:rsidRDefault="00372B9C" w14:paraId="1D12B7FD"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8.53</w:t>
            </w:r>
          </w:p>
        </w:tc>
        <w:tc>
          <w:tcPr>
            <w:tcW w:w="1431" w:type="dxa"/>
            <w:noWrap/>
            <w:hideMark/>
          </w:tcPr>
          <w:p w:rsidRPr="00B42B87" w:rsidR="00372B9C" w:rsidP="0024330E" w:rsidRDefault="00372B9C" w14:paraId="72292B7D"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2.48, 0.56</w:t>
            </w:r>
          </w:p>
        </w:tc>
      </w:tr>
      <w:tr w:rsidR="00125283" w:rsidTr="00E925E2" w14:paraId="3DC3FFA6"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481A43CC" w14:textId="77777777">
            <w:pPr>
              <w:rPr>
                <w:rFonts w:cstheme="minorHAnsi"/>
                <w:color w:val="000000"/>
                <w:sz w:val="20"/>
                <w:szCs w:val="20"/>
              </w:rPr>
            </w:pPr>
            <w:r w:rsidRPr="00B42B87">
              <w:rPr>
                <w:rFonts w:cstheme="minorHAnsi"/>
                <w:color w:val="000000"/>
                <w:sz w:val="20"/>
                <w:szCs w:val="20"/>
              </w:rPr>
              <w:t>SAB_02</w:t>
            </w:r>
          </w:p>
        </w:tc>
        <w:tc>
          <w:tcPr>
            <w:tcW w:w="1131" w:type="dxa"/>
            <w:noWrap/>
            <w:hideMark/>
          </w:tcPr>
          <w:p w:rsidRPr="00B42B87" w:rsidR="00372B9C" w:rsidRDefault="00372B9C" w14:paraId="32A7D11C"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6B0DFD81"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12C33201"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656218D1"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7F5EFC90"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9.96</w:t>
            </w:r>
          </w:p>
        </w:tc>
        <w:tc>
          <w:tcPr>
            <w:tcW w:w="1431" w:type="dxa"/>
            <w:noWrap/>
            <w:hideMark/>
          </w:tcPr>
          <w:p w:rsidRPr="00B42B87" w:rsidR="00372B9C" w:rsidP="0024330E" w:rsidRDefault="00372B9C" w14:paraId="7A0C1D11"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17F269FC"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2333617E" w14:textId="77777777">
            <w:pPr>
              <w:rPr>
                <w:rFonts w:cstheme="minorHAnsi"/>
                <w:color w:val="000000"/>
                <w:sz w:val="20"/>
                <w:szCs w:val="20"/>
              </w:rPr>
            </w:pPr>
            <w:r w:rsidRPr="00B42B87">
              <w:rPr>
                <w:rFonts w:cstheme="minorHAnsi"/>
                <w:color w:val="000000"/>
                <w:sz w:val="20"/>
                <w:szCs w:val="20"/>
              </w:rPr>
              <w:t>SAB_03</w:t>
            </w:r>
          </w:p>
        </w:tc>
        <w:tc>
          <w:tcPr>
            <w:tcW w:w="1131" w:type="dxa"/>
            <w:noWrap/>
            <w:hideMark/>
          </w:tcPr>
          <w:p w:rsidRPr="00B42B87" w:rsidR="00372B9C" w:rsidRDefault="00372B9C" w14:paraId="052FDE9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187BFD96"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67BC2115"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374E084F"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47A184D5"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8.19</w:t>
            </w:r>
          </w:p>
        </w:tc>
        <w:tc>
          <w:tcPr>
            <w:tcW w:w="1431" w:type="dxa"/>
            <w:noWrap/>
            <w:hideMark/>
          </w:tcPr>
          <w:p w:rsidRPr="00B42B87" w:rsidR="00372B9C" w:rsidP="0024330E" w:rsidRDefault="00372B9C" w14:paraId="1A71B9D2"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13E568D3"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49D8A0F8" w14:textId="77777777">
            <w:pPr>
              <w:rPr>
                <w:rFonts w:cstheme="minorHAnsi"/>
                <w:color w:val="000000"/>
                <w:sz w:val="20"/>
                <w:szCs w:val="20"/>
              </w:rPr>
            </w:pPr>
            <w:r w:rsidRPr="00B42B87">
              <w:rPr>
                <w:rFonts w:cstheme="minorHAnsi"/>
                <w:color w:val="000000"/>
                <w:sz w:val="20"/>
                <w:szCs w:val="20"/>
              </w:rPr>
              <w:t>SAB_04</w:t>
            </w:r>
          </w:p>
        </w:tc>
        <w:tc>
          <w:tcPr>
            <w:tcW w:w="1131" w:type="dxa"/>
            <w:noWrap/>
            <w:hideMark/>
          </w:tcPr>
          <w:p w:rsidRPr="00B42B87" w:rsidR="00372B9C" w:rsidRDefault="00372B9C" w14:paraId="16A41B5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30B8C85F"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3BEBA51A"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5A299FF3"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w:t>
            </w:r>
          </w:p>
        </w:tc>
        <w:tc>
          <w:tcPr>
            <w:tcW w:w="1520" w:type="dxa"/>
            <w:noWrap/>
            <w:hideMark/>
          </w:tcPr>
          <w:p w:rsidRPr="00B42B87" w:rsidR="00372B9C" w:rsidRDefault="00372B9C" w14:paraId="09EA0E63"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8.45</w:t>
            </w:r>
          </w:p>
        </w:tc>
        <w:tc>
          <w:tcPr>
            <w:tcW w:w="1431" w:type="dxa"/>
            <w:noWrap/>
            <w:hideMark/>
          </w:tcPr>
          <w:p w:rsidRPr="00B42B87" w:rsidR="00372B9C" w:rsidP="0024330E" w:rsidRDefault="00372B9C" w14:paraId="7336AF06" w14:textId="77777777">
            <w:pPr>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42B87">
              <w:rPr>
                <w:rFonts w:cstheme="minorHAnsi"/>
                <w:sz w:val="20"/>
                <w:szCs w:val="20"/>
              </w:rPr>
              <w:t>2.12</w:t>
            </w:r>
          </w:p>
        </w:tc>
      </w:tr>
      <w:tr w:rsidR="00125283" w:rsidTr="00E925E2" w14:paraId="2EC5C396"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62F33301" w14:textId="77777777">
            <w:pPr>
              <w:rPr>
                <w:rFonts w:cstheme="minorHAnsi"/>
                <w:color w:val="000000"/>
                <w:sz w:val="20"/>
                <w:szCs w:val="20"/>
              </w:rPr>
            </w:pPr>
            <w:r w:rsidRPr="00B42B87">
              <w:rPr>
                <w:rFonts w:cstheme="minorHAnsi"/>
                <w:color w:val="000000"/>
                <w:sz w:val="20"/>
                <w:szCs w:val="20"/>
              </w:rPr>
              <w:t>SAB_5</w:t>
            </w:r>
          </w:p>
        </w:tc>
        <w:tc>
          <w:tcPr>
            <w:tcW w:w="1131" w:type="dxa"/>
            <w:noWrap/>
            <w:hideMark/>
          </w:tcPr>
          <w:p w:rsidRPr="00B42B87" w:rsidR="00372B9C" w:rsidRDefault="00372B9C" w14:paraId="26F88AB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27EEC17C"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0D818991"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3D873925"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07A8267F"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5.14</w:t>
            </w:r>
          </w:p>
        </w:tc>
        <w:tc>
          <w:tcPr>
            <w:tcW w:w="1431" w:type="dxa"/>
            <w:noWrap/>
            <w:hideMark/>
          </w:tcPr>
          <w:p w:rsidRPr="00B42B87" w:rsidR="00372B9C" w:rsidP="0024330E" w:rsidRDefault="00372B9C" w14:paraId="58D998BF"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2AC69C42"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73ED100E" w14:textId="77777777">
            <w:pPr>
              <w:rPr>
                <w:rFonts w:cstheme="minorHAnsi"/>
                <w:color w:val="000000"/>
                <w:sz w:val="20"/>
                <w:szCs w:val="20"/>
              </w:rPr>
            </w:pPr>
            <w:r w:rsidRPr="00B42B87">
              <w:rPr>
                <w:rFonts w:cstheme="minorHAnsi"/>
                <w:color w:val="000000"/>
                <w:sz w:val="20"/>
                <w:szCs w:val="20"/>
              </w:rPr>
              <w:t>SAB_6</w:t>
            </w:r>
          </w:p>
        </w:tc>
        <w:tc>
          <w:tcPr>
            <w:tcW w:w="1131" w:type="dxa"/>
            <w:noWrap/>
            <w:hideMark/>
          </w:tcPr>
          <w:p w:rsidRPr="00B42B87" w:rsidR="00372B9C" w:rsidRDefault="00372B9C" w14:paraId="688DDCA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2555C39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663C3231"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2E5E7B90"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79B6FD27"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7.20</w:t>
            </w:r>
          </w:p>
        </w:tc>
        <w:tc>
          <w:tcPr>
            <w:tcW w:w="1431" w:type="dxa"/>
            <w:noWrap/>
            <w:hideMark/>
          </w:tcPr>
          <w:p w:rsidRPr="00B42B87" w:rsidR="00372B9C" w:rsidP="0024330E" w:rsidRDefault="00372B9C" w14:paraId="7C1ACA0F"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54468980"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20655EBA" w14:textId="77777777">
            <w:pPr>
              <w:rPr>
                <w:rFonts w:cstheme="minorHAnsi"/>
                <w:color w:val="000000"/>
                <w:sz w:val="20"/>
                <w:szCs w:val="20"/>
              </w:rPr>
            </w:pPr>
            <w:r w:rsidRPr="00B42B87">
              <w:rPr>
                <w:rFonts w:cstheme="minorHAnsi"/>
                <w:color w:val="000000"/>
                <w:sz w:val="20"/>
                <w:szCs w:val="20"/>
              </w:rPr>
              <w:t>SAB_07</w:t>
            </w:r>
          </w:p>
        </w:tc>
        <w:tc>
          <w:tcPr>
            <w:tcW w:w="1131" w:type="dxa"/>
            <w:noWrap/>
            <w:hideMark/>
          </w:tcPr>
          <w:p w:rsidRPr="00B42B87" w:rsidR="00372B9C" w:rsidRDefault="00372B9C" w14:paraId="6BEFDBBC"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6BCDB727"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4DF836BF"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465926A9"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652D0319"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5.43</w:t>
            </w:r>
          </w:p>
        </w:tc>
        <w:tc>
          <w:tcPr>
            <w:tcW w:w="1431" w:type="dxa"/>
            <w:noWrap/>
            <w:hideMark/>
          </w:tcPr>
          <w:p w:rsidRPr="00B42B87" w:rsidR="00372B9C" w:rsidP="0024330E" w:rsidRDefault="00372B9C" w14:paraId="0ADCD0E5"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208635FC"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3115E910" w14:textId="77777777">
            <w:pPr>
              <w:rPr>
                <w:rFonts w:cstheme="minorHAnsi"/>
                <w:color w:val="000000"/>
                <w:sz w:val="20"/>
                <w:szCs w:val="20"/>
              </w:rPr>
            </w:pPr>
            <w:r w:rsidRPr="00B42B87">
              <w:rPr>
                <w:rFonts w:cstheme="minorHAnsi"/>
                <w:color w:val="000000"/>
                <w:sz w:val="20"/>
                <w:szCs w:val="20"/>
              </w:rPr>
              <w:t>SAB_08</w:t>
            </w:r>
          </w:p>
        </w:tc>
        <w:tc>
          <w:tcPr>
            <w:tcW w:w="1131" w:type="dxa"/>
            <w:noWrap/>
            <w:hideMark/>
          </w:tcPr>
          <w:p w:rsidRPr="00B42B87" w:rsidR="00372B9C" w:rsidRDefault="00372B9C" w14:paraId="309AE46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413A0CB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6B072152"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0B963A42"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1D45A602"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6.36</w:t>
            </w:r>
          </w:p>
        </w:tc>
        <w:tc>
          <w:tcPr>
            <w:tcW w:w="1431" w:type="dxa"/>
            <w:noWrap/>
            <w:hideMark/>
          </w:tcPr>
          <w:p w:rsidRPr="00B42B87" w:rsidR="00372B9C" w:rsidP="0024330E" w:rsidRDefault="00372B9C" w14:paraId="13FE5EC4"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125283" w:rsidTr="00E925E2" w14:paraId="5841BCEA"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372B9C" w:rsidRDefault="00372B9C" w14:paraId="57D1C18A" w14:textId="77777777">
            <w:pPr>
              <w:rPr>
                <w:rFonts w:cstheme="minorHAnsi"/>
                <w:color w:val="000000"/>
                <w:sz w:val="20"/>
                <w:szCs w:val="20"/>
              </w:rPr>
            </w:pPr>
            <w:r w:rsidRPr="00B42B87">
              <w:rPr>
                <w:rFonts w:cstheme="minorHAnsi"/>
                <w:color w:val="000000"/>
                <w:sz w:val="20"/>
                <w:szCs w:val="20"/>
              </w:rPr>
              <w:t>SAB_9</w:t>
            </w:r>
          </w:p>
        </w:tc>
        <w:tc>
          <w:tcPr>
            <w:tcW w:w="1131" w:type="dxa"/>
            <w:noWrap/>
            <w:hideMark/>
          </w:tcPr>
          <w:p w:rsidRPr="00B42B87" w:rsidR="00372B9C" w:rsidRDefault="00372B9C" w14:paraId="24FA9F6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372B9C" w:rsidRDefault="00372B9C" w14:paraId="3DC2FFB3"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372B9C" w:rsidP="0024330E" w:rsidRDefault="00372B9C" w14:paraId="7CD84D77"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372B9C" w:rsidP="0024330E" w:rsidRDefault="00372B9C" w14:paraId="1120CD76"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372B9C" w:rsidRDefault="00372B9C" w14:paraId="3276EBD4"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4.13</w:t>
            </w:r>
          </w:p>
        </w:tc>
        <w:tc>
          <w:tcPr>
            <w:tcW w:w="1431" w:type="dxa"/>
            <w:noWrap/>
            <w:hideMark/>
          </w:tcPr>
          <w:p w:rsidRPr="00B42B87" w:rsidR="00372B9C" w:rsidP="0024330E" w:rsidRDefault="00372B9C" w14:paraId="1741F431"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891C61" w:rsidTr="00E925E2" w14:paraId="54DC0005"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35F1B39D" w14:textId="77777777">
            <w:pPr>
              <w:rPr>
                <w:rFonts w:cstheme="minorHAnsi"/>
                <w:color w:val="000000"/>
                <w:sz w:val="20"/>
                <w:szCs w:val="20"/>
              </w:rPr>
            </w:pPr>
            <w:r w:rsidRPr="00B42B87">
              <w:rPr>
                <w:rFonts w:cstheme="minorHAnsi"/>
                <w:color w:val="000000"/>
                <w:sz w:val="20"/>
                <w:szCs w:val="20"/>
              </w:rPr>
              <w:t>SAB_10</w:t>
            </w:r>
          </w:p>
        </w:tc>
        <w:tc>
          <w:tcPr>
            <w:tcW w:w="1131" w:type="dxa"/>
            <w:noWrap/>
            <w:hideMark/>
          </w:tcPr>
          <w:p w:rsidRPr="00B42B87" w:rsidR="00891C61" w:rsidRDefault="00891C61" w14:paraId="1484520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891C61" w:rsidRDefault="00891C61" w14:paraId="334A73D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4A49B3AD"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891C61" w:rsidP="0024330E" w:rsidRDefault="00891C61" w14:paraId="087EC7C5"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w:t>
            </w:r>
          </w:p>
        </w:tc>
        <w:tc>
          <w:tcPr>
            <w:tcW w:w="1520" w:type="dxa"/>
            <w:noWrap/>
            <w:hideMark/>
          </w:tcPr>
          <w:p w:rsidRPr="00B42B87" w:rsidR="00891C61" w:rsidRDefault="00891C61" w14:paraId="02C294D5"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7.30</w:t>
            </w:r>
          </w:p>
        </w:tc>
        <w:tc>
          <w:tcPr>
            <w:tcW w:w="1431" w:type="dxa"/>
            <w:noWrap/>
            <w:hideMark/>
          </w:tcPr>
          <w:p w:rsidRPr="00B42B87" w:rsidR="00891C61" w:rsidP="0024330E" w:rsidRDefault="00891C61" w14:paraId="7DD44EB2"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0.95</w:t>
            </w:r>
          </w:p>
        </w:tc>
      </w:tr>
      <w:tr w:rsidR="00891C61" w:rsidTr="00E925E2" w14:paraId="2C416183"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16F9AC3E" w14:textId="77777777">
            <w:pPr>
              <w:rPr>
                <w:rFonts w:cstheme="minorHAnsi"/>
                <w:color w:val="000000"/>
                <w:sz w:val="20"/>
                <w:szCs w:val="20"/>
              </w:rPr>
            </w:pPr>
            <w:r w:rsidRPr="00B42B87">
              <w:rPr>
                <w:rFonts w:cstheme="minorHAnsi"/>
                <w:color w:val="000000"/>
                <w:sz w:val="20"/>
                <w:szCs w:val="20"/>
              </w:rPr>
              <w:t>SAB_13</w:t>
            </w:r>
          </w:p>
        </w:tc>
        <w:tc>
          <w:tcPr>
            <w:tcW w:w="1131" w:type="dxa"/>
            <w:noWrap/>
            <w:hideMark/>
          </w:tcPr>
          <w:p w:rsidRPr="00B42B87" w:rsidR="00891C61" w:rsidRDefault="00891C61" w14:paraId="035173A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891C61" w:rsidRDefault="00891C61" w14:paraId="66CDCEA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007E2E2D"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891C61" w:rsidP="0024330E" w:rsidRDefault="00891C61" w14:paraId="03BE135F"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w:t>
            </w:r>
          </w:p>
        </w:tc>
        <w:tc>
          <w:tcPr>
            <w:tcW w:w="1520" w:type="dxa"/>
            <w:noWrap/>
            <w:hideMark/>
          </w:tcPr>
          <w:p w:rsidRPr="00B42B87" w:rsidR="00891C61" w:rsidRDefault="00891C61" w14:paraId="2DF9DEA2"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4.04</w:t>
            </w:r>
          </w:p>
        </w:tc>
        <w:tc>
          <w:tcPr>
            <w:tcW w:w="1431" w:type="dxa"/>
            <w:noWrap/>
            <w:hideMark/>
          </w:tcPr>
          <w:p w:rsidRPr="00B42B87" w:rsidR="00891C61" w:rsidP="0024330E" w:rsidRDefault="00891C61" w14:paraId="65DEB7E3"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2.42</w:t>
            </w:r>
          </w:p>
        </w:tc>
      </w:tr>
      <w:tr w:rsidR="00891C61" w:rsidTr="00E925E2" w14:paraId="35DFDFCE"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634698E2" w14:textId="77777777">
            <w:pPr>
              <w:rPr>
                <w:rFonts w:cstheme="minorHAnsi"/>
                <w:color w:val="000000"/>
                <w:sz w:val="20"/>
                <w:szCs w:val="20"/>
              </w:rPr>
            </w:pPr>
            <w:r w:rsidRPr="00B42B87">
              <w:rPr>
                <w:rFonts w:cstheme="minorHAnsi"/>
                <w:color w:val="000000"/>
                <w:sz w:val="20"/>
                <w:szCs w:val="20"/>
              </w:rPr>
              <w:t>SAB_14</w:t>
            </w:r>
          </w:p>
        </w:tc>
        <w:tc>
          <w:tcPr>
            <w:tcW w:w="1131" w:type="dxa"/>
            <w:noWrap/>
            <w:hideMark/>
          </w:tcPr>
          <w:p w:rsidRPr="00B42B87" w:rsidR="00891C61" w:rsidRDefault="00891C61" w14:paraId="2663FC1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891C61" w:rsidRDefault="00891C61" w14:paraId="64CA6D4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44CEE062"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891C61" w:rsidP="0024330E" w:rsidRDefault="00891C61" w14:paraId="4F82F428"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891C61" w:rsidRDefault="00891C61" w14:paraId="6DDD733A"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5.64</w:t>
            </w:r>
          </w:p>
        </w:tc>
        <w:tc>
          <w:tcPr>
            <w:tcW w:w="1431" w:type="dxa"/>
            <w:noWrap/>
            <w:hideMark/>
          </w:tcPr>
          <w:p w:rsidRPr="00B42B87" w:rsidR="00891C61" w:rsidP="0024330E" w:rsidRDefault="00891C61" w14:paraId="639A69F6"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891C61" w:rsidTr="00E925E2" w14:paraId="3C79100D"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6899A8B7" w14:textId="77777777">
            <w:pPr>
              <w:rPr>
                <w:rFonts w:cstheme="minorHAnsi"/>
                <w:color w:val="000000"/>
                <w:sz w:val="20"/>
                <w:szCs w:val="20"/>
              </w:rPr>
            </w:pPr>
            <w:r w:rsidRPr="00B42B87">
              <w:rPr>
                <w:rFonts w:cstheme="minorHAnsi"/>
                <w:color w:val="000000"/>
                <w:sz w:val="20"/>
                <w:szCs w:val="20"/>
              </w:rPr>
              <w:t>SAB_15</w:t>
            </w:r>
          </w:p>
        </w:tc>
        <w:tc>
          <w:tcPr>
            <w:tcW w:w="1131" w:type="dxa"/>
            <w:noWrap/>
            <w:hideMark/>
          </w:tcPr>
          <w:p w:rsidRPr="00B42B87" w:rsidR="00891C61" w:rsidRDefault="00891C61" w14:paraId="69EA6E3D"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891C61" w:rsidRDefault="00891C61" w14:paraId="6193FA5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04F8CAAF"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891C61" w:rsidP="0024330E" w:rsidRDefault="00891C61" w14:paraId="57844994"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w:t>
            </w:r>
          </w:p>
        </w:tc>
        <w:tc>
          <w:tcPr>
            <w:tcW w:w="1520" w:type="dxa"/>
            <w:noWrap/>
            <w:hideMark/>
          </w:tcPr>
          <w:p w:rsidRPr="00B42B87" w:rsidR="00891C61" w:rsidRDefault="00891C61" w14:paraId="0907A0D7"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6.64</w:t>
            </w:r>
          </w:p>
        </w:tc>
        <w:tc>
          <w:tcPr>
            <w:tcW w:w="1431" w:type="dxa"/>
            <w:noWrap/>
            <w:hideMark/>
          </w:tcPr>
          <w:p w:rsidRPr="00B42B87" w:rsidR="00891C61" w:rsidP="0024330E" w:rsidRDefault="00891C61" w14:paraId="04B20511" w14:textId="77777777">
            <w:pPr>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42B87">
              <w:rPr>
                <w:rFonts w:cstheme="minorHAnsi"/>
                <w:sz w:val="20"/>
                <w:szCs w:val="20"/>
              </w:rPr>
              <w:t>4.76</w:t>
            </w:r>
          </w:p>
        </w:tc>
      </w:tr>
      <w:tr w:rsidR="00891C61" w:rsidTr="00E925E2" w14:paraId="5C62F711"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0B69A961" w14:textId="77777777">
            <w:pPr>
              <w:rPr>
                <w:rFonts w:cstheme="minorHAnsi"/>
                <w:color w:val="000000"/>
                <w:sz w:val="20"/>
                <w:szCs w:val="20"/>
              </w:rPr>
            </w:pPr>
            <w:r w:rsidRPr="00B42B87">
              <w:rPr>
                <w:rFonts w:cstheme="minorHAnsi"/>
                <w:color w:val="000000"/>
                <w:sz w:val="20"/>
                <w:szCs w:val="20"/>
              </w:rPr>
              <w:t>SAB_16</w:t>
            </w:r>
          </w:p>
        </w:tc>
        <w:tc>
          <w:tcPr>
            <w:tcW w:w="1131" w:type="dxa"/>
            <w:noWrap/>
            <w:hideMark/>
          </w:tcPr>
          <w:p w:rsidRPr="00B42B87" w:rsidR="00891C61" w:rsidRDefault="00891C61" w14:paraId="6F939BD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891C61" w:rsidRDefault="00891C61" w14:paraId="0CCF853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10375D17"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891C61" w:rsidP="0024330E" w:rsidRDefault="00891C61" w14:paraId="36FAEC5C"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891C61" w:rsidRDefault="00891C61" w14:paraId="534A5751"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3.63</w:t>
            </w:r>
          </w:p>
        </w:tc>
        <w:tc>
          <w:tcPr>
            <w:tcW w:w="1431" w:type="dxa"/>
            <w:noWrap/>
            <w:hideMark/>
          </w:tcPr>
          <w:p w:rsidRPr="00B42B87" w:rsidR="00891C61" w:rsidP="0024330E" w:rsidRDefault="00891C61" w14:paraId="6604ACB8"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891C61" w:rsidTr="00E925E2" w14:paraId="58161BAA"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5BAD3A6A" w14:textId="77777777">
            <w:pPr>
              <w:rPr>
                <w:rFonts w:cstheme="minorHAnsi"/>
                <w:color w:val="000000"/>
                <w:sz w:val="20"/>
                <w:szCs w:val="20"/>
              </w:rPr>
            </w:pPr>
            <w:r w:rsidRPr="00B42B87">
              <w:rPr>
                <w:rFonts w:cstheme="minorHAnsi"/>
                <w:color w:val="000000"/>
                <w:sz w:val="20"/>
                <w:szCs w:val="20"/>
              </w:rPr>
              <w:t>SAB_19</w:t>
            </w:r>
          </w:p>
        </w:tc>
        <w:tc>
          <w:tcPr>
            <w:tcW w:w="1131" w:type="dxa"/>
            <w:noWrap/>
            <w:hideMark/>
          </w:tcPr>
          <w:p w:rsidRPr="00B42B87" w:rsidR="00891C61" w:rsidRDefault="00891C61" w14:paraId="1FA6DC4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891C61" w:rsidRDefault="00891C61" w14:paraId="5F5DA5F3"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26B4356B"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891C61" w:rsidP="0024330E" w:rsidRDefault="00891C61" w14:paraId="6A72110D"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891C61" w:rsidRDefault="00891C61" w14:paraId="35050EFE"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6.12</w:t>
            </w:r>
          </w:p>
        </w:tc>
        <w:tc>
          <w:tcPr>
            <w:tcW w:w="1431" w:type="dxa"/>
            <w:noWrap/>
            <w:hideMark/>
          </w:tcPr>
          <w:p w:rsidRPr="00B42B87" w:rsidR="00891C61" w:rsidP="0024330E" w:rsidRDefault="00891C61" w14:paraId="1E1CF600"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891C61" w:rsidTr="00E925E2" w14:paraId="3D71A687"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63303567" w14:textId="77777777">
            <w:pPr>
              <w:rPr>
                <w:rFonts w:cstheme="minorHAnsi"/>
                <w:color w:val="000000"/>
                <w:sz w:val="20"/>
                <w:szCs w:val="20"/>
              </w:rPr>
            </w:pPr>
            <w:r w:rsidRPr="00B42B87">
              <w:rPr>
                <w:rFonts w:cstheme="minorHAnsi"/>
                <w:color w:val="000000"/>
                <w:sz w:val="20"/>
                <w:szCs w:val="20"/>
              </w:rPr>
              <w:t>SAB_20</w:t>
            </w:r>
          </w:p>
        </w:tc>
        <w:tc>
          <w:tcPr>
            <w:tcW w:w="1131" w:type="dxa"/>
            <w:noWrap/>
            <w:hideMark/>
          </w:tcPr>
          <w:p w:rsidRPr="00B42B87" w:rsidR="00891C61" w:rsidRDefault="00891C61" w14:paraId="4B7D98CB"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891C61" w:rsidRDefault="00891C61" w14:paraId="2C5B7E9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4D13137B"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891C61" w:rsidP="0024330E" w:rsidRDefault="00891C61" w14:paraId="6FDF4639"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w:t>
            </w:r>
          </w:p>
        </w:tc>
        <w:tc>
          <w:tcPr>
            <w:tcW w:w="1520" w:type="dxa"/>
            <w:noWrap/>
            <w:hideMark/>
          </w:tcPr>
          <w:p w:rsidRPr="00B42B87" w:rsidR="00891C61" w:rsidRDefault="00891C61" w14:paraId="6395F22A"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6.32</w:t>
            </w:r>
          </w:p>
        </w:tc>
        <w:tc>
          <w:tcPr>
            <w:tcW w:w="1431" w:type="dxa"/>
            <w:noWrap/>
            <w:hideMark/>
          </w:tcPr>
          <w:p w:rsidRPr="00B42B87" w:rsidR="00891C61" w:rsidP="0024330E" w:rsidRDefault="00891C61" w14:paraId="0A782009"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0.28</w:t>
            </w:r>
          </w:p>
        </w:tc>
      </w:tr>
      <w:tr w:rsidR="00891C61" w:rsidTr="00E925E2" w14:paraId="45920F53"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4C0E57CB" w14:textId="77777777">
            <w:pPr>
              <w:rPr>
                <w:rFonts w:cstheme="minorHAnsi"/>
                <w:color w:val="000000"/>
                <w:sz w:val="20"/>
                <w:szCs w:val="20"/>
              </w:rPr>
            </w:pPr>
            <w:r w:rsidRPr="00B42B87">
              <w:rPr>
                <w:rFonts w:cstheme="minorHAnsi"/>
                <w:color w:val="000000"/>
                <w:sz w:val="20"/>
                <w:szCs w:val="20"/>
              </w:rPr>
              <w:t>SAB_21</w:t>
            </w:r>
          </w:p>
        </w:tc>
        <w:tc>
          <w:tcPr>
            <w:tcW w:w="1131" w:type="dxa"/>
            <w:noWrap/>
            <w:hideMark/>
          </w:tcPr>
          <w:p w:rsidRPr="00B42B87" w:rsidR="00891C61" w:rsidRDefault="00891C61" w14:paraId="5D4ADCE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SAB</w:t>
            </w:r>
          </w:p>
        </w:tc>
        <w:tc>
          <w:tcPr>
            <w:tcW w:w="1431" w:type="dxa"/>
            <w:noWrap/>
            <w:hideMark/>
          </w:tcPr>
          <w:p w:rsidRPr="00B42B87" w:rsidR="00891C61" w:rsidRDefault="00891C61" w14:paraId="1C09D281"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3FDD5C01"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w:t>
            </w:r>
          </w:p>
        </w:tc>
        <w:tc>
          <w:tcPr>
            <w:tcW w:w="1302" w:type="dxa"/>
            <w:noWrap/>
            <w:hideMark/>
          </w:tcPr>
          <w:p w:rsidRPr="00B42B87" w:rsidR="00891C61" w:rsidP="0024330E" w:rsidRDefault="00891C61" w14:paraId="2A1F7499"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891C61" w:rsidRDefault="00891C61" w14:paraId="13C8CA15"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3.69</w:t>
            </w:r>
          </w:p>
        </w:tc>
        <w:tc>
          <w:tcPr>
            <w:tcW w:w="1431" w:type="dxa"/>
            <w:noWrap/>
            <w:hideMark/>
          </w:tcPr>
          <w:p w:rsidRPr="00B42B87" w:rsidR="00891C61" w:rsidP="0024330E" w:rsidRDefault="00891C61" w14:paraId="18FD3975"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891C61" w:rsidTr="00E925E2" w14:paraId="0961BD68"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0F62CA7B" w14:textId="77777777">
            <w:pPr>
              <w:rPr>
                <w:rFonts w:cstheme="minorHAnsi"/>
                <w:color w:val="000000"/>
                <w:sz w:val="20"/>
                <w:szCs w:val="20"/>
              </w:rPr>
            </w:pPr>
            <w:r w:rsidRPr="00B42B87">
              <w:rPr>
                <w:rFonts w:cstheme="minorHAnsi"/>
                <w:color w:val="000000"/>
                <w:sz w:val="20"/>
                <w:szCs w:val="20"/>
              </w:rPr>
              <w:t>STAB_01</w:t>
            </w:r>
          </w:p>
        </w:tc>
        <w:tc>
          <w:tcPr>
            <w:tcW w:w="1131" w:type="dxa"/>
            <w:noWrap/>
            <w:hideMark/>
          </w:tcPr>
          <w:p w:rsidRPr="00B42B87" w:rsidR="00891C61" w:rsidRDefault="00891C61" w14:paraId="5BFE96A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891C61" w:rsidRDefault="00891C61" w14:paraId="50E6EA9F"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45C3C10F"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w:t>
            </w:r>
          </w:p>
        </w:tc>
        <w:tc>
          <w:tcPr>
            <w:tcW w:w="1302" w:type="dxa"/>
            <w:noWrap/>
            <w:hideMark/>
          </w:tcPr>
          <w:p w:rsidRPr="00B42B87" w:rsidR="00891C61" w:rsidP="0024330E" w:rsidRDefault="00891C61" w14:paraId="01D23A7D"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891C61" w:rsidRDefault="00891C61" w14:paraId="791A7F4F"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3.47</w:t>
            </w:r>
          </w:p>
        </w:tc>
        <w:tc>
          <w:tcPr>
            <w:tcW w:w="1431" w:type="dxa"/>
            <w:noWrap/>
            <w:hideMark/>
          </w:tcPr>
          <w:p w:rsidRPr="00B42B87" w:rsidR="00891C61" w:rsidP="0024330E" w:rsidRDefault="00891C61" w14:paraId="0892F8DC"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891C61" w:rsidTr="00E925E2" w14:paraId="7CD5C79D"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05ABFC14" w14:textId="77777777">
            <w:pPr>
              <w:rPr>
                <w:rFonts w:cstheme="minorHAnsi"/>
                <w:color w:val="000000"/>
                <w:sz w:val="20"/>
                <w:szCs w:val="20"/>
              </w:rPr>
            </w:pPr>
            <w:r w:rsidRPr="00B42B87">
              <w:rPr>
                <w:rFonts w:cstheme="minorHAnsi"/>
                <w:color w:val="000000"/>
                <w:sz w:val="20"/>
                <w:szCs w:val="20"/>
              </w:rPr>
              <w:t>STAB_02</w:t>
            </w:r>
          </w:p>
        </w:tc>
        <w:tc>
          <w:tcPr>
            <w:tcW w:w="1131" w:type="dxa"/>
            <w:noWrap/>
            <w:hideMark/>
          </w:tcPr>
          <w:p w:rsidRPr="00B42B87" w:rsidR="00891C61" w:rsidRDefault="00891C61" w14:paraId="31F22EB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891C61" w:rsidRDefault="00891C61" w14:paraId="32F6AC5F"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3C3F9174"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w:t>
            </w:r>
          </w:p>
        </w:tc>
        <w:tc>
          <w:tcPr>
            <w:tcW w:w="1302" w:type="dxa"/>
            <w:noWrap/>
            <w:hideMark/>
          </w:tcPr>
          <w:p w:rsidRPr="00B42B87" w:rsidR="00891C61" w:rsidP="0024330E" w:rsidRDefault="00891C61" w14:paraId="6DBBD9EB"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891C61" w:rsidRDefault="00891C61" w14:paraId="5AA3F0D9"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2.77</w:t>
            </w:r>
          </w:p>
        </w:tc>
        <w:tc>
          <w:tcPr>
            <w:tcW w:w="1431" w:type="dxa"/>
            <w:noWrap/>
            <w:hideMark/>
          </w:tcPr>
          <w:p w:rsidRPr="00B42B87" w:rsidR="00891C61" w:rsidP="0024330E" w:rsidRDefault="00891C61" w14:paraId="5E5BA500"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891C61" w:rsidTr="00E925E2" w14:paraId="034EE0ED"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3057D157" w14:textId="77777777">
            <w:pPr>
              <w:rPr>
                <w:rFonts w:cstheme="minorHAnsi"/>
                <w:color w:val="000000"/>
                <w:sz w:val="20"/>
                <w:szCs w:val="20"/>
              </w:rPr>
            </w:pPr>
            <w:r w:rsidRPr="00B42B87">
              <w:rPr>
                <w:rFonts w:cstheme="minorHAnsi"/>
                <w:color w:val="000000"/>
                <w:sz w:val="20"/>
                <w:szCs w:val="20"/>
              </w:rPr>
              <w:t>STAB_03</w:t>
            </w:r>
          </w:p>
        </w:tc>
        <w:tc>
          <w:tcPr>
            <w:tcW w:w="1131" w:type="dxa"/>
            <w:noWrap/>
            <w:hideMark/>
          </w:tcPr>
          <w:p w:rsidRPr="00B42B87" w:rsidR="00891C61" w:rsidRDefault="00891C61" w14:paraId="3406C176"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891C61" w:rsidRDefault="00891C61" w14:paraId="023890F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4F1DA640"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w:t>
            </w:r>
          </w:p>
        </w:tc>
        <w:tc>
          <w:tcPr>
            <w:tcW w:w="1302" w:type="dxa"/>
            <w:noWrap/>
            <w:hideMark/>
          </w:tcPr>
          <w:p w:rsidRPr="00B42B87" w:rsidR="00891C61" w:rsidP="0024330E" w:rsidRDefault="00891C61" w14:paraId="3F7FB547"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891C61" w:rsidRDefault="00891C61" w14:paraId="215A2EF9"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2.81</w:t>
            </w:r>
          </w:p>
        </w:tc>
        <w:tc>
          <w:tcPr>
            <w:tcW w:w="1431" w:type="dxa"/>
            <w:noWrap/>
            <w:hideMark/>
          </w:tcPr>
          <w:p w:rsidRPr="00B42B87" w:rsidR="00891C61" w:rsidP="0024330E" w:rsidRDefault="00891C61" w14:paraId="1BC8D98E"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891C61" w:rsidTr="00E925E2" w14:paraId="72EBDAC7"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04178A64" w14:textId="77777777">
            <w:pPr>
              <w:rPr>
                <w:rFonts w:cstheme="minorHAnsi"/>
                <w:color w:val="000000"/>
                <w:sz w:val="20"/>
                <w:szCs w:val="20"/>
              </w:rPr>
            </w:pPr>
            <w:r w:rsidRPr="00B42B87">
              <w:rPr>
                <w:rFonts w:cstheme="minorHAnsi"/>
                <w:color w:val="000000"/>
                <w:sz w:val="20"/>
                <w:szCs w:val="20"/>
              </w:rPr>
              <w:t>STAB_04</w:t>
            </w:r>
          </w:p>
        </w:tc>
        <w:tc>
          <w:tcPr>
            <w:tcW w:w="1131" w:type="dxa"/>
            <w:noWrap/>
            <w:hideMark/>
          </w:tcPr>
          <w:p w:rsidRPr="00B42B87" w:rsidR="00891C61" w:rsidRDefault="00891C61" w14:paraId="1624CAD7"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891C61" w:rsidRDefault="00891C61" w14:paraId="1C866088"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6A32021B"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w:t>
            </w:r>
          </w:p>
        </w:tc>
        <w:tc>
          <w:tcPr>
            <w:tcW w:w="1302" w:type="dxa"/>
            <w:noWrap/>
            <w:hideMark/>
          </w:tcPr>
          <w:p w:rsidRPr="00B42B87" w:rsidR="00891C61" w:rsidP="0024330E" w:rsidRDefault="00891C61" w14:paraId="1B87ACF3"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891C61" w:rsidRDefault="00891C61" w14:paraId="3F02AE0F"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1.27</w:t>
            </w:r>
          </w:p>
        </w:tc>
        <w:tc>
          <w:tcPr>
            <w:tcW w:w="1431" w:type="dxa"/>
            <w:noWrap/>
            <w:hideMark/>
          </w:tcPr>
          <w:p w:rsidRPr="00B42B87" w:rsidR="00891C61" w:rsidP="0024330E" w:rsidRDefault="00891C61" w14:paraId="64DC4FBC"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891C61" w:rsidTr="00E925E2" w14:paraId="68AE86D0"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5D34EB51" w14:textId="77777777">
            <w:pPr>
              <w:rPr>
                <w:rFonts w:cstheme="minorHAnsi"/>
                <w:color w:val="000000"/>
                <w:sz w:val="20"/>
                <w:szCs w:val="20"/>
              </w:rPr>
            </w:pPr>
            <w:r w:rsidRPr="00B42B87">
              <w:rPr>
                <w:rFonts w:cstheme="minorHAnsi"/>
                <w:color w:val="000000"/>
                <w:sz w:val="20"/>
                <w:szCs w:val="20"/>
              </w:rPr>
              <w:t>STAB_05</w:t>
            </w:r>
          </w:p>
        </w:tc>
        <w:tc>
          <w:tcPr>
            <w:tcW w:w="1131" w:type="dxa"/>
            <w:noWrap/>
            <w:hideMark/>
          </w:tcPr>
          <w:p w:rsidRPr="00B42B87" w:rsidR="00891C61" w:rsidRDefault="00891C61" w14:paraId="52347956"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891C61" w:rsidRDefault="00891C61" w14:paraId="421FBC3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5683AFD7"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w:t>
            </w:r>
          </w:p>
        </w:tc>
        <w:tc>
          <w:tcPr>
            <w:tcW w:w="1302" w:type="dxa"/>
            <w:noWrap/>
            <w:hideMark/>
          </w:tcPr>
          <w:p w:rsidRPr="00B42B87" w:rsidR="00891C61" w:rsidP="0024330E" w:rsidRDefault="00891C61" w14:paraId="14FDB79B"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891C61" w:rsidRDefault="00891C61" w14:paraId="64796962"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1.18</w:t>
            </w:r>
          </w:p>
        </w:tc>
        <w:tc>
          <w:tcPr>
            <w:tcW w:w="1431" w:type="dxa"/>
            <w:noWrap/>
            <w:hideMark/>
          </w:tcPr>
          <w:p w:rsidRPr="00B42B87" w:rsidR="00891C61" w:rsidP="0024330E" w:rsidRDefault="00891C61" w14:paraId="20CCB7A9"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r w:rsidR="00891C61" w:rsidTr="00E925E2" w14:paraId="70DBB832" w14:textId="77777777">
        <w:trPr>
          <w:trHeight w:val="250"/>
        </w:trPr>
        <w:tc>
          <w:tcPr>
            <w:cnfStyle w:val="001000000000" w:firstRow="0" w:lastRow="0" w:firstColumn="1" w:lastColumn="0" w:oddVBand="0" w:evenVBand="0" w:oddHBand="0" w:evenHBand="0" w:firstRowFirstColumn="0" w:firstRowLastColumn="0" w:lastRowFirstColumn="0" w:lastRowLastColumn="0"/>
            <w:tcW w:w="1342" w:type="dxa"/>
            <w:noWrap/>
            <w:hideMark/>
          </w:tcPr>
          <w:p w:rsidRPr="00B42B87" w:rsidR="00891C61" w:rsidRDefault="00891C61" w14:paraId="0A76D127" w14:textId="77777777">
            <w:pPr>
              <w:rPr>
                <w:rFonts w:cstheme="minorHAnsi"/>
                <w:color w:val="000000"/>
                <w:sz w:val="20"/>
                <w:szCs w:val="20"/>
              </w:rPr>
            </w:pPr>
            <w:r w:rsidRPr="00B42B87">
              <w:rPr>
                <w:rFonts w:cstheme="minorHAnsi"/>
                <w:color w:val="000000"/>
                <w:sz w:val="20"/>
                <w:szCs w:val="20"/>
              </w:rPr>
              <w:t>STAB_06</w:t>
            </w:r>
          </w:p>
        </w:tc>
        <w:tc>
          <w:tcPr>
            <w:tcW w:w="1131" w:type="dxa"/>
            <w:noWrap/>
            <w:hideMark/>
          </w:tcPr>
          <w:p w:rsidRPr="00B42B87" w:rsidR="00891C61" w:rsidRDefault="00891C61" w14:paraId="0B4274C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AZMP</w:t>
            </w:r>
          </w:p>
        </w:tc>
        <w:tc>
          <w:tcPr>
            <w:tcW w:w="1431" w:type="dxa"/>
            <w:noWrap/>
            <w:hideMark/>
          </w:tcPr>
          <w:p w:rsidRPr="00B42B87" w:rsidR="00891C61" w:rsidRDefault="00891C61" w14:paraId="0F85AA57"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Ethanol</w:t>
            </w:r>
          </w:p>
        </w:tc>
        <w:tc>
          <w:tcPr>
            <w:tcW w:w="1203" w:type="dxa"/>
            <w:noWrap/>
            <w:hideMark/>
          </w:tcPr>
          <w:p w:rsidRPr="00B42B87" w:rsidR="00891C61" w:rsidP="0024330E" w:rsidRDefault="00891C61" w14:paraId="15E4951D"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2</w:t>
            </w:r>
          </w:p>
        </w:tc>
        <w:tc>
          <w:tcPr>
            <w:tcW w:w="1302" w:type="dxa"/>
            <w:noWrap/>
            <w:hideMark/>
          </w:tcPr>
          <w:p w:rsidRPr="00B42B87" w:rsidR="00891C61" w:rsidP="0024330E" w:rsidRDefault="00891C61" w14:paraId="7D393447"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0</w:t>
            </w:r>
          </w:p>
        </w:tc>
        <w:tc>
          <w:tcPr>
            <w:tcW w:w="1520" w:type="dxa"/>
            <w:noWrap/>
            <w:hideMark/>
          </w:tcPr>
          <w:p w:rsidRPr="00B42B87" w:rsidR="00891C61" w:rsidRDefault="00891C61" w14:paraId="16977138"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42B87">
              <w:rPr>
                <w:rFonts w:cstheme="minorHAnsi"/>
                <w:color w:val="000000"/>
                <w:sz w:val="20"/>
                <w:szCs w:val="20"/>
              </w:rPr>
              <w:t>1.17</w:t>
            </w:r>
          </w:p>
        </w:tc>
        <w:tc>
          <w:tcPr>
            <w:tcW w:w="1431" w:type="dxa"/>
            <w:noWrap/>
            <w:hideMark/>
          </w:tcPr>
          <w:p w:rsidRPr="00B42B87" w:rsidR="00891C61" w:rsidP="0024330E" w:rsidRDefault="00891C61" w14:paraId="4ADF3AB3" w14:textId="77777777">
            <w:pPr>
              <w:jc w:val="right"/>
              <w:cnfStyle w:val="000000000000" w:firstRow="0" w:lastRow="0" w:firstColumn="0" w:lastColumn="0" w:oddVBand="0" w:evenVBand="0" w:oddHBand="0" w:evenHBand="0" w:firstRowFirstColumn="0" w:firstRowLastColumn="0" w:lastRowFirstColumn="0" w:lastRowLastColumn="0"/>
              <w:rPr>
                <w:rFonts w:cstheme="minorHAnsi"/>
                <w:color w:val="AEAAAA"/>
                <w:sz w:val="20"/>
                <w:szCs w:val="20"/>
              </w:rPr>
            </w:pPr>
            <w:r w:rsidRPr="00B42B87">
              <w:rPr>
                <w:rFonts w:cstheme="minorHAnsi"/>
                <w:color w:val="AEAAAA"/>
                <w:sz w:val="20"/>
                <w:szCs w:val="20"/>
              </w:rPr>
              <w:t>N/A</w:t>
            </w:r>
          </w:p>
        </w:tc>
      </w:tr>
    </w:tbl>
    <w:p w:rsidR="0090772F" w:rsidP="00844BFD" w:rsidRDefault="00C70758" w14:paraId="6E0AC46B" w14:textId="1B1F85BE">
      <w:pPr>
        <w:pStyle w:val="Heading2"/>
        <w:rPr>
          <w:color w:val="auto"/>
          <w:sz w:val="20"/>
          <w:szCs w:val="20"/>
        </w:rPr>
      </w:pPr>
      <w:r w:rsidRPr="000B6627">
        <w:rPr>
          <w:color w:val="00B050"/>
          <w:sz w:val="20"/>
          <w:szCs w:val="20"/>
        </w:rPr>
        <w:t>BQL</w:t>
      </w:r>
      <w:r w:rsidRPr="00C70758">
        <w:rPr>
          <w:color w:val="auto"/>
          <w:sz w:val="20"/>
          <w:szCs w:val="20"/>
        </w:rPr>
        <w:t xml:space="preserve"> = Below Quantifiable Limit.</w:t>
      </w:r>
    </w:p>
    <w:p w:rsidR="00C70758" w:rsidP="00DC1E71" w:rsidRDefault="00C70758" w14:paraId="4162AA8E" w14:textId="77777777">
      <w:pPr>
        <w:pStyle w:val="NoSpacing"/>
      </w:pPr>
    </w:p>
    <w:p w:rsidR="00C70758" w:rsidP="00C70758" w:rsidRDefault="00C70758" w14:paraId="0951B612" w14:textId="49861A5F">
      <w:pPr>
        <w:pStyle w:val="Heading2"/>
      </w:pPr>
      <w:r>
        <w:t>2.  Optimization of qPCR Assays</w:t>
      </w:r>
    </w:p>
    <w:p w:rsidR="00C70758" w:rsidP="00DC1E71" w:rsidRDefault="00085D5C" w14:paraId="194D4668" w14:textId="443C9A24">
      <w:pPr>
        <w:ind w:firstLine="360"/>
      </w:pPr>
      <w:r>
        <w:t>Assays for three species, Atlantic cod</w:t>
      </w:r>
      <w:r w:rsidR="00C64CEB">
        <w:t xml:space="preserve"> (</w:t>
      </w:r>
      <w:r w:rsidRPr="00C64CEB" w:rsidR="00C64CEB">
        <w:rPr>
          <w:i/>
          <w:iCs/>
        </w:rPr>
        <w:t xml:space="preserve">Gadus </w:t>
      </w:r>
      <w:proofErr w:type="spellStart"/>
      <w:r w:rsidRPr="00C64CEB" w:rsidR="00C64CEB">
        <w:rPr>
          <w:i/>
          <w:iCs/>
        </w:rPr>
        <w:t>morhua</w:t>
      </w:r>
      <w:proofErr w:type="spellEnd"/>
      <w:r w:rsidR="00C64CEB">
        <w:t>)</w:t>
      </w:r>
      <w:r>
        <w:t>, Atlantic halibut</w:t>
      </w:r>
      <w:r w:rsidR="00C64CEB">
        <w:t xml:space="preserve"> (</w:t>
      </w:r>
      <w:proofErr w:type="spellStart"/>
      <w:r w:rsidRPr="00C64CEB" w:rsidR="00C64CEB">
        <w:rPr>
          <w:i/>
          <w:iCs/>
        </w:rPr>
        <w:t>Hippoglossus</w:t>
      </w:r>
      <w:proofErr w:type="spellEnd"/>
      <w:r w:rsidRPr="00C64CEB" w:rsidR="00C64CEB">
        <w:rPr>
          <w:i/>
          <w:iCs/>
        </w:rPr>
        <w:t xml:space="preserve"> </w:t>
      </w:r>
      <w:proofErr w:type="spellStart"/>
      <w:r w:rsidRPr="00C64CEB" w:rsidR="00C64CEB">
        <w:rPr>
          <w:i/>
          <w:iCs/>
        </w:rPr>
        <w:t>hippoglossus</w:t>
      </w:r>
      <w:proofErr w:type="spellEnd"/>
      <w:r w:rsidR="00C64CEB">
        <w:t>)</w:t>
      </w:r>
      <w:r>
        <w:t>, and Atlantic Wolffish</w:t>
      </w:r>
      <w:r w:rsidR="00C64CEB">
        <w:t xml:space="preserve"> (</w:t>
      </w:r>
      <w:proofErr w:type="spellStart"/>
      <w:r w:rsidRPr="00C64CEB" w:rsidR="00C64CEB">
        <w:rPr>
          <w:i/>
          <w:iCs/>
        </w:rPr>
        <w:t>Anarhichas</w:t>
      </w:r>
      <w:proofErr w:type="spellEnd"/>
      <w:r w:rsidRPr="00C64CEB" w:rsidR="00C64CEB">
        <w:rPr>
          <w:i/>
          <w:iCs/>
        </w:rPr>
        <w:t xml:space="preserve"> lupus</w:t>
      </w:r>
      <w:r w:rsidRPr="00C64CEB" w:rsidR="00C64CEB">
        <w:t>)</w:t>
      </w:r>
      <w:r>
        <w:t xml:space="preserve">, </w:t>
      </w:r>
      <w:r w:rsidR="00446528">
        <w:t xml:space="preserve">were optimized based on </w:t>
      </w:r>
      <w:r w:rsidR="002632BF">
        <w:t xml:space="preserve">qPCR conditions </w:t>
      </w:r>
      <w:r w:rsidR="00446528">
        <w:t xml:space="preserve">laid out in </w:t>
      </w:r>
      <w:r w:rsidR="006039FC">
        <w:t xml:space="preserve">literature sources listed in </w:t>
      </w:r>
      <w:r w:rsidR="00C64CEB">
        <w:t>Table 2</w:t>
      </w:r>
      <w:r w:rsidR="00446528">
        <w:t>.</w:t>
      </w:r>
      <w:r w:rsidR="00250FDA">
        <w:t xml:space="preserve"> The primer and probe sequences for each assay are outlined in Table 3.</w:t>
      </w:r>
    </w:p>
    <w:p w:rsidR="00DC1E71" w:rsidP="00DC1E71" w:rsidRDefault="00DC1E71" w14:paraId="1EE610E1" w14:textId="0B70FC54">
      <w:pPr>
        <w:pStyle w:val="NoSpacing"/>
      </w:pPr>
      <w:r w:rsidRPr="00282A21">
        <w:rPr>
          <w:b/>
          <w:bCs/>
        </w:rPr>
        <w:t>Table 2</w:t>
      </w:r>
      <w:r>
        <w:t>. Optimized assay conditions tested by ABL.</w:t>
      </w:r>
    </w:p>
    <w:tbl>
      <w:tblPr>
        <w:tblStyle w:val="GridTable1Light"/>
        <w:tblW w:w="9450" w:type="dxa"/>
        <w:tblLayout w:type="fixed"/>
        <w:tblLook w:val="04A0" w:firstRow="1" w:lastRow="0" w:firstColumn="1" w:lastColumn="0" w:noHBand="0" w:noVBand="1"/>
      </w:tblPr>
      <w:tblGrid>
        <w:gridCol w:w="1620"/>
        <w:gridCol w:w="1235"/>
        <w:gridCol w:w="792"/>
        <w:gridCol w:w="2383"/>
        <w:gridCol w:w="1980"/>
        <w:gridCol w:w="1440"/>
      </w:tblGrid>
      <w:tr w:rsidR="00DC1E71" w:rsidTr="00E925E2" w14:paraId="0E13AC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DC1E71" w:rsidP="00FE471F" w:rsidRDefault="00DC1E71" w14:paraId="7B225117" w14:textId="77777777">
            <w:r>
              <w:t>Assay</w:t>
            </w:r>
          </w:p>
        </w:tc>
        <w:tc>
          <w:tcPr>
            <w:tcW w:w="1235" w:type="dxa"/>
          </w:tcPr>
          <w:p w:rsidR="00DC1E71" w:rsidP="00FE471F" w:rsidRDefault="00DC1E71" w14:paraId="6E8DD8E3" w14:textId="77777777">
            <w:pPr>
              <w:jc w:val="center"/>
              <w:cnfStyle w:val="100000000000" w:firstRow="1" w:lastRow="0" w:firstColumn="0" w:lastColumn="0" w:oddVBand="0" w:evenVBand="0" w:oddHBand="0" w:evenHBand="0" w:firstRowFirstColumn="0" w:firstRowLastColumn="0" w:lastRowFirstColumn="0" w:lastRowLastColumn="0"/>
            </w:pPr>
            <w:r>
              <w:t>Target Region</w:t>
            </w:r>
          </w:p>
        </w:tc>
        <w:tc>
          <w:tcPr>
            <w:tcW w:w="792" w:type="dxa"/>
          </w:tcPr>
          <w:p w:rsidR="00DC1E71" w:rsidP="00FE471F" w:rsidRDefault="00DC1E71" w14:paraId="52C66E48" w14:textId="77777777">
            <w:pPr>
              <w:jc w:val="center"/>
              <w:cnfStyle w:val="100000000000" w:firstRow="1" w:lastRow="0" w:firstColumn="0" w:lastColumn="0" w:oddVBand="0" w:evenVBand="0" w:oddHBand="0" w:evenHBand="0" w:firstRowFirstColumn="0" w:firstRowLastColumn="0" w:lastRowFirstColumn="0" w:lastRowLastColumn="0"/>
            </w:pPr>
            <w:r>
              <w:t>T</w:t>
            </w:r>
            <w:r w:rsidRPr="00C64CEB">
              <w:rPr>
                <w:vertAlign w:val="subscript"/>
              </w:rPr>
              <w:t>A</w:t>
            </w:r>
          </w:p>
        </w:tc>
        <w:tc>
          <w:tcPr>
            <w:tcW w:w="2383" w:type="dxa"/>
          </w:tcPr>
          <w:p w:rsidR="00DC1E71" w:rsidP="00FE471F" w:rsidRDefault="00DC1E71" w14:paraId="218196B3" w14:textId="77777777">
            <w:pPr>
              <w:cnfStyle w:val="100000000000" w:firstRow="1" w:lastRow="0" w:firstColumn="0" w:lastColumn="0" w:oddVBand="0" w:evenVBand="0" w:oddHBand="0" w:evenHBand="0" w:firstRowFirstColumn="0" w:firstRowLastColumn="0" w:lastRowFirstColumn="0" w:lastRowLastColumn="0"/>
            </w:pPr>
            <w:r>
              <w:t>Primer/Probe Concentration</w:t>
            </w:r>
          </w:p>
        </w:tc>
        <w:tc>
          <w:tcPr>
            <w:tcW w:w="1980" w:type="dxa"/>
          </w:tcPr>
          <w:p w:rsidR="00DC1E71" w:rsidP="00FE471F" w:rsidRDefault="00DC1E71" w14:paraId="037F2301" w14:textId="77777777">
            <w:pPr>
              <w:cnfStyle w:val="100000000000" w:firstRow="1" w:lastRow="0" w:firstColumn="0" w:lastColumn="0" w:oddVBand="0" w:evenVBand="0" w:oddHBand="0" w:evenHBand="0" w:firstRowFirstColumn="0" w:firstRowLastColumn="0" w:lastRowFirstColumn="0" w:lastRowLastColumn="0"/>
            </w:pPr>
            <w:r>
              <w:t>LOD/LOQ (copies/reaction)</w:t>
            </w:r>
          </w:p>
        </w:tc>
        <w:tc>
          <w:tcPr>
            <w:tcW w:w="1440" w:type="dxa"/>
          </w:tcPr>
          <w:p w:rsidR="00DC1E71" w:rsidP="00FE471F" w:rsidRDefault="00DC1E71" w14:paraId="3F6E85E6" w14:textId="77777777">
            <w:pPr>
              <w:cnfStyle w:val="100000000000" w:firstRow="1" w:lastRow="0" w:firstColumn="0" w:lastColumn="0" w:oddVBand="0" w:evenVBand="0" w:oddHBand="0" w:evenHBand="0" w:firstRowFirstColumn="0" w:firstRowLastColumn="0" w:lastRowFirstColumn="0" w:lastRowLastColumn="0"/>
            </w:pPr>
            <w:r>
              <w:t>Reference</w:t>
            </w:r>
          </w:p>
        </w:tc>
      </w:tr>
      <w:tr w:rsidR="00DC1E71" w:rsidTr="00E925E2" w14:paraId="1E053F6B" w14:textId="77777777">
        <w:tc>
          <w:tcPr>
            <w:cnfStyle w:val="001000000000" w:firstRow="0" w:lastRow="0" w:firstColumn="1" w:lastColumn="0" w:oddVBand="0" w:evenVBand="0" w:oddHBand="0" w:evenHBand="0" w:firstRowFirstColumn="0" w:firstRowLastColumn="0" w:lastRowFirstColumn="0" w:lastRowLastColumn="0"/>
            <w:tcW w:w="1620" w:type="dxa"/>
          </w:tcPr>
          <w:p w:rsidRPr="00DC1E71" w:rsidR="00DC1E71" w:rsidP="00FE471F" w:rsidRDefault="00DC1E71" w14:paraId="23D39CA6" w14:textId="77777777">
            <w:pPr>
              <w:rPr>
                <w:b w:val="0"/>
                <w:bCs w:val="0"/>
                <w:sz w:val="20"/>
                <w:szCs w:val="20"/>
              </w:rPr>
            </w:pPr>
            <w:r w:rsidRPr="00DC1E71">
              <w:rPr>
                <w:sz w:val="20"/>
                <w:szCs w:val="20"/>
              </w:rPr>
              <w:t>GadmorCYB_02</w:t>
            </w:r>
          </w:p>
          <w:p w:rsidRPr="00DC1E71" w:rsidR="00DC1E71" w:rsidP="00FE471F" w:rsidRDefault="00DC1E71" w14:paraId="082D4A33" w14:textId="77777777">
            <w:pPr>
              <w:rPr>
                <w:b w:val="0"/>
                <w:bCs w:val="0"/>
                <w:sz w:val="20"/>
                <w:szCs w:val="20"/>
              </w:rPr>
            </w:pPr>
            <w:r w:rsidRPr="00DC1E71">
              <w:rPr>
                <w:b w:val="0"/>
                <w:bCs w:val="0"/>
                <w:sz w:val="20"/>
                <w:szCs w:val="20"/>
              </w:rPr>
              <w:t>(</w:t>
            </w:r>
            <w:r w:rsidRPr="00DC1E71">
              <w:rPr>
                <w:b w:val="0"/>
                <w:bCs w:val="0"/>
                <w:i/>
                <w:iCs/>
                <w:sz w:val="20"/>
                <w:szCs w:val="20"/>
              </w:rPr>
              <w:t xml:space="preserve">G. </w:t>
            </w:r>
            <w:proofErr w:type="spellStart"/>
            <w:r w:rsidRPr="00DC1E71">
              <w:rPr>
                <w:b w:val="0"/>
                <w:bCs w:val="0"/>
                <w:i/>
                <w:iCs/>
                <w:sz w:val="20"/>
                <w:szCs w:val="20"/>
              </w:rPr>
              <w:t>morhua</w:t>
            </w:r>
            <w:proofErr w:type="spellEnd"/>
            <w:r w:rsidRPr="00DC1E71">
              <w:rPr>
                <w:b w:val="0"/>
                <w:bCs w:val="0"/>
                <w:sz w:val="20"/>
                <w:szCs w:val="20"/>
              </w:rPr>
              <w:t>)</w:t>
            </w:r>
          </w:p>
        </w:tc>
        <w:tc>
          <w:tcPr>
            <w:tcW w:w="1235" w:type="dxa"/>
          </w:tcPr>
          <w:p w:rsidRPr="00DC1E71" w:rsidR="00DC1E71" w:rsidP="00FE471F" w:rsidRDefault="00DC1E71" w14:paraId="4C843B5A"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C1E71">
              <w:rPr>
                <w:rFonts w:ascii="Calibri" w:hAnsi="Calibri" w:cs="Calibri"/>
                <w:sz w:val="20"/>
                <w:szCs w:val="20"/>
              </w:rPr>
              <w:t>mtDNA-</w:t>
            </w:r>
            <w:r w:rsidRPr="00DC1E71">
              <w:rPr>
                <w:rFonts w:ascii="Calibri" w:hAnsi="Calibri" w:cs="Calibri"/>
                <w:i/>
                <w:iCs/>
                <w:sz w:val="20"/>
                <w:szCs w:val="20"/>
              </w:rPr>
              <w:t>cytb</w:t>
            </w:r>
            <w:proofErr w:type="spellEnd"/>
          </w:p>
        </w:tc>
        <w:tc>
          <w:tcPr>
            <w:tcW w:w="792" w:type="dxa"/>
          </w:tcPr>
          <w:p w:rsidRPr="00DC1E71" w:rsidR="00DC1E71" w:rsidP="00FE471F" w:rsidRDefault="00DC1E71" w14:paraId="07E5C7B6"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60</w:t>
            </w:r>
            <w:r w:rsidRPr="00DC1E71">
              <w:rPr>
                <w:rFonts w:cstheme="minorHAnsi"/>
                <w:sz w:val="20"/>
                <w:szCs w:val="20"/>
              </w:rPr>
              <w:t>°</w:t>
            </w:r>
            <w:r w:rsidRPr="00DC1E71">
              <w:rPr>
                <w:sz w:val="20"/>
                <w:szCs w:val="20"/>
              </w:rPr>
              <w:t>C</w:t>
            </w:r>
          </w:p>
        </w:tc>
        <w:tc>
          <w:tcPr>
            <w:tcW w:w="2383" w:type="dxa"/>
          </w:tcPr>
          <w:p w:rsidRPr="00DC1E71" w:rsidR="00DC1E71" w:rsidP="00FE471F" w:rsidRDefault="00DC1E71" w14:paraId="152B46B2"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Gadmor_F15076: 400nM</w:t>
            </w:r>
          </w:p>
          <w:p w:rsidRPr="00DC1E71" w:rsidR="00DC1E71" w:rsidP="00FE471F" w:rsidRDefault="00DC1E71" w14:paraId="3843C945"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Gadmor_R15155: 800nM</w:t>
            </w:r>
          </w:p>
          <w:p w:rsidRPr="00DC1E71" w:rsidR="00DC1E71" w:rsidP="00FE471F" w:rsidRDefault="00DC1E71" w14:paraId="1B8D3529"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Gadmor_P15102: 300nM</w:t>
            </w:r>
          </w:p>
        </w:tc>
        <w:tc>
          <w:tcPr>
            <w:tcW w:w="1980" w:type="dxa"/>
          </w:tcPr>
          <w:p w:rsidRPr="00DC1E71" w:rsidR="00DC1E71" w:rsidP="00FE471F" w:rsidRDefault="00DC1E71" w14:paraId="133D1840"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LOD: 1.5</w:t>
            </w:r>
          </w:p>
          <w:p w:rsidRPr="00DC1E71" w:rsidR="00DC1E71" w:rsidP="00FE471F" w:rsidRDefault="00DC1E71" w14:paraId="29D80520"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LOQ: 14</w:t>
            </w:r>
          </w:p>
        </w:tc>
        <w:tc>
          <w:tcPr>
            <w:tcW w:w="1440" w:type="dxa"/>
          </w:tcPr>
          <w:p w:rsidRPr="00DC1E71" w:rsidR="00DC1E71" w:rsidP="00FE471F" w:rsidRDefault="00DC1E71" w14:paraId="5F49671A" w14:textId="77777777">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C1E71">
              <w:rPr>
                <w:rFonts w:ascii="Calibri" w:hAnsi="Calibri" w:cs="Calibri"/>
                <w:sz w:val="20"/>
                <w:szCs w:val="20"/>
                <w:lang w:val="fr-FR"/>
              </w:rPr>
              <w:t>Knudsen</w:t>
            </w:r>
            <w:proofErr w:type="spellEnd"/>
            <w:r w:rsidRPr="00DC1E71">
              <w:rPr>
                <w:rFonts w:ascii="Calibri" w:hAnsi="Calibri" w:cs="Calibri"/>
                <w:sz w:val="20"/>
                <w:szCs w:val="20"/>
                <w:lang w:val="fr-FR"/>
              </w:rPr>
              <w:t xml:space="preserve"> </w:t>
            </w:r>
            <w:r w:rsidRPr="00DC1E71">
              <w:rPr>
                <w:rFonts w:ascii="Calibri" w:hAnsi="Calibri" w:cs="Calibri"/>
                <w:i/>
                <w:iCs/>
                <w:sz w:val="20"/>
                <w:szCs w:val="20"/>
                <w:lang w:val="fr-FR"/>
              </w:rPr>
              <w:t>et al.</w:t>
            </w:r>
            <w:r w:rsidRPr="00DC1E71">
              <w:rPr>
                <w:rFonts w:ascii="Calibri" w:hAnsi="Calibri" w:cs="Calibri"/>
                <w:sz w:val="20"/>
                <w:szCs w:val="20"/>
                <w:lang w:val="fr-FR"/>
              </w:rPr>
              <w:t xml:space="preserve"> (2018)</w:t>
            </w:r>
          </w:p>
        </w:tc>
      </w:tr>
      <w:tr w:rsidR="00DC1E71" w:rsidTr="00E925E2" w14:paraId="11BA8986" w14:textId="77777777">
        <w:tc>
          <w:tcPr>
            <w:cnfStyle w:val="001000000000" w:firstRow="0" w:lastRow="0" w:firstColumn="1" w:lastColumn="0" w:oddVBand="0" w:evenVBand="0" w:oddHBand="0" w:evenHBand="0" w:firstRowFirstColumn="0" w:firstRowLastColumn="0" w:lastRowFirstColumn="0" w:lastRowLastColumn="0"/>
            <w:tcW w:w="1620" w:type="dxa"/>
          </w:tcPr>
          <w:p w:rsidRPr="00DC1E71" w:rsidR="00DC1E71" w:rsidP="00FE471F" w:rsidRDefault="00DC1E71" w14:paraId="4A5E9FB9" w14:textId="77777777">
            <w:pPr>
              <w:rPr>
                <w:b w:val="0"/>
                <w:bCs w:val="0"/>
                <w:sz w:val="20"/>
                <w:szCs w:val="20"/>
              </w:rPr>
            </w:pPr>
            <w:proofErr w:type="spellStart"/>
            <w:r w:rsidRPr="00DC1E71">
              <w:rPr>
                <w:sz w:val="20"/>
                <w:szCs w:val="20"/>
              </w:rPr>
              <w:t>Hal_q</w:t>
            </w:r>
            <w:proofErr w:type="spellEnd"/>
          </w:p>
          <w:p w:rsidRPr="00DC1E71" w:rsidR="00DC1E71" w:rsidP="00FE471F" w:rsidRDefault="00DC1E71" w14:paraId="2B224A5C" w14:textId="77777777">
            <w:pPr>
              <w:rPr>
                <w:b w:val="0"/>
                <w:bCs w:val="0"/>
                <w:sz w:val="20"/>
                <w:szCs w:val="20"/>
              </w:rPr>
            </w:pPr>
            <w:r w:rsidRPr="00DC1E71">
              <w:rPr>
                <w:b w:val="0"/>
                <w:bCs w:val="0"/>
                <w:sz w:val="20"/>
                <w:szCs w:val="20"/>
              </w:rPr>
              <w:t>(</w:t>
            </w:r>
            <w:r w:rsidRPr="00DC1E71">
              <w:rPr>
                <w:b w:val="0"/>
                <w:bCs w:val="0"/>
                <w:i/>
                <w:iCs/>
                <w:sz w:val="20"/>
                <w:szCs w:val="20"/>
              </w:rPr>
              <w:t xml:space="preserve">H. </w:t>
            </w:r>
            <w:proofErr w:type="spellStart"/>
            <w:r w:rsidRPr="00DC1E71">
              <w:rPr>
                <w:b w:val="0"/>
                <w:bCs w:val="0"/>
                <w:i/>
                <w:iCs/>
                <w:sz w:val="20"/>
                <w:szCs w:val="20"/>
              </w:rPr>
              <w:t>hippoglossus</w:t>
            </w:r>
            <w:proofErr w:type="spellEnd"/>
            <w:r w:rsidRPr="00DC1E71">
              <w:rPr>
                <w:b w:val="0"/>
                <w:bCs w:val="0"/>
                <w:sz w:val="20"/>
                <w:szCs w:val="20"/>
              </w:rPr>
              <w:t>)</w:t>
            </w:r>
          </w:p>
        </w:tc>
        <w:tc>
          <w:tcPr>
            <w:tcW w:w="1235" w:type="dxa"/>
          </w:tcPr>
          <w:p w:rsidRPr="00DC1E71" w:rsidR="00DC1E71" w:rsidP="00FE471F" w:rsidRDefault="00DC1E71" w14:paraId="5D8B7034"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C1E71">
              <w:rPr>
                <w:rFonts w:ascii="Calibri" w:hAnsi="Calibri" w:cs="Calibri"/>
                <w:sz w:val="20"/>
                <w:szCs w:val="20"/>
              </w:rPr>
              <w:t>mtDNA-</w:t>
            </w:r>
            <w:r w:rsidRPr="00DC1E71">
              <w:rPr>
                <w:rFonts w:ascii="Calibri" w:hAnsi="Calibri" w:cs="Calibri"/>
                <w:i/>
                <w:iCs/>
                <w:sz w:val="20"/>
                <w:szCs w:val="20"/>
              </w:rPr>
              <w:t>cytb</w:t>
            </w:r>
            <w:proofErr w:type="spellEnd"/>
          </w:p>
        </w:tc>
        <w:tc>
          <w:tcPr>
            <w:tcW w:w="792" w:type="dxa"/>
          </w:tcPr>
          <w:p w:rsidRPr="00DC1E71" w:rsidR="00DC1E71" w:rsidP="00FE471F" w:rsidRDefault="00DC1E71" w14:paraId="495C715A"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62</w:t>
            </w:r>
            <w:r w:rsidRPr="00DC1E71">
              <w:rPr>
                <w:rFonts w:cstheme="minorHAnsi"/>
                <w:sz w:val="20"/>
                <w:szCs w:val="20"/>
              </w:rPr>
              <w:t>°</w:t>
            </w:r>
            <w:r w:rsidRPr="00DC1E71">
              <w:rPr>
                <w:sz w:val="20"/>
                <w:szCs w:val="20"/>
              </w:rPr>
              <w:t>C</w:t>
            </w:r>
          </w:p>
        </w:tc>
        <w:tc>
          <w:tcPr>
            <w:tcW w:w="2383" w:type="dxa"/>
          </w:tcPr>
          <w:p w:rsidRPr="00DC1E71" w:rsidR="00DC1E71" w:rsidP="00FE471F" w:rsidRDefault="00DC1E71" w14:paraId="7A756A33" w14:textId="77777777">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C1E71">
              <w:rPr>
                <w:sz w:val="20"/>
                <w:szCs w:val="20"/>
              </w:rPr>
              <w:t>Hal_qF</w:t>
            </w:r>
            <w:proofErr w:type="spellEnd"/>
            <w:r w:rsidRPr="00DC1E71">
              <w:rPr>
                <w:sz w:val="20"/>
                <w:szCs w:val="20"/>
              </w:rPr>
              <w:t>: 750nM</w:t>
            </w:r>
          </w:p>
          <w:p w:rsidRPr="00DC1E71" w:rsidR="00DC1E71" w:rsidP="00FE471F" w:rsidRDefault="00DC1E71" w14:paraId="057824EF" w14:textId="77777777">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C1E71">
              <w:rPr>
                <w:sz w:val="20"/>
                <w:szCs w:val="20"/>
              </w:rPr>
              <w:t>Hal_qR</w:t>
            </w:r>
            <w:proofErr w:type="spellEnd"/>
            <w:r w:rsidRPr="00DC1E71">
              <w:rPr>
                <w:sz w:val="20"/>
                <w:szCs w:val="20"/>
              </w:rPr>
              <w:t>: 750nM</w:t>
            </w:r>
          </w:p>
          <w:p w:rsidRPr="00DC1E71" w:rsidR="00DC1E71" w:rsidP="00FE471F" w:rsidRDefault="00DC1E71" w14:paraId="6D2DA8C8" w14:textId="77777777">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C1E71">
              <w:rPr>
                <w:sz w:val="20"/>
                <w:szCs w:val="20"/>
              </w:rPr>
              <w:t>Hal_qP</w:t>
            </w:r>
            <w:proofErr w:type="spellEnd"/>
            <w:r w:rsidRPr="00DC1E71">
              <w:rPr>
                <w:sz w:val="20"/>
                <w:szCs w:val="20"/>
              </w:rPr>
              <w:t>: 250nM</w:t>
            </w:r>
          </w:p>
        </w:tc>
        <w:tc>
          <w:tcPr>
            <w:tcW w:w="1980" w:type="dxa"/>
          </w:tcPr>
          <w:p w:rsidRPr="00DC1E71" w:rsidR="00DC1E71" w:rsidP="00FE471F" w:rsidRDefault="00DC1E71" w14:paraId="0BB0F732"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LOD: 1.5</w:t>
            </w:r>
          </w:p>
          <w:p w:rsidRPr="00DC1E71" w:rsidR="00DC1E71" w:rsidP="00FE471F" w:rsidRDefault="00DC1E71" w14:paraId="1F07FA6E"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LOQ: 11</w:t>
            </w:r>
          </w:p>
        </w:tc>
        <w:tc>
          <w:tcPr>
            <w:tcW w:w="1440" w:type="dxa"/>
          </w:tcPr>
          <w:p w:rsidRPr="00DC1E71" w:rsidR="00DC1E71" w:rsidP="00FE471F" w:rsidRDefault="00DC1E71" w14:paraId="101F0975"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DC1E71">
              <w:rPr>
                <w:rFonts w:ascii="Calibri" w:hAnsi="Calibri" w:cs="Calibri"/>
                <w:sz w:val="20"/>
                <w:szCs w:val="20"/>
              </w:rPr>
              <w:t xml:space="preserve">Dufault </w:t>
            </w:r>
            <w:r w:rsidRPr="00DC1E71">
              <w:rPr>
                <w:rFonts w:ascii="Calibri" w:hAnsi="Calibri" w:cs="Calibri"/>
                <w:i/>
                <w:iCs/>
                <w:sz w:val="20"/>
                <w:szCs w:val="20"/>
              </w:rPr>
              <w:t>et al.</w:t>
            </w:r>
            <w:r w:rsidRPr="00DC1E71">
              <w:rPr>
                <w:rFonts w:ascii="Calibri" w:hAnsi="Calibri" w:cs="Calibri"/>
                <w:sz w:val="20"/>
                <w:szCs w:val="20"/>
              </w:rPr>
              <w:t xml:space="preserve"> (2021)</w:t>
            </w:r>
          </w:p>
        </w:tc>
      </w:tr>
      <w:tr w:rsidR="00DC1E71" w:rsidTr="00E925E2" w14:paraId="4537DEF3" w14:textId="77777777">
        <w:tc>
          <w:tcPr>
            <w:cnfStyle w:val="001000000000" w:firstRow="0" w:lastRow="0" w:firstColumn="1" w:lastColumn="0" w:oddVBand="0" w:evenVBand="0" w:oddHBand="0" w:evenHBand="0" w:firstRowFirstColumn="0" w:firstRowLastColumn="0" w:lastRowFirstColumn="0" w:lastRowLastColumn="0"/>
            <w:tcW w:w="1620" w:type="dxa"/>
          </w:tcPr>
          <w:p w:rsidRPr="00DC1E71" w:rsidR="00DC1E71" w:rsidP="00FE471F" w:rsidRDefault="00DC1E71" w14:paraId="3C3AA01D" w14:textId="77777777">
            <w:pPr>
              <w:rPr>
                <w:b w:val="0"/>
                <w:bCs w:val="0"/>
                <w:sz w:val="20"/>
                <w:szCs w:val="20"/>
              </w:rPr>
            </w:pPr>
            <w:proofErr w:type="spellStart"/>
            <w:r w:rsidRPr="00DC1E71">
              <w:rPr>
                <w:sz w:val="20"/>
                <w:szCs w:val="20"/>
              </w:rPr>
              <w:t>Al_CytB</w:t>
            </w:r>
            <w:proofErr w:type="spellEnd"/>
          </w:p>
          <w:p w:rsidRPr="00DC1E71" w:rsidR="00DC1E71" w:rsidP="00FE471F" w:rsidRDefault="00DC1E71" w14:paraId="301D487C" w14:textId="77777777">
            <w:pPr>
              <w:rPr>
                <w:b w:val="0"/>
                <w:bCs w:val="0"/>
                <w:sz w:val="20"/>
                <w:szCs w:val="20"/>
              </w:rPr>
            </w:pPr>
            <w:r w:rsidRPr="00DC1E71">
              <w:rPr>
                <w:b w:val="0"/>
                <w:bCs w:val="0"/>
                <w:sz w:val="20"/>
                <w:szCs w:val="20"/>
              </w:rPr>
              <w:t>(</w:t>
            </w:r>
            <w:r w:rsidRPr="00DC1E71">
              <w:rPr>
                <w:b w:val="0"/>
                <w:bCs w:val="0"/>
                <w:i/>
                <w:iCs/>
                <w:sz w:val="20"/>
                <w:szCs w:val="20"/>
              </w:rPr>
              <w:t>A. lupus</w:t>
            </w:r>
            <w:r w:rsidRPr="00DC1E71">
              <w:rPr>
                <w:b w:val="0"/>
                <w:bCs w:val="0"/>
                <w:sz w:val="20"/>
                <w:szCs w:val="20"/>
              </w:rPr>
              <w:t>)</w:t>
            </w:r>
          </w:p>
        </w:tc>
        <w:tc>
          <w:tcPr>
            <w:tcW w:w="1235" w:type="dxa"/>
          </w:tcPr>
          <w:p w:rsidRPr="00DC1E71" w:rsidR="00DC1E71" w:rsidP="00FE471F" w:rsidRDefault="00DC1E71" w14:paraId="6E728F9E"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C1E71">
              <w:rPr>
                <w:rFonts w:ascii="Calibri" w:hAnsi="Calibri" w:cs="Calibri"/>
                <w:sz w:val="20"/>
                <w:szCs w:val="20"/>
              </w:rPr>
              <w:t>mtDNA-</w:t>
            </w:r>
            <w:r w:rsidRPr="00DC1E71">
              <w:rPr>
                <w:rFonts w:ascii="Calibri" w:hAnsi="Calibri" w:cs="Calibri"/>
                <w:i/>
                <w:iCs/>
                <w:sz w:val="20"/>
                <w:szCs w:val="20"/>
              </w:rPr>
              <w:t>cytb</w:t>
            </w:r>
            <w:proofErr w:type="spellEnd"/>
          </w:p>
        </w:tc>
        <w:tc>
          <w:tcPr>
            <w:tcW w:w="792" w:type="dxa"/>
          </w:tcPr>
          <w:p w:rsidRPr="00DC1E71" w:rsidR="00DC1E71" w:rsidP="00FE471F" w:rsidRDefault="00DC1E71" w14:paraId="3BFC80AF"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60</w:t>
            </w:r>
            <w:r w:rsidRPr="00DC1E71">
              <w:rPr>
                <w:rFonts w:cstheme="minorHAnsi"/>
                <w:sz w:val="20"/>
                <w:szCs w:val="20"/>
              </w:rPr>
              <w:t>°</w:t>
            </w:r>
            <w:r w:rsidRPr="00DC1E71">
              <w:rPr>
                <w:sz w:val="20"/>
                <w:szCs w:val="20"/>
              </w:rPr>
              <w:t>C</w:t>
            </w:r>
          </w:p>
        </w:tc>
        <w:tc>
          <w:tcPr>
            <w:tcW w:w="2383" w:type="dxa"/>
          </w:tcPr>
          <w:p w:rsidRPr="00DC1E71" w:rsidR="00DC1E71" w:rsidP="00FE471F" w:rsidRDefault="00DC1E71" w14:paraId="60E17CC9" w14:textId="77777777">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C1E71">
              <w:rPr>
                <w:sz w:val="20"/>
                <w:szCs w:val="20"/>
              </w:rPr>
              <w:t>Al_CytB_F</w:t>
            </w:r>
            <w:proofErr w:type="spellEnd"/>
            <w:r w:rsidRPr="00DC1E71">
              <w:rPr>
                <w:sz w:val="20"/>
                <w:szCs w:val="20"/>
              </w:rPr>
              <w:t>: 800nM</w:t>
            </w:r>
          </w:p>
          <w:p w:rsidRPr="00DC1E71" w:rsidR="00DC1E71" w:rsidP="00FE471F" w:rsidRDefault="00DC1E71" w14:paraId="457D023C" w14:textId="77777777">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C1E71">
              <w:rPr>
                <w:sz w:val="20"/>
                <w:szCs w:val="20"/>
              </w:rPr>
              <w:t>Al_CytB_R</w:t>
            </w:r>
            <w:proofErr w:type="spellEnd"/>
            <w:r w:rsidRPr="00DC1E71">
              <w:rPr>
                <w:sz w:val="20"/>
                <w:szCs w:val="20"/>
              </w:rPr>
              <w:t>: 600nM</w:t>
            </w:r>
          </w:p>
          <w:p w:rsidRPr="00DC1E71" w:rsidR="00DC1E71" w:rsidP="00FE471F" w:rsidRDefault="00DC1E71" w14:paraId="67CBA21E" w14:textId="77777777">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C1E71">
              <w:rPr>
                <w:sz w:val="20"/>
                <w:szCs w:val="20"/>
              </w:rPr>
              <w:t>Al_CytB_P</w:t>
            </w:r>
            <w:proofErr w:type="spellEnd"/>
            <w:r w:rsidRPr="00DC1E71">
              <w:rPr>
                <w:sz w:val="20"/>
                <w:szCs w:val="20"/>
              </w:rPr>
              <w:t>: 250nM</w:t>
            </w:r>
          </w:p>
        </w:tc>
        <w:tc>
          <w:tcPr>
            <w:tcW w:w="1980" w:type="dxa"/>
          </w:tcPr>
          <w:p w:rsidRPr="00DC1E71" w:rsidR="00DC1E71" w:rsidP="00FE471F" w:rsidRDefault="00DC1E71" w14:paraId="0A174F70"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LOD: 3</w:t>
            </w:r>
          </w:p>
          <w:p w:rsidRPr="00DC1E71" w:rsidR="00DC1E71" w:rsidP="00FE471F" w:rsidRDefault="00DC1E71" w14:paraId="3B4F3CCD"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DC1E71">
              <w:rPr>
                <w:sz w:val="20"/>
                <w:szCs w:val="20"/>
              </w:rPr>
              <w:t>LOQ: 11</w:t>
            </w:r>
          </w:p>
        </w:tc>
        <w:tc>
          <w:tcPr>
            <w:tcW w:w="1440" w:type="dxa"/>
          </w:tcPr>
          <w:p w:rsidRPr="00DC1E71" w:rsidR="00DC1E71" w:rsidP="00FE471F" w:rsidRDefault="00DC1E71" w14:paraId="69DC5864" w14:textId="77777777">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C1E71">
              <w:rPr>
                <w:rFonts w:ascii="Calibri" w:hAnsi="Calibri" w:cs="Calibri"/>
                <w:sz w:val="20"/>
                <w:szCs w:val="20"/>
              </w:rPr>
              <w:t>Chevrinais</w:t>
            </w:r>
            <w:proofErr w:type="spellEnd"/>
            <w:r w:rsidRPr="00DC1E71">
              <w:rPr>
                <w:rFonts w:ascii="Calibri" w:hAnsi="Calibri" w:cs="Calibri"/>
                <w:sz w:val="20"/>
                <w:szCs w:val="20"/>
              </w:rPr>
              <w:t xml:space="preserve"> and Parent (2023)</w:t>
            </w:r>
          </w:p>
        </w:tc>
      </w:tr>
    </w:tbl>
    <w:p w:rsidR="00DC1E71" w:rsidP="00DC1E71" w:rsidRDefault="00DC1E71" w14:paraId="6ED5E604" w14:textId="77777777">
      <w:pPr>
        <w:ind w:firstLine="360"/>
      </w:pPr>
    </w:p>
    <w:p w:rsidR="00DC1E71" w:rsidP="00DC1E71" w:rsidRDefault="00DC1E71" w14:paraId="718872BC" w14:textId="77777777">
      <w:pPr>
        <w:pStyle w:val="NoSpacing"/>
        <w:ind w:firstLine="360"/>
      </w:pPr>
      <w:r>
        <w:t>The qPCR cycling conditions were as follows:</w:t>
      </w:r>
    </w:p>
    <w:p w:rsidR="00DC1E71" w:rsidP="00DC1E71" w:rsidRDefault="00DC1E71" w14:paraId="1AA67B27" w14:textId="77777777">
      <w:pPr>
        <w:pStyle w:val="NoSpacing"/>
        <w:numPr>
          <w:ilvl w:val="0"/>
          <w:numId w:val="11"/>
        </w:numPr>
      </w:pPr>
      <w:r>
        <w:t>95</w:t>
      </w:r>
      <w:r>
        <w:rPr>
          <w:rFonts w:cstheme="minorHAnsi"/>
        </w:rPr>
        <w:t>°</w:t>
      </w:r>
      <w:r>
        <w:t>C, 10 mins</w:t>
      </w:r>
    </w:p>
    <w:p w:rsidR="00DC1E71" w:rsidP="00DC1E71" w:rsidRDefault="00DC1E71" w14:paraId="7FCF4D86" w14:textId="77777777">
      <w:pPr>
        <w:pStyle w:val="NoSpacing"/>
        <w:numPr>
          <w:ilvl w:val="0"/>
          <w:numId w:val="11"/>
        </w:numPr>
      </w:pPr>
      <w:r>
        <w:t>50 cycles of:</w:t>
      </w:r>
    </w:p>
    <w:p w:rsidR="00DC1E71" w:rsidP="00DC1E71" w:rsidRDefault="00DC1E71" w14:paraId="48D84F67" w14:textId="77777777">
      <w:pPr>
        <w:pStyle w:val="NoSpacing"/>
        <w:numPr>
          <w:ilvl w:val="1"/>
          <w:numId w:val="11"/>
        </w:numPr>
      </w:pPr>
      <w:r>
        <w:t>95</w:t>
      </w:r>
      <w:r>
        <w:rPr>
          <w:rFonts w:cstheme="minorHAnsi"/>
        </w:rPr>
        <w:t>°</w:t>
      </w:r>
      <w:r>
        <w:t>C, 30 seconds</w:t>
      </w:r>
    </w:p>
    <w:p w:rsidR="00DC1E71" w:rsidP="00DC1E71" w:rsidRDefault="00DC1E71" w14:paraId="3540A606" w14:textId="66B50045">
      <w:pPr>
        <w:pStyle w:val="NoSpacing"/>
        <w:numPr>
          <w:ilvl w:val="1"/>
          <w:numId w:val="11"/>
        </w:numPr>
      </w:pPr>
      <w:r>
        <w:t>60</w:t>
      </w:r>
      <w:r w:rsidRPr="00DC1E71">
        <w:rPr>
          <w:rFonts w:cstheme="minorHAnsi"/>
        </w:rPr>
        <w:t>°</w:t>
      </w:r>
      <w:r>
        <w:t>C or 62</w:t>
      </w:r>
      <w:r w:rsidRPr="00DC1E71">
        <w:rPr>
          <w:rFonts w:cstheme="minorHAnsi"/>
        </w:rPr>
        <w:t>°</w:t>
      </w:r>
      <w:r>
        <w:t>C*, 60 seconds (*reading)</w:t>
      </w:r>
    </w:p>
    <w:p w:rsidR="00DC1E71" w:rsidP="00DC1E71" w:rsidRDefault="00DC1E71" w14:paraId="761D4E2F" w14:textId="77777777">
      <w:pPr>
        <w:pStyle w:val="NoSpacing"/>
        <w:ind w:left="1800"/>
      </w:pPr>
    </w:p>
    <w:p w:rsidR="00DC1E71" w:rsidP="00F36091" w:rsidRDefault="00F36091" w14:paraId="7B0744A4" w14:textId="1C15E494">
      <w:pPr>
        <w:pStyle w:val="NoSpacing"/>
      </w:pPr>
      <w:r>
        <w:rPr>
          <w:b/>
          <w:bCs/>
        </w:rPr>
        <w:t>Table 3.</w:t>
      </w:r>
      <w:r>
        <w:t xml:space="preserve"> Primer and probe sequence information for the qPCR assays. The fluorophore and quencher are included for the probes.</w:t>
      </w:r>
    </w:p>
    <w:tbl>
      <w:tblPr>
        <w:tblStyle w:val="GridTable1Light"/>
        <w:tblW w:w="9540" w:type="dxa"/>
        <w:tblLayout w:type="fixed"/>
        <w:tblLook w:val="04A0" w:firstRow="1" w:lastRow="0" w:firstColumn="1" w:lastColumn="0" w:noHBand="0" w:noVBand="1"/>
      </w:tblPr>
      <w:tblGrid>
        <w:gridCol w:w="1980"/>
        <w:gridCol w:w="6030"/>
        <w:gridCol w:w="1530"/>
      </w:tblGrid>
      <w:tr w:rsidRPr="00A219AF" w:rsidR="00F36091" w:rsidTr="00E925E2" w14:paraId="3A7F6E6D" w14:textId="77777777">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980" w:type="dxa"/>
          </w:tcPr>
          <w:p w:rsidRPr="00F36091" w:rsidR="00F36091" w:rsidP="00FE471F" w:rsidRDefault="00F36091" w14:paraId="108A2EB9" w14:textId="77777777">
            <w:pPr>
              <w:jc w:val="both"/>
              <w:rPr>
                <w:iCs/>
              </w:rPr>
            </w:pPr>
            <w:r w:rsidRPr="00F36091">
              <w:rPr>
                <w:iCs/>
              </w:rPr>
              <w:t>Primer/Probe</w:t>
            </w:r>
          </w:p>
        </w:tc>
        <w:tc>
          <w:tcPr>
            <w:tcW w:w="6030" w:type="dxa"/>
          </w:tcPr>
          <w:p w:rsidRPr="00F36091" w:rsidR="00F36091" w:rsidP="00FE471F" w:rsidRDefault="00F36091" w14:paraId="202F3258" w14:textId="77777777">
            <w:pPr>
              <w:jc w:val="both"/>
              <w:cnfStyle w:val="100000000000" w:firstRow="1" w:lastRow="0" w:firstColumn="0" w:lastColumn="0" w:oddVBand="0" w:evenVBand="0" w:oddHBand="0" w:evenHBand="0" w:firstRowFirstColumn="0" w:firstRowLastColumn="0" w:lastRowFirstColumn="0" w:lastRowLastColumn="0"/>
              <w:rPr>
                <w:iCs/>
              </w:rPr>
            </w:pPr>
            <w:r w:rsidRPr="00F36091">
              <w:rPr>
                <w:iCs/>
              </w:rPr>
              <w:t>Sequence (5’ to 3’)</w:t>
            </w:r>
          </w:p>
        </w:tc>
        <w:tc>
          <w:tcPr>
            <w:tcW w:w="1530" w:type="dxa"/>
          </w:tcPr>
          <w:p w:rsidRPr="00F36091" w:rsidR="00F36091" w:rsidP="00FE471F" w:rsidRDefault="00F36091" w14:paraId="4DAB2A37" w14:textId="77777777">
            <w:pPr>
              <w:jc w:val="center"/>
              <w:cnfStyle w:val="100000000000" w:firstRow="1" w:lastRow="0" w:firstColumn="0" w:lastColumn="0" w:oddVBand="0" w:evenVBand="0" w:oddHBand="0" w:evenHBand="0" w:firstRowFirstColumn="0" w:firstRowLastColumn="0" w:lastRowFirstColumn="0" w:lastRowLastColumn="0"/>
              <w:rPr>
                <w:iCs/>
              </w:rPr>
            </w:pPr>
            <w:r w:rsidRPr="00F36091">
              <w:rPr>
                <w:iCs/>
              </w:rPr>
              <w:t>Amplicon Size</w:t>
            </w:r>
          </w:p>
        </w:tc>
      </w:tr>
      <w:tr w:rsidRPr="00F36091" w:rsidR="00F36091" w:rsidTr="00E925E2" w14:paraId="11777B9F" w14:textId="77777777">
        <w:trPr>
          <w:trHeight w:val="191"/>
        </w:trPr>
        <w:tc>
          <w:tcPr>
            <w:cnfStyle w:val="001000000000" w:firstRow="0" w:lastRow="0" w:firstColumn="1" w:lastColumn="0" w:oddVBand="0" w:evenVBand="0" w:oddHBand="0" w:evenHBand="0" w:firstRowFirstColumn="0" w:firstRowLastColumn="0" w:lastRowFirstColumn="0" w:lastRowLastColumn="0"/>
            <w:tcW w:w="1980" w:type="dxa"/>
          </w:tcPr>
          <w:p w:rsidRPr="00F36091" w:rsidR="00F36091" w:rsidP="00FE471F" w:rsidRDefault="00F36091" w14:paraId="45BC1B65" w14:textId="77777777">
            <w:pPr>
              <w:rPr>
                <w:iCs/>
                <w:sz w:val="20"/>
                <w:szCs w:val="20"/>
              </w:rPr>
            </w:pPr>
            <w:r w:rsidRPr="00F36091">
              <w:rPr>
                <w:iCs/>
                <w:sz w:val="20"/>
                <w:szCs w:val="20"/>
              </w:rPr>
              <w:t>Gadmor_F15076</w:t>
            </w:r>
          </w:p>
        </w:tc>
        <w:tc>
          <w:tcPr>
            <w:tcW w:w="6030" w:type="dxa"/>
          </w:tcPr>
          <w:p w:rsidRPr="00F36091" w:rsidR="00F36091" w:rsidP="00FE471F" w:rsidRDefault="00F36091" w14:paraId="5C73DCB0" w14:textId="77777777">
            <w:pPr>
              <w:cnfStyle w:val="000000000000" w:firstRow="0" w:lastRow="0" w:firstColumn="0" w:lastColumn="0" w:oddVBand="0" w:evenVBand="0" w:oddHBand="0" w:evenHBand="0" w:firstRowFirstColumn="0" w:firstRowLastColumn="0" w:lastRowFirstColumn="0" w:lastRowLastColumn="0"/>
              <w:rPr>
                <w:iCs/>
                <w:sz w:val="20"/>
                <w:szCs w:val="20"/>
              </w:rPr>
            </w:pPr>
            <w:r w:rsidRPr="00F36091">
              <w:rPr>
                <w:iCs/>
                <w:sz w:val="20"/>
                <w:szCs w:val="20"/>
              </w:rPr>
              <w:t>TTC GCA CCT AAT TTA CTC GGA G</w:t>
            </w:r>
          </w:p>
        </w:tc>
        <w:tc>
          <w:tcPr>
            <w:tcW w:w="1530" w:type="dxa"/>
            <w:vMerge w:val="restart"/>
          </w:tcPr>
          <w:p w:rsidRPr="00F36091" w:rsidR="00F36091" w:rsidP="00FE471F" w:rsidRDefault="00F36091" w14:paraId="63E63476" w14:textId="6A68ACC1">
            <w:pPr>
              <w:jc w:val="center"/>
              <w:cnfStyle w:val="000000000000" w:firstRow="0" w:lastRow="0" w:firstColumn="0" w:lastColumn="0" w:oddVBand="0" w:evenVBand="0" w:oddHBand="0" w:evenHBand="0" w:firstRowFirstColumn="0" w:firstRowLastColumn="0" w:lastRowFirstColumn="0" w:lastRowLastColumn="0"/>
              <w:rPr>
                <w:iCs/>
                <w:sz w:val="20"/>
                <w:szCs w:val="20"/>
              </w:rPr>
            </w:pPr>
            <w:r w:rsidRPr="00F36091">
              <w:rPr>
                <w:iCs/>
                <w:sz w:val="20"/>
                <w:szCs w:val="20"/>
              </w:rPr>
              <w:t>80</w:t>
            </w:r>
            <w:r w:rsidR="00ED2059">
              <w:rPr>
                <w:iCs/>
                <w:sz w:val="20"/>
                <w:szCs w:val="20"/>
              </w:rPr>
              <w:t xml:space="preserve"> </w:t>
            </w:r>
            <w:r w:rsidRPr="00F36091">
              <w:rPr>
                <w:iCs/>
                <w:sz w:val="20"/>
                <w:szCs w:val="20"/>
              </w:rPr>
              <w:t>bps</w:t>
            </w:r>
          </w:p>
        </w:tc>
      </w:tr>
      <w:tr w:rsidRPr="00F36091" w:rsidR="00F36091" w:rsidTr="00E925E2" w14:paraId="4BFA14BC" w14:textId="77777777">
        <w:trPr>
          <w:trHeight w:val="260"/>
        </w:trPr>
        <w:tc>
          <w:tcPr>
            <w:cnfStyle w:val="001000000000" w:firstRow="0" w:lastRow="0" w:firstColumn="1" w:lastColumn="0" w:oddVBand="0" w:evenVBand="0" w:oddHBand="0" w:evenHBand="0" w:firstRowFirstColumn="0" w:firstRowLastColumn="0" w:lastRowFirstColumn="0" w:lastRowLastColumn="0"/>
            <w:tcW w:w="1980" w:type="dxa"/>
          </w:tcPr>
          <w:p w:rsidRPr="00F36091" w:rsidR="00F36091" w:rsidP="00FE471F" w:rsidRDefault="00F36091" w14:paraId="14A1D83B" w14:textId="77777777">
            <w:pPr>
              <w:rPr>
                <w:iCs/>
                <w:sz w:val="20"/>
                <w:szCs w:val="20"/>
              </w:rPr>
            </w:pPr>
            <w:r w:rsidRPr="00F36091">
              <w:rPr>
                <w:iCs/>
                <w:sz w:val="20"/>
                <w:szCs w:val="20"/>
              </w:rPr>
              <w:t>Gadmor_R15155</w:t>
            </w:r>
          </w:p>
        </w:tc>
        <w:tc>
          <w:tcPr>
            <w:tcW w:w="6030" w:type="dxa"/>
          </w:tcPr>
          <w:p w:rsidRPr="00F36091" w:rsidR="00F36091" w:rsidP="00FE471F" w:rsidRDefault="00F36091" w14:paraId="7FB84BE5" w14:textId="77777777">
            <w:pPr>
              <w:cnfStyle w:val="000000000000" w:firstRow="0" w:lastRow="0" w:firstColumn="0" w:lastColumn="0" w:oddVBand="0" w:evenVBand="0" w:oddHBand="0" w:evenHBand="0" w:firstRowFirstColumn="0" w:firstRowLastColumn="0" w:lastRowFirstColumn="0" w:lastRowLastColumn="0"/>
              <w:rPr>
                <w:iCs/>
                <w:sz w:val="20"/>
                <w:szCs w:val="20"/>
              </w:rPr>
            </w:pPr>
            <w:r w:rsidRPr="00F36091">
              <w:rPr>
                <w:iCs/>
                <w:sz w:val="20"/>
                <w:szCs w:val="20"/>
              </w:rPr>
              <w:t>TCG GGC TTA ACA TGA GGT GG</w:t>
            </w:r>
          </w:p>
        </w:tc>
        <w:tc>
          <w:tcPr>
            <w:tcW w:w="1530" w:type="dxa"/>
            <w:vMerge/>
          </w:tcPr>
          <w:p w:rsidRPr="00F36091" w:rsidR="00F36091" w:rsidP="00FE471F" w:rsidRDefault="00F36091" w14:paraId="5C4486F4" w14:textId="77777777">
            <w:pPr>
              <w:cnfStyle w:val="000000000000" w:firstRow="0" w:lastRow="0" w:firstColumn="0" w:lastColumn="0" w:oddVBand="0" w:evenVBand="0" w:oddHBand="0" w:evenHBand="0" w:firstRowFirstColumn="0" w:firstRowLastColumn="0" w:lastRowFirstColumn="0" w:lastRowLastColumn="0"/>
              <w:rPr>
                <w:iCs/>
                <w:sz w:val="20"/>
                <w:szCs w:val="20"/>
              </w:rPr>
            </w:pPr>
          </w:p>
        </w:tc>
      </w:tr>
      <w:tr w:rsidRPr="00F36091" w:rsidR="00F36091" w:rsidTr="00E925E2" w14:paraId="0C2A2A8F" w14:textId="77777777">
        <w:trPr>
          <w:trHeight w:val="287"/>
        </w:trPr>
        <w:tc>
          <w:tcPr>
            <w:cnfStyle w:val="001000000000" w:firstRow="0" w:lastRow="0" w:firstColumn="1" w:lastColumn="0" w:oddVBand="0" w:evenVBand="0" w:oddHBand="0" w:evenHBand="0" w:firstRowFirstColumn="0" w:firstRowLastColumn="0" w:lastRowFirstColumn="0" w:lastRowLastColumn="0"/>
            <w:tcW w:w="1980" w:type="dxa"/>
          </w:tcPr>
          <w:p w:rsidRPr="00F36091" w:rsidR="00F36091" w:rsidP="00FE471F" w:rsidRDefault="00F36091" w14:paraId="4248E5EA" w14:textId="77777777">
            <w:pPr>
              <w:rPr>
                <w:iCs/>
                <w:sz w:val="20"/>
                <w:szCs w:val="20"/>
              </w:rPr>
            </w:pPr>
            <w:r w:rsidRPr="00F36091">
              <w:rPr>
                <w:iCs/>
                <w:sz w:val="20"/>
                <w:szCs w:val="20"/>
              </w:rPr>
              <w:t>Gadmor_P15102</w:t>
            </w:r>
          </w:p>
        </w:tc>
        <w:tc>
          <w:tcPr>
            <w:tcW w:w="6030" w:type="dxa"/>
          </w:tcPr>
          <w:p w:rsidRPr="00F36091" w:rsidR="00F36091" w:rsidP="00FE471F" w:rsidRDefault="00F36091" w14:paraId="187FE18F" w14:textId="5DC60333">
            <w:pPr>
              <w:cnfStyle w:val="000000000000" w:firstRow="0" w:lastRow="0" w:firstColumn="0" w:lastColumn="0" w:oddVBand="0" w:evenVBand="0" w:oddHBand="0" w:evenHBand="0" w:firstRowFirstColumn="0" w:firstRowLastColumn="0" w:lastRowFirstColumn="0" w:lastRowLastColumn="0"/>
              <w:rPr>
                <w:iCs/>
                <w:sz w:val="20"/>
                <w:szCs w:val="20"/>
              </w:rPr>
            </w:pPr>
            <w:r w:rsidRPr="00F36091">
              <w:rPr>
                <w:iCs/>
                <w:sz w:val="20"/>
                <w:szCs w:val="20"/>
              </w:rPr>
              <w:t>/FAM/-AGA TAA TTT CAC CCC TGC TAA CCC CAT C-/BHQ1/</w:t>
            </w:r>
          </w:p>
        </w:tc>
        <w:tc>
          <w:tcPr>
            <w:tcW w:w="1530" w:type="dxa"/>
            <w:vMerge/>
          </w:tcPr>
          <w:p w:rsidRPr="00F36091" w:rsidR="00F36091" w:rsidP="00FE471F" w:rsidRDefault="00F36091" w14:paraId="7CFCDFFF" w14:textId="77777777">
            <w:pPr>
              <w:cnfStyle w:val="000000000000" w:firstRow="0" w:lastRow="0" w:firstColumn="0" w:lastColumn="0" w:oddVBand="0" w:evenVBand="0" w:oddHBand="0" w:evenHBand="0" w:firstRowFirstColumn="0" w:firstRowLastColumn="0" w:lastRowFirstColumn="0" w:lastRowLastColumn="0"/>
              <w:rPr>
                <w:iCs/>
                <w:sz w:val="20"/>
                <w:szCs w:val="20"/>
              </w:rPr>
            </w:pPr>
          </w:p>
        </w:tc>
      </w:tr>
      <w:tr w:rsidRPr="00F36091" w:rsidR="00F36091" w:rsidTr="00E925E2" w14:paraId="1593B928" w14:textId="77777777">
        <w:trPr>
          <w:trHeight w:val="191"/>
        </w:trPr>
        <w:tc>
          <w:tcPr>
            <w:cnfStyle w:val="001000000000" w:firstRow="0" w:lastRow="0" w:firstColumn="1" w:lastColumn="0" w:oddVBand="0" w:evenVBand="0" w:oddHBand="0" w:evenHBand="0" w:firstRowFirstColumn="0" w:firstRowLastColumn="0" w:lastRowFirstColumn="0" w:lastRowLastColumn="0"/>
            <w:tcW w:w="1980" w:type="dxa"/>
          </w:tcPr>
          <w:p w:rsidRPr="00F36091" w:rsidR="00F36091" w:rsidP="00FE471F" w:rsidRDefault="00F36091" w14:paraId="48AF593C" w14:textId="77777777">
            <w:pPr>
              <w:rPr>
                <w:iCs/>
                <w:sz w:val="20"/>
                <w:szCs w:val="20"/>
              </w:rPr>
            </w:pPr>
            <w:proofErr w:type="spellStart"/>
            <w:r w:rsidRPr="00F36091">
              <w:rPr>
                <w:iCs/>
                <w:sz w:val="20"/>
                <w:szCs w:val="20"/>
              </w:rPr>
              <w:t>Hal_qF</w:t>
            </w:r>
            <w:proofErr w:type="spellEnd"/>
          </w:p>
        </w:tc>
        <w:tc>
          <w:tcPr>
            <w:tcW w:w="6030" w:type="dxa"/>
          </w:tcPr>
          <w:p w:rsidRPr="00F36091" w:rsidR="00F36091" w:rsidP="00FE471F" w:rsidRDefault="00F36091" w14:paraId="09FF2FDD" w14:textId="77777777">
            <w:pPr>
              <w:cnfStyle w:val="000000000000" w:firstRow="0" w:lastRow="0" w:firstColumn="0" w:lastColumn="0" w:oddVBand="0" w:evenVBand="0" w:oddHBand="0" w:evenHBand="0" w:firstRowFirstColumn="0" w:firstRowLastColumn="0" w:lastRowFirstColumn="0" w:lastRowLastColumn="0"/>
              <w:rPr>
                <w:iCs/>
                <w:sz w:val="20"/>
                <w:szCs w:val="20"/>
              </w:rPr>
            </w:pPr>
            <w:r w:rsidRPr="00F36091">
              <w:rPr>
                <w:iCs/>
                <w:sz w:val="20"/>
                <w:szCs w:val="20"/>
              </w:rPr>
              <w:t xml:space="preserve">TTC ATC TAC TCT TTC </w:t>
            </w:r>
            <w:proofErr w:type="spellStart"/>
            <w:r w:rsidRPr="00F36091">
              <w:rPr>
                <w:iCs/>
                <w:sz w:val="20"/>
                <w:szCs w:val="20"/>
              </w:rPr>
              <w:t>TTC</w:t>
            </w:r>
            <w:proofErr w:type="spellEnd"/>
            <w:r w:rsidRPr="00F36091">
              <w:rPr>
                <w:iCs/>
                <w:sz w:val="20"/>
                <w:szCs w:val="20"/>
              </w:rPr>
              <w:t xml:space="preserve"> ACG</w:t>
            </w:r>
          </w:p>
        </w:tc>
        <w:tc>
          <w:tcPr>
            <w:tcW w:w="1530" w:type="dxa"/>
            <w:vMerge w:val="restart"/>
          </w:tcPr>
          <w:p w:rsidRPr="00F36091" w:rsidR="00F36091" w:rsidP="00FE471F" w:rsidRDefault="00F36091" w14:paraId="1DDBD554" w14:textId="4CB86910">
            <w:pPr>
              <w:jc w:val="center"/>
              <w:cnfStyle w:val="000000000000" w:firstRow="0" w:lastRow="0" w:firstColumn="0" w:lastColumn="0" w:oddVBand="0" w:evenVBand="0" w:oddHBand="0" w:evenHBand="0" w:firstRowFirstColumn="0" w:firstRowLastColumn="0" w:lastRowFirstColumn="0" w:lastRowLastColumn="0"/>
              <w:rPr>
                <w:iCs/>
                <w:sz w:val="20"/>
                <w:szCs w:val="20"/>
              </w:rPr>
            </w:pPr>
            <w:r w:rsidRPr="00F36091">
              <w:rPr>
                <w:iCs/>
                <w:sz w:val="20"/>
                <w:szCs w:val="20"/>
              </w:rPr>
              <w:t>151</w:t>
            </w:r>
            <w:r w:rsidR="00ED2059">
              <w:rPr>
                <w:iCs/>
                <w:sz w:val="20"/>
                <w:szCs w:val="20"/>
              </w:rPr>
              <w:t xml:space="preserve"> </w:t>
            </w:r>
            <w:r w:rsidRPr="00F36091">
              <w:rPr>
                <w:iCs/>
                <w:sz w:val="20"/>
                <w:szCs w:val="20"/>
              </w:rPr>
              <w:t>bps</w:t>
            </w:r>
          </w:p>
        </w:tc>
      </w:tr>
      <w:tr w:rsidRPr="00F36091" w:rsidR="00F36091" w:rsidTr="00E925E2" w14:paraId="5E74F83E" w14:textId="77777777">
        <w:trPr>
          <w:trHeight w:val="251"/>
        </w:trPr>
        <w:tc>
          <w:tcPr>
            <w:cnfStyle w:val="001000000000" w:firstRow="0" w:lastRow="0" w:firstColumn="1" w:lastColumn="0" w:oddVBand="0" w:evenVBand="0" w:oddHBand="0" w:evenHBand="0" w:firstRowFirstColumn="0" w:firstRowLastColumn="0" w:lastRowFirstColumn="0" w:lastRowLastColumn="0"/>
            <w:tcW w:w="1980" w:type="dxa"/>
          </w:tcPr>
          <w:p w:rsidRPr="00F36091" w:rsidR="00F36091" w:rsidP="00FE471F" w:rsidRDefault="00F36091" w14:paraId="3F8181A4" w14:textId="77777777">
            <w:pPr>
              <w:rPr>
                <w:iCs/>
                <w:sz w:val="20"/>
                <w:szCs w:val="20"/>
              </w:rPr>
            </w:pPr>
            <w:proofErr w:type="spellStart"/>
            <w:r w:rsidRPr="00F36091">
              <w:rPr>
                <w:iCs/>
                <w:sz w:val="20"/>
                <w:szCs w:val="20"/>
              </w:rPr>
              <w:t>Hal_qR</w:t>
            </w:r>
            <w:proofErr w:type="spellEnd"/>
          </w:p>
        </w:tc>
        <w:tc>
          <w:tcPr>
            <w:tcW w:w="6030" w:type="dxa"/>
          </w:tcPr>
          <w:p w:rsidRPr="00F36091" w:rsidR="00F36091" w:rsidP="00FE471F" w:rsidRDefault="00F36091" w14:paraId="3B2E1ACE" w14:textId="77777777">
            <w:pPr>
              <w:cnfStyle w:val="000000000000" w:firstRow="0" w:lastRow="0" w:firstColumn="0" w:lastColumn="0" w:oddVBand="0" w:evenVBand="0" w:oddHBand="0" w:evenHBand="0" w:firstRowFirstColumn="0" w:firstRowLastColumn="0" w:lastRowFirstColumn="0" w:lastRowLastColumn="0"/>
              <w:rPr>
                <w:iCs/>
                <w:sz w:val="20"/>
                <w:szCs w:val="20"/>
              </w:rPr>
            </w:pPr>
            <w:r w:rsidRPr="00F36091">
              <w:rPr>
                <w:iCs/>
                <w:sz w:val="20"/>
                <w:szCs w:val="20"/>
              </w:rPr>
              <w:t>AAT AGG GCT AGG GAT GCT AA</w:t>
            </w:r>
          </w:p>
        </w:tc>
        <w:tc>
          <w:tcPr>
            <w:tcW w:w="1530" w:type="dxa"/>
            <w:vMerge/>
          </w:tcPr>
          <w:p w:rsidRPr="00F36091" w:rsidR="00F36091" w:rsidP="00FE471F" w:rsidRDefault="00F36091" w14:paraId="72C72F78" w14:textId="77777777">
            <w:pPr>
              <w:cnfStyle w:val="000000000000" w:firstRow="0" w:lastRow="0" w:firstColumn="0" w:lastColumn="0" w:oddVBand="0" w:evenVBand="0" w:oddHBand="0" w:evenHBand="0" w:firstRowFirstColumn="0" w:firstRowLastColumn="0" w:lastRowFirstColumn="0" w:lastRowLastColumn="0"/>
              <w:rPr>
                <w:iCs/>
                <w:sz w:val="20"/>
                <w:szCs w:val="20"/>
              </w:rPr>
            </w:pPr>
          </w:p>
        </w:tc>
      </w:tr>
      <w:tr w:rsidRPr="00ED2059" w:rsidR="00F36091" w:rsidTr="00E925E2" w14:paraId="7FD96676" w14:textId="77777777">
        <w:trPr>
          <w:trHeight w:val="251"/>
        </w:trPr>
        <w:tc>
          <w:tcPr>
            <w:cnfStyle w:val="001000000000" w:firstRow="0" w:lastRow="0" w:firstColumn="1" w:lastColumn="0" w:oddVBand="0" w:evenVBand="0" w:oddHBand="0" w:evenHBand="0" w:firstRowFirstColumn="0" w:firstRowLastColumn="0" w:lastRowFirstColumn="0" w:lastRowLastColumn="0"/>
            <w:tcW w:w="1980" w:type="dxa"/>
          </w:tcPr>
          <w:p w:rsidRPr="00F36091" w:rsidR="00F36091" w:rsidP="00FE471F" w:rsidRDefault="00F36091" w14:paraId="491905B2" w14:textId="77777777">
            <w:pPr>
              <w:rPr>
                <w:iCs/>
                <w:sz w:val="20"/>
                <w:szCs w:val="20"/>
              </w:rPr>
            </w:pPr>
            <w:proofErr w:type="spellStart"/>
            <w:r w:rsidRPr="00F36091">
              <w:rPr>
                <w:iCs/>
                <w:sz w:val="20"/>
                <w:szCs w:val="20"/>
              </w:rPr>
              <w:t>Hal_qP</w:t>
            </w:r>
            <w:proofErr w:type="spellEnd"/>
          </w:p>
        </w:tc>
        <w:tc>
          <w:tcPr>
            <w:tcW w:w="6030" w:type="dxa"/>
          </w:tcPr>
          <w:p w:rsidRPr="00F36091" w:rsidR="00F36091" w:rsidP="00FE471F" w:rsidRDefault="00F36091" w14:paraId="0E457BC4" w14:textId="1DF8684D">
            <w:pPr>
              <w:cnfStyle w:val="000000000000" w:firstRow="0" w:lastRow="0" w:firstColumn="0" w:lastColumn="0" w:oddVBand="0" w:evenVBand="0" w:oddHBand="0" w:evenHBand="0" w:firstRowFirstColumn="0" w:firstRowLastColumn="0" w:lastRowFirstColumn="0" w:lastRowLastColumn="0"/>
              <w:rPr>
                <w:iCs/>
                <w:sz w:val="20"/>
                <w:szCs w:val="20"/>
                <w:lang w:val="fr-FR"/>
              </w:rPr>
            </w:pPr>
            <w:r w:rsidRPr="00F36091">
              <w:rPr>
                <w:iCs/>
                <w:sz w:val="20"/>
                <w:szCs w:val="20"/>
                <w:lang w:val="fr-FR"/>
              </w:rPr>
              <w:t>/FAM /-TCA GAC TCC GAC AAA GTT CCC T-/</w:t>
            </w:r>
          </w:p>
        </w:tc>
        <w:tc>
          <w:tcPr>
            <w:tcW w:w="1530" w:type="dxa"/>
            <w:vMerge/>
          </w:tcPr>
          <w:p w:rsidRPr="00F36091" w:rsidR="00F36091" w:rsidP="00FE471F" w:rsidRDefault="00F36091" w14:paraId="1AA9D191" w14:textId="77777777">
            <w:pPr>
              <w:cnfStyle w:val="000000000000" w:firstRow="0" w:lastRow="0" w:firstColumn="0" w:lastColumn="0" w:oddVBand="0" w:evenVBand="0" w:oddHBand="0" w:evenHBand="0" w:firstRowFirstColumn="0" w:firstRowLastColumn="0" w:lastRowFirstColumn="0" w:lastRowLastColumn="0"/>
              <w:rPr>
                <w:iCs/>
                <w:sz w:val="20"/>
                <w:szCs w:val="20"/>
                <w:lang w:val="fr-FR"/>
              </w:rPr>
            </w:pPr>
          </w:p>
        </w:tc>
      </w:tr>
      <w:tr w:rsidRPr="00F36091" w:rsidR="00F36091" w:rsidTr="00E925E2" w14:paraId="482D4216" w14:textId="77777777">
        <w:trPr>
          <w:trHeight w:val="252"/>
        </w:trPr>
        <w:tc>
          <w:tcPr>
            <w:cnfStyle w:val="001000000000" w:firstRow="0" w:lastRow="0" w:firstColumn="1" w:lastColumn="0" w:oddVBand="0" w:evenVBand="0" w:oddHBand="0" w:evenHBand="0" w:firstRowFirstColumn="0" w:firstRowLastColumn="0" w:lastRowFirstColumn="0" w:lastRowLastColumn="0"/>
            <w:tcW w:w="1980" w:type="dxa"/>
          </w:tcPr>
          <w:p w:rsidRPr="00F36091" w:rsidR="00F36091" w:rsidP="00F36091" w:rsidRDefault="00F36091" w14:paraId="52F709EE" w14:textId="54397404">
            <w:pPr>
              <w:rPr>
                <w:iCs/>
                <w:sz w:val="20"/>
                <w:szCs w:val="20"/>
              </w:rPr>
            </w:pPr>
            <w:proofErr w:type="spellStart"/>
            <w:r w:rsidRPr="00F36091">
              <w:rPr>
                <w:iCs/>
                <w:sz w:val="20"/>
                <w:szCs w:val="20"/>
              </w:rPr>
              <w:t>Al_CytB_F</w:t>
            </w:r>
            <w:proofErr w:type="spellEnd"/>
          </w:p>
        </w:tc>
        <w:tc>
          <w:tcPr>
            <w:tcW w:w="6030" w:type="dxa"/>
          </w:tcPr>
          <w:p w:rsidRPr="00F36091" w:rsidR="00F36091" w:rsidP="00FE471F" w:rsidRDefault="00F36091" w14:paraId="536908C6" w14:textId="1608372D">
            <w:pPr>
              <w:cnfStyle w:val="000000000000" w:firstRow="0" w:lastRow="0" w:firstColumn="0" w:lastColumn="0" w:oddVBand="0" w:evenVBand="0" w:oddHBand="0" w:evenHBand="0" w:firstRowFirstColumn="0" w:firstRowLastColumn="0" w:lastRowFirstColumn="0" w:lastRowLastColumn="0"/>
              <w:rPr>
                <w:iCs/>
                <w:sz w:val="20"/>
                <w:szCs w:val="20"/>
              </w:rPr>
            </w:pPr>
            <w:r w:rsidRPr="00F36091">
              <w:rPr>
                <w:iCs/>
                <w:sz w:val="20"/>
                <w:szCs w:val="20"/>
              </w:rPr>
              <w:t>CCC TAC TGC TCA AAG AAA GGA GAT TTT AAC TC</w:t>
            </w:r>
          </w:p>
        </w:tc>
        <w:tc>
          <w:tcPr>
            <w:tcW w:w="1530" w:type="dxa"/>
            <w:vMerge w:val="restart"/>
          </w:tcPr>
          <w:p w:rsidRPr="00F36091" w:rsidR="00F36091" w:rsidP="00FE471F" w:rsidRDefault="00F36091" w14:paraId="7F82636D" w14:textId="59A37BCE">
            <w:pPr>
              <w:jc w:val="center"/>
              <w:cnfStyle w:val="000000000000" w:firstRow="0" w:lastRow="0" w:firstColumn="0" w:lastColumn="0" w:oddVBand="0" w:evenVBand="0" w:oddHBand="0" w:evenHBand="0" w:firstRowFirstColumn="0" w:firstRowLastColumn="0" w:lastRowFirstColumn="0" w:lastRowLastColumn="0"/>
              <w:rPr>
                <w:iCs/>
                <w:sz w:val="20"/>
                <w:szCs w:val="20"/>
              </w:rPr>
            </w:pPr>
            <w:r w:rsidRPr="00F36091">
              <w:rPr>
                <w:iCs/>
                <w:sz w:val="20"/>
                <w:szCs w:val="20"/>
              </w:rPr>
              <w:t>92</w:t>
            </w:r>
            <w:r w:rsidR="00ED2059">
              <w:rPr>
                <w:iCs/>
                <w:sz w:val="20"/>
                <w:szCs w:val="20"/>
              </w:rPr>
              <w:t xml:space="preserve"> </w:t>
            </w:r>
            <w:r w:rsidRPr="00F36091">
              <w:rPr>
                <w:iCs/>
                <w:sz w:val="20"/>
                <w:szCs w:val="20"/>
              </w:rPr>
              <w:t>bps</w:t>
            </w:r>
          </w:p>
        </w:tc>
      </w:tr>
      <w:tr w:rsidRPr="00F36091" w:rsidR="00F36091" w:rsidTr="00E925E2" w14:paraId="73BA600A" w14:textId="77777777">
        <w:trPr>
          <w:trHeight w:val="270"/>
        </w:trPr>
        <w:tc>
          <w:tcPr>
            <w:cnfStyle w:val="001000000000" w:firstRow="0" w:lastRow="0" w:firstColumn="1" w:lastColumn="0" w:oddVBand="0" w:evenVBand="0" w:oddHBand="0" w:evenHBand="0" w:firstRowFirstColumn="0" w:firstRowLastColumn="0" w:lastRowFirstColumn="0" w:lastRowLastColumn="0"/>
            <w:tcW w:w="1980" w:type="dxa"/>
          </w:tcPr>
          <w:p w:rsidRPr="00F36091" w:rsidR="00F36091" w:rsidP="00FE471F" w:rsidRDefault="00F36091" w14:paraId="74A863EB" w14:textId="5EF57CA3">
            <w:pPr>
              <w:rPr>
                <w:b w:val="0"/>
                <w:bCs w:val="0"/>
                <w:iCs/>
                <w:sz w:val="20"/>
                <w:szCs w:val="20"/>
              </w:rPr>
            </w:pPr>
            <w:proofErr w:type="spellStart"/>
            <w:r w:rsidRPr="00F36091">
              <w:rPr>
                <w:iCs/>
                <w:sz w:val="20"/>
                <w:szCs w:val="20"/>
              </w:rPr>
              <w:t>Al_CytB_R</w:t>
            </w:r>
            <w:proofErr w:type="spellEnd"/>
          </w:p>
        </w:tc>
        <w:tc>
          <w:tcPr>
            <w:tcW w:w="6030" w:type="dxa"/>
          </w:tcPr>
          <w:p w:rsidRPr="00F36091" w:rsidR="00F36091" w:rsidP="00FE471F" w:rsidRDefault="00F36091" w14:paraId="7B0E21AF" w14:textId="35CF1138">
            <w:pPr>
              <w:cnfStyle w:val="000000000000" w:firstRow="0" w:lastRow="0" w:firstColumn="0" w:lastColumn="0" w:oddVBand="0" w:evenVBand="0" w:oddHBand="0" w:evenHBand="0" w:firstRowFirstColumn="0" w:firstRowLastColumn="0" w:lastRowFirstColumn="0" w:lastRowLastColumn="0"/>
              <w:rPr>
                <w:iCs/>
                <w:sz w:val="20"/>
                <w:szCs w:val="20"/>
              </w:rPr>
            </w:pPr>
            <w:r w:rsidRPr="00F36091">
              <w:rPr>
                <w:iCs/>
                <w:sz w:val="20"/>
                <w:szCs w:val="20"/>
              </w:rPr>
              <w:t>TGA ATA CCA TTG AAA TGG TTA AAA TAA ATA CAT GGT GAT A</w:t>
            </w:r>
          </w:p>
        </w:tc>
        <w:tc>
          <w:tcPr>
            <w:tcW w:w="1530" w:type="dxa"/>
            <w:vMerge/>
          </w:tcPr>
          <w:p w:rsidRPr="00F36091" w:rsidR="00F36091" w:rsidP="00FE471F" w:rsidRDefault="00F36091" w14:paraId="682F2564" w14:textId="77777777">
            <w:pPr>
              <w:jc w:val="center"/>
              <w:cnfStyle w:val="000000000000" w:firstRow="0" w:lastRow="0" w:firstColumn="0" w:lastColumn="0" w:oddVBand="0" w:evenVBand="0" w:oddHBand="0" w:evenHBand="0" w:firstRowFirstColumn="0" w:firstRowLastColumn="0" w:lastRowFirstColumn="0" w:lastRowLastColumn="0"/>
              <w:rPr>
                <w:iCs/>
                <w:sz w:val="20"/>
                <w:szCs w:val="20"/>
              </w:rPr>
            </w:pPr>
          </w:p>
        </w:tc>
      </w:tr>
      <w:tr w:rsidRPr="00F36091" w:rsidR="00F36091" w:rsidTr="00E925E2" w14:paraId="53711457" w14:textId="77777777">
        <w:trPr>
          <w:trHeight w:val="297"/>
        </w:trPr>
        <w:tc>
          <w:tcPr>
            <w:cnfStyle w:val="001000000000" w:firstRow="0" w:lastRow="0" w:firstColumn="1" w:lastColumn="0" w:oddVBand="0" w:evenVBand="0" w:oddHBand="0" w:evenHBand="0" w:firstRowFirstColumn="0" w:firstRowLastColumn="0" w:lastRowFirstColumn="0" w:lastRowLastColumn="0"/>
            <w:tcW w:w="1980" w:type="dxa"/>
          </w:tcPr>
          <w:p w:rsidRPr="00F36091" w:rsidR="00F36091" w:rsidP="00F36091" w:rsidRDefault="00F36091" w14:paraId="06BCFB4D" w14:textId="692A3425">
            <w:pPr>
              <w:rPr>
                <w:iCs/>
                <w:sz w:val="20"/>
                <w:szCs w:val="20"/>
              </w:rPr>
            </w:pPr>
            <w:proofErr w:type="spellStart"/>
            <w:r w:rsidRPr="00F36091">
              <w:rPr>
                <w:iCs/>
                <w:sz w:val="20"/>
                <w:szCs w:val="20"/>
              </w:rPr>
              <w:t>Al_CytB_P</w:t>
            </w:r>
            <w:proofErr w:type="spellEnd"/>
          </w:p>
        </w:tc>
        <w:tc>
          <w:tcPr>
            <w:tcW w:w="6030" w:type="dxa"/>
          </w:tcPr>
          <w:p w:rsidRPr="00F36091" w:rsidR="00F36091" w:rsidP="00FE471F" w:rsidRDefault="00F36091" w14:paraId="1B016F13" w14:textId="4BFC7867">
            <w:pPr>
              <w:cnfStyle w:val="000000000000" w:firstRow="0" w:lastRow="0" w:firstColumn="0" w:lastColumn="0" w:oddVBand="0" w:evenVBand="0" w:oddHBand="0" w:evenHBand="0" w:firstRowFirstColumn="0" w:firstRowLastColumn="0" w:lastRowFirstColumn="0" w:lastRowLastColumn="0"/>
              <w:rPr>
                <w:iCs/>
                <w:sz w:val="20"/>
                <w:szCs w:val="20"/>
              </w:rPr>
            </w:pPr>
            <w:r w:rsidRPr="00F36091">
              <w:rPr>
                <w:iCs/>
                <w:sz w:val="20"/>
                <w:szCs w:val="20"/>
              </w:rPr>
              <w:t>/6FAM/TGC GCG TAT GTA ACT AAT CAT GTA TGT ACT TAG TGC AT/</w:t>
            </w:r>
            <w:r>
              <w:rPr>
                <w:iCs/>
                <w:sz w:val="20"/>
                <w:szCs w:val="20"/>
              </w:rPr>
              <w:t xml:space="preserve"> </w:t>
            </w:r>
            <w:r w:rsidRPr="00F36091">
              <w:rPr>
                <w:iCs/>
                <w:sz w:val="20"/>
                <w:szCs w:val="20"/>
              </w:rPr>
              <w:t>MGBNFQ/</w:t>
            </w:r>
          </w:p>
        </w:tc>
        <w:tc>
          <w:tcPr>
            <w:tcW w:w="1530" w:type="dxa"/>
            <w:vMerge/>
          </w:tcPr>
          <w:p w:rsidRPr="00F36091" w:rsidR="00F36091" w:rsidP="00FE471F" w:rsidRDefault="00F36091" w14:paraId="210EE4ED" w14:textId="77777777">
            <w:pPr>
              <w:jc w:val="center"/>
              <w:cnfStyle w:val="000000000000" w:firstRow="0" w:lastRow="0" w:firstColumn="0" w:lastColumn="0" w:oddVBand="0" w:evenVBand="0" w:oddHBand="0" w:evenHBand="0" w:firstRowFirstColumn="0" w:firstRowLastColumn="0" w:lastRowFirstColumn="0" w:lastRowLastColumn="0"/>
              <w:rPr>
                <w:iCs/>
                <w:sz w:val="20"/>
                <w:szCs w:val="20"/>
              </w:rPr>
            </w:pPr>
          </w:p>
        </w:tc>
      </w:tr>
    </w:tbl>
    <w:p w:rsidRPr="00F36091" w:rsidR="00F36091" w:rsidP="00DC1E71" w:rsidRDefault="00F36091" w14:paraId="327D86A8" w14:textId="77777777">
      <w:pPr>
        <w:ind w:firstLine="360"/>
        <w:rPr>
          <w:sz w:val="20"/>
          <w:szCs w:val="20"/>
        </w:rPr>
      </w:pPr>
    </w:p>
    <w:p w:rsidR="00282A21" w:rsidP="00DC1E71" w:rsidRDefault="00282A21" w14:paraId="734FFAC1" w14:textId="5D4D56C9">
      <w:pPr>
        <w:ind w:firstLine="360"/>
      </w:pPr>
      <w:r>
        <w:t xml:space="preserve">The assays were optimized using </w:t>
      </w:r>
      <w:proofErr w:type="spellStart"/>
      <w:r w:rsidRPr="00282A21">
        <w:t>TaqPath</w:t>
      </w:r>
      <w:proofErr w:type="spellEnd"/>
      <w:r w:rsidRPr="00282A21">
        <w:t xml:space="preserve"> </w:t>
      </w:r>
      <w:proofErr w:type="spellStart"/>
      <w:r w:rsidRPr="00282A21">
        <w:t>ProAmp</w:t>
      </w:r>
      <w:proofErr w:type="spellEnd"/>
      <w:r w:rsidRPr="00282A21">
        <w:t xml:space="preserve"> 2X Master Mix (Applied Biosystems)</w:t>
      </w:r>
      <w:r>
        <w:t>. However, there was observed amplification in the No Template Controls (NTC)</w:t>
      </w:r>
      <w:r w:rsidR="00B8042A">
        <w:t xml:space="preserve"> for the Atlantic cod assay (GadmorCYB_02). This assay underwent additional optimization to eliminate the erroneous amplification curves. By switching to </w:t>
      </w:r>
      <w:proofErr w:type="spellStart"/>
      <w:r w:rsidR="00B8042A">
        <w:t>PerfeCTa</w:t>
      </w:r>
      <w:proofErr w:type="spellEnd"/>
      <w:r w:rsidR="00B8042A">
        <w:t xml:space="preserve"> qPCR </w:t>
      </w:r>
      <w:proofErr w:type="spellStart"/>
      <w:r w:rsidR="00B8042A">
        <w:t>ToughMix</w:t>
      </w:r>
      <w:proofErr w:type="spellEnd"/>
      <w:r w:rsidR="00B8042A">
        <w:t xml:space="preserve"> (Low ROX) (</w:t>
      </w:r>
      <w:proofErr w:type="spellStart"/>
      <w:r w:rsidR="00B8042A">
        <w:t>QuantaBio</w:t>
      </w:r>
      <w:proofErr w:type="spellEnd"/>
      <w:r w:rsidR="00B8042A">
        <w:t>), no further amplification was observed in the NTCs.</w:t>
      </w:r>
    </w:p>
    <w:p w:rsidR="00844BFD" w:rsidP="00844BFD" w:rsidRDefault="00C70758" w14:paraId="25C23878" w14:textId="127404C3">
      <w:pPr>
        <w:pStyle w:val="Heading2"/>
      </w:pPr>
      <w:r>
        <w:t>3</w:t>
      </w:r>
      <w:r w:rsidRPr="00844BFD" w:rsidR="00844BFD">
        <w:t>.</w:t>
      </w:r>
      <w:r w:rsidR="00844BFD">
        <w:t xml:space="preserve">  </w:t>
      </w:r>
      <w:r w:rsidRPr="00844BFD" w:rsidR="00844BFD">
        <w:t>Appl</w:t>
      </w:r>
      <w:r>
        <w:t>ication of</w:t>
      </w:r>
      <w:r w:rsidRPr="00844BFD" w:rsidR="00844BFD">
        <w:t xml:space="preserve"> qPCR assays</w:t>
      </w:r>
      <w:r w:rsidR="00116504">
        <w:t xml:space="preserve"> </w:t>
      </w:r>
      <w:r>
        <w:t>and Internal Positive Control (IPC)</w:t>
      </w:r>
    </w:p>
    <w:p w:rsidR="00364324" w:rsidP="00FE1434" w:rsidRDefault="00844BFD" w14:paraId="1A890925" w14:textId="3A480D61">
      <w:r>
        <w:tab/>
      </w:r>
      <w:r w:rsidR="00965DFB">
        <w:t xml:space="preserve">At this stage, only 112 samples had been provided to the ABL. </w:t>
      </w:r>
      <w:r w:rsidR="00BB5BE3">
        <w:t>A</w:t>
      </w:r>
      <w:r w:rsidR="00551CD2">
        <w:t xml:space="preserve">ssays were applied to </w:t>
      </w:r>
      <w:r w:rsidR="00965DFB">
        <w:t>all 112</w:t>
      </w:r>
      <w:r w:rsidR="00BB5BE3">
        <w:t xml:space="preserve"> samples and </w:t>
      </w:r>
      <w:r w:rsidR="00965DFB">
        <w:t>Field Blanks available at that time,</w:t>
      </w:r>
      <w:r w:rsidR="00BB5BE3">
        <w:t xml:space="preserve"> </w:t>
      </w:r>
      <w:r w:rsidR="00551CD2">
        <w:t>and</w:t>
      </w:r>
      <w:r w:rsidR="00BB5BE3">
        <w:t xml:space="preserve"> processed in 384-well plate format</w:t>
      </w:r>
      <w:r w:rsidR="00C607D1">
        <w:t xml:space="preserve"> (where suitable). T</w:t>
      </w:r>
      <w:r w:rsidR="0031676A">
        <w:t xml:space="preserve">he </w:t>
      </w:r>
      <w:proofErr w:type="spellStart"/>
      <w:r w:rsidR="0031676A">
        <w:t>epMotion</w:t>
      </w:r>
      <w:proofErr w:type="spellEnd"/>
      <w:r w:rsidR="0031676A">
        <w:t xml:space="preserve"> 5073 (Eppendorf)</w:t>
      </w:r>
      <w:r w:rsidR="00C607D1">
        <w:t xml:space="preserve"> was used</w:t>
      </w:r>
      <w:r w:rsidR="0031676A">
        <w:t xml:space="preserve"> to tran</w:t>
      </w:r>
      <w:r w:rsidR="00116504">
        <w:t xml:space="preserve">sfer </w:t>
      </w:r>
      <w:r w:rsidR="00364324">
        <w:t>the qPCR master</w:t>
      </w:r>
      <w:r w:rsidR="00ED2059">
        <w:t xml:space="preserve"> </w:t>
      </w:r>
      <w:r w:rsidR="00364324">
        <w:t xml:space="preserve">mix and the </w:t>
      </w:r>
      <w:r w:rsidR="00116504">
        <w:t>eDNA samples in triplicate</w:t>
      </w:r>
      <w:r w:rsidR="00C607D1">
        <w:t xml:space="preserve">. For application of the </w:t>
      </w:r>
      <w:r w:rsidR="00101D97">
        <w:t>IPC assay</w:t>
      </w:r>
      <w:r w:rsidR="00C607D1">
        <w:t>, the T4 DNA primers and probe</w:t>
      </w:r>
      <w:r w:rsidR="00101D97">
        <w:t xml:space="preserve"> (VIC)</w:t>
      </w:r>
      <w:r w:rsidR="00C607D1">
        <w:t xml:space="preserve"> were used. These were included in the same master</w:t>
      </w:r>
      <w:r w:rsidR="00ED2059">
        <w:t xml:space="preserve"> </w:t>
      </w:r>
      <w:r w:rsidR="00C607D1">
        <w:t xml:space="preserve">mix as </w:t>
      </w:r>
      <w:r w:rsidR="00ED2059">
        <w:t>the</w:t>
      </w:r>
      <w:r w:rsidR="00C607D1">
        <w:t xml:space="preserve"> </w:t>
      </w:r>
      <w:r w:rsidRPr="00C607D1" w:rsidR="00C607D1">
        <w:rPr>
          <w:i/>
          <w:iCs/>
        </w:rPr>
        <w:t>A. lupus</w:t>
      </w:r>
      <w:r w:rsidR="00C607D1">
        <w:t xml:space="preserve"> (FAM)</w:t>
      </w:r>
      <w:r w:rsidR="00101D97">
        <w:t>.</w:t>
      </w:r>
      <w:r w:rsidR="00C607D1">
        <w:t xml:space="preserve"> The IPC was used to test for PCR inhibition.</w:t>
      </w:r>
    </w:p>
    <w:p w:rsidR="00844BFD" w:rsidP="003C7405" w:rsidRDefault="00364324" w14:paraId="52E43E0B" w14:textId="793615C8">
      <w:pPr>
        <w:pStyle w:val="NoSpacing"/>
        <w:ind w:firstLine="720"/>
      </w:pPr>
      <w:r>
        <w:t>The S</w:t>
      </w:r>
      <w:r w:rsidR="00101D97">
        <w:t xml:space="preserve">tandards </w:t>
      </w:r>
      <w:r>
        <w:t xml:space="preserve">were </w:t>
      </w:r>
      <w:r w:rsidR="005B3E1D">
        <w:t>developed from a synthe</w:t>
      </w:r>
      <w:r w:rsidR="003C7405">
        <w:t>tic</w:t>
      </w:r>
      <w:r w:rsidR="005B3E1D">
        <w:t xml:space="preserve"> DNA fragment (</w:t>
      </w:r>
      <w:proofErr w:type="spellStart"/>
      <w:r w:rsidR="005B3E1D">
        <w:t>gBlock</w:t>
      </w:r>
      <w:proofErr w:type="spellEnd"/>
      <w:r w:rsidR="005B3E1D">
        <w:t xml:space="preserve">) </w:t>
      </w:r>
      <w:r w:rsidR="00EF601F">
        <w:t>of</w:t>
      </w:r>
      <w:r w:rsidR="005B3E1D">
        <w:t xml:space="preserve"> </w:t>
      </w:r>
      <w:r w:rsidR="00EF601F">
        <w:t xml:space="preserve">the specific </w:t>
      </w:r>
      <w:r>
        <w:t>species</w:t>
      </w:r>
      <w:r w:rsidR="00EF601F">
        <w:t xml:space="preserve"> assay</w:t>
      </w:r>
      <w:r w:rsidR="005B3E1D">
        <w:t xml:space="preserve"> </w:t>
      </w:r>
      <w:proofErr w:type="spellStart"/>
      <w:r>
        <w:t>mtDNA-cytb</w:t>
      </w:r>
      <w:proofErr w:type="spellEnd"/>
      <w:r w:rsidR="00EF601F">
        <w:t xml:space="preserve"> </w:t>
      </w:r>
      <w:r w:rsidR="005B3E1D">
        <w:t>region</w:t>
      </w:r>
      <w:r w:rsidR="00551CD2">
        <w:t xml:space="preserve"> (Table 4)</w:t>
      </w:r>
      <w:r>
        <w:t xml:space="preserve">. Serial dilutions of the </w:t>
      </w:r>
      <w:proofErr w:type="spellStart"/>
      <w:r>
        <w:t>gBlocks</w:t>
      </w:r>
      <w:proofErr w:type="spellEnd"/>
      <w:r>
        <w:t xml:space="preserve"> were created and used for the standard curves</w:t>
      </w:r>
      <w:r w:rsidR="00101D97">
        <w:t xml:space="preserve"> added to the qPCR plate</w:t>
      </w:r>
      <w:r>
        <w:t>. The standards were plated manually,</w:t>
      </w:r>
      <w:r w:rsidR="00101D97">
        <w:t xml:space="preserve"> in triplicate</w:t>
      </w:r>
      <w:r>
        <w:t>,</w:t>
      </w:r>
      <w:r w:rsidR="00101D97">
        <w:t xml:space="preserve"> and ranged from 10</w:t>
      </w:r>
      <w:r w:rsidR="00101D97">
        <w:rPr>
          <w:vertAlign w:val="superscript"/>
        </w:rPr>
        <w:t xml:space="preserve">5 </w:t>
      </w:r>
      <w:r w:rsidR="00101D97">
        <w:t>(100</w:t>
      </w:r>
      <w:r w:rsidR="00ED2059">
        <w:t>,</w:t>
      </w:r>
      <w:r w:rsidR="00101D97">
        <w:t>000 copies/uL) to 10</w:t>
      </w:r>
      <w:r w:rsidR="00101D97">
        <w:rPr>
          <w:vertAlign w:val="superscript"/>
        </w:rPr>
        <w:t xml:space="preserve">0 </w:t>
      </w:r>
      <w:r w:rsidR="00101D97">
        <w:t xml:space="preserve">(1 copy/uL). </w:t>
      </w:r>
      <w:r>
        <w:t xml:space="preserve">The </w:t>
      </w:r>
      <w:r w:rsidR="00101D97">
        <w:t>NTCs were also added manually</w:t>
      </w:r>
      <w:r>
        <w:t>,</w:t>
      </w:r>
      <w:r w:rsidR="00101D97">
        <w:t xml:space="preserve"> in triplicate. The </w:t>
      </w:r>
      <w:r>
        <w:t>S</w:t>
      </w:r>
      <w:r w:rsidR="00101D97">
        <w:t xml:space="preserve">tandards and NTCs were used to assess the quality of the qPCR run. The qPCR was </w:t>
      </w:r>
      <w:r w:rsidR="00AD160B">
        <w:t xml:space="preserve">run on the </w:t>
      </w:r>
      <w:proofErr w:type="spellStart"/>
      <w:r w:rsidR="00AD160B">
        <w:t>QuantStudio</w:t>
      </w:r>
      <w:proofErr w:type="spellEnd"/>
      <w:r w:rsidR="00AD160B">
        <w:t xml:space="preserve"> 7 Flex (</w:t>
      </w:r>
      <w:proofErr w:type="spellStart"/>
      <w:r w:rsidR="00AD160B">
        <w:t>ThermoFisher</w:t>
      </w:r>
      <w:proofErr w:type="spellEnd"/>
      <w:r w:rsidR="00AD160B">
        <w:t>)</w:t>
      </w:r>
      <w:r>
        <w:t xml:space="preserve"> and analyzed using the </w:t>
      </w:r>
      <w:proofErr w:type="spellStart"/>
      <w:r>
        <w:t>QuantStudio</w:t>
      </w:r>
      <w:proofErr w:type="spellEnd"/>
      <w:r>
        <w:t xml:space="preserve"> Real-Time PCR Software</w:t>
      </w:r>
      <w:r w:rsidR="00BB5BE3">
        <w:t>.</w:t>
      </w:r>
      <w:r w:rsidR="0025431A">
        <w:t xml:space="preserve"> </w:t>
      </w:r>
    </w:p>
    <w:p w:rsidR="003C7405" w:rsidP="003C7405" w:rsidRDefault="003C7405" w14:paraId="0D9ADC00" w14:textId="77777777">
      <w:pPr>
        <w:pStyle w:val="NoSpacing"/>
      </w:pPr>
    </w:p>
    <w:p w:rsidR="003C7405" w:rsidP="003C7405" w:rsidRDefault="003C7405" w14:paraId="77C9C311" w14:textId="77777777">
      <w:pPr>
        <w:pStyle w:val="NoSpacing"/>
      </w:pPr>
    </w:p>
    <w:p w:rsidR="00E413A9" w:rsidP="00551CD2" w:rsidRDefault="00551CD2" w14:paraId="43023667" w14:textId="77BD9213">
      <w:pPr>
        <w:pStyle w:val="NoSpacing"/>
      </w:pPr>
      <w:r w:rsidRPr="00551CD2">
        <w:rPr>
          <w:b/>
          <w:bCs/>
        </w:rPr>
        <w:t>Table 4</w:t>
      </w:r>
      <w:r>
        <w:t xml:space="preserve">. </w:t>
      </w:r>
      <w:r w:rsidRPr="00551CD2">
        <w:t xml:space="preserve">The </w:t>
      </w:r>
      <w:proofErr w:type="spellStart"/>
      <w:r w:rsidRPr="00551CD2">
        <w:t>gBlocks</w:t>
      </w:r>
      <w:proofErr w:type="spellEnd"/>
      <w:r w:rsidRPr="00551CD2">
        <w:t xml:space="preserve"> used for qPCR standard curves and LOD/LOQ dilutions.</w:t>
      </w:r>
    </w:p>
    <w:tbl>
      <w:tblPr>
        <w:tblStyle w:val="GridTable1Light"/>
        <w:tblW w:w="9630" w:type="dxa"/>
        <w:tblLook w:val="04A0" w:firstRow="1" w:lastRow="0" w:firstColumn="1" w:lastColumn="0" w:noHBand="0" w:noVBand="1"/>
      </w:tblPr>
      <w:tblGrid>
        <w:gridCol w:w="1530"/>
        <w:gridCol w:w="8100"/>
      </w:tblGrid>
      <w:tr w:rsidR="00551CD2" w:rsidTr="799375C4" w14:paraId="6E39FF2D" w14:textId="7777777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30" w:type="dxa"/>
            <w:tcMar/>
          </w:tcPr>
          <w:p w:rsidRPr="00551CD2" w:rsidR="00551CD2" w:rsidP="00551CD2" w:rsidRDefault="00551CD2" w14:paraId="5EE9153B" w14:textId="770C9826">
            <w:pPr>
              <w:pStyle w:val="NoSpacing"/>
            </w:pPr>
            <w:proofErr w:type="spellStart"/>
            <w:r w:rsidRPr="00551CD2">
              <w:t>gBlock</w:t>
            </w:r>
            <w:proofErr w:type="spellEnd"/>
          </w:p>
        </w:tc>
        <w:tc>
          <w:tcPr>
            <w:cnfStyle w:val="000000000000" w:firstRow="0" w:lastRow="0" w:firstColumn="0" w:lastColumn="0" w:oddVBand="0" w:evenVBand="0" w:oddHBand="0" w:evenHBand="0" w:firstRowFirstColumn="0" w:firstRowLastColumn="0" w:lastRowFirstColumn="0" w:lastRowLastColumn="0"/>
            <w:tcW w:w="8100" w:type="dxa"/>
            <w:tcMar/>
          </w:tcPr>
          <w:p w:rsidRPr="00551CD2" w:rsidR="00551CD2" w:rsidP="00551CD2" w:rsidRDefault="00551CD2" w14:paraId="2EE04EC1" w14:textId="6B8DF9B0">
            <w:pPr>
              <w:pStyle w:val="NoSpacing"/>
              <w:cnfStyle w:val="100000000000" w:firstRow="1" w:lastRow="0" w:firstColumn="0" w:lastColumn="0" w:oddVBand="0" w:evenVBand="0" w:oddHBand="0" w:evenHBand="0" w:firstRowFirstColumn="0" w:firstRowLastColumn="0" w:lastRowFirstColumn="0" w:lastRowLastColumn="0"/>
            </w:pPr>
            <w:r w:rsidRPr="00551CD2">
              <w:t>Sequence (5’ to 3’)</w:t>
            </w:r>
          </w:p>
        </w:tc>
      </w:tr>
      <w:tr w:rsidR="00551CD2" w:rsidTr="799375C4" w14:paraId="6ACFD93E" w14:textId="77777777">
        <w:tc>
          <w:tcPr>
            <w:cnfStyle w:val="001000000000" w:firstRow="0" w:lastRow="0" w:firstColumn="1" w:lastColumn="0" w:oddVBand="0" w:evenVBand="0" w:oddHBand="0" w:evenHBand="0" w:firstRowFirstColumn="0" w:firstRowLastColumn="0" w:lastRowFirstColumn="0" w:lastRowLastColumn="0"/>
            <w:tcW w:w="1530" w:type="dxa"/>
            <w:tcMar/>
          </w:tcPr>
          <w:p w:rsidR="00551CD2" w:rsidP="00551CD2" w:rsidRDefault="00551CD2" w14:paraId="41FF62F9" w14:textId="0BB9BD6C">
            <w:pPr>
              <w:pStyle w:val="NoSpacing"/>
            </w:pPr>
            <w:r w:rsidRPr="00A219AF">
              <w:rPr>
                <w:i/>
                <w:sz w:val="20"/>
                <w:szCs w:val="20"/>
              </w:rPr>
              <w:t xml:space="preserve">G. </w:t>
            </w:r>
            <w:proofErr w:type="spellStart"/>
            <w:r w:rsidRPr="00A219AF">
              <w:rPr>
                <w:i/>
                <w:sz w:val="20"/>
                <w:szCs w:val="20"/>
              </w:rPr>
              <w:t>morhua</w:t>
            </w:r>
            <w:proofErr w:type="spellEnd"/>
          </w:p>
        </w:tc>
        <w:tc>
          <w:tcPr>
            <w:cnfStyle w:val="000000000000" w:firstRow="0" w:lastRow="0" w:firstColumn="0" w:lastColumn="0" w:oddVBand="0" w:evenVBand="0" w:oddHBand="0" w:evenHBand="0" w:firstRowFirstColumn="0" w:firstRowLastColumn="0" w:lastRowFirstColumn="0" w:lastRowLastColumn="0"/>
            <w:tcW w:w="8100" w:type="dxa"/>
            <w:tcMar/>
          </w:tcPr>
          <w:p w:rsidRPr="00551CD2" w:rsidR="00551CD2" w:rsidP="00551CD2" w:rsidRDefault="00551CD2" w14:paraId="7D84CD95" w14:textId="759CFD46">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799375C4" w:rsidR="00551CD2">
              <w:rPr>
                <w:sz w:val="20"/>
                <w:szCs w:val="20"/>
              </w:rPr>
              <w:t>TTC GCA CCT AAT TTA CTC GGA GAT CCA GAT AAT TTC ACC CCT GCT AAC CCC ATC GTT ACC CCA CCT CAT GTT AAG CCC GAA TGA TAT TTC TTG TTT GCC TAT GCC ATC TTA CGC TCT ATT CCA AGC</w:t>
            </w:r>
          </w:p>
        </w:tc>
      </w:tr>
      <w:tr w:rsidR="00551CD2" w:rsidTr="799375C4" w14:paraId="66AB2A26" w14:textId="77777777">
        <w:tc>
          <w:tcPr>
            <w:cnfStyle w:val="001000000000" w:firstRow="0" w:lastRow="0" w:firstColumn="1" w:lastColumn="0" w:oddVBand="0" w:evenVBand="0" w:oddHBand="0" w:evenHBand="0" w:firstRowFirstColumn="0" w:firstRowLastColumn="0" w:lastRowFirstColumn="0" w:lastRowLastColumn="0"/>
            <w:tcW w:w="1530" w:type="dxa"/>
            <w:tcMar/>
          </w:tcPr>
          <w:p w:rsidR="00551CD2" w:rsidP="00551CD2" w:rsidRDefault="00551CD2" w14:paraId="42CE1323" w14:textId="73D94D27">
            <w:pPr>
              <w:pStyle w:val="NoSpacing"/>
            </w:pPr>
            <w:r w:rsidRPr="00A219AF">
              <w:rPr>
                <w:i/>
                <w:sz w:val="20"/>
                <w:szCs w:val="20"/>
              </w:rPr>
              <w:t xml:space="preserve">H. </w:t>
            </w:r>
            <w:proofErr w:type="spellStart"/>
            <w:r w:rsidRPr="00A219AF">
              <w:rPr>
                <w:i/>
                <w:sz w:val="20"/>
                <w:szCs w:val="20"/>
              </w:rPr>
              <w:t>hippoglossus</w:t>
            </w:r>
            <w:proofErr w:type="spellEnd"/>
          </w:p>
        </w:tc>
        <w:tc>
          <w:tcPr>
            <w:cnfStyle w:val="000000000000" w:firstRow="0" w:lastRow="0" w:firstColumn="0" w:lastColumn="0" w:oddVBand="0" w:evenVBand="0" w:oddHBand="0" w:evenHBand="0" w:firstRowFirstColumn="0" w:firstRowLastColumn="0" w:lastRowFirstColumn="0" w:lastRowLastColumn="0"/>
            <w:tcW w:w="8100" w:type="dxa"/>
            <w:tcMar/>
          </w:tcPr>
          <w:p w:rsidRPr="00551CD2" w:rsidR="00551CD2" w:rsidP="00551CD2" w:rsidRDefault="00551CD2" w14:paraId="76C10A0A" w14:textId="41E5442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551CD2">
              <w:rPr>
                <w:iCs/>
                <w:sz w:val="20"/>
                <w:szCs w:val="20"/>
              </w:rPr>
              <w:t xml:space="preserve">TTC ATC TAC TCT TTC </w:t>
            </w:r>
            <w:proofErr w:type="spellStart"/>
            <w:r w:rsidRPr="00551CD2">
              <w:rPr>
                <w:iCs/>
                <w:sz w:val="20"/>
                <w:szCs w:val="20"/>
              </w:rPr>
              <w:t>TTC</w:t>
            </w:r>
            <w:proofErr w:type="spellEnd"/>
            <w:r w:rsidRPr="00551CD2">
              <w:rPr>
                <w:iCs/>
                <w:sz w:val="20"/>
                <w:szCs w:val="20"/>
              </w:rPr>
              <w:t xml:space="preserve"> ACG AAA CTG GCT CAA ACA ACC CGA CCG GGC TAA ACT CAG ACT CCG ACA AAG TTC CCT TTC ACC CCT ACT TCA CTT ACA AGG ACC TCT TAG GCTT TGC AGT CCT TCT TAC TGC ATT AGC ATC CCT AGC CCT ATT</w:t>
            </w:r>
          </w:p>
        </w:tc>
      </w:tr>
      <w:tr w:rsidR="00551CD2" w:rsidTr="799375C4" w14:paraId="3FF9AF12" w14:textId="77777777">
        <w:tc>
          <w:tcPr>
            <w:cnfStyle w:val="001000000000" w:firstRow="0" w:lastRow="0" w:firstColumn="1" w:lastColumn="0" w:oddVBand="0" w:evenVBand="0" w:oddHBand="0" w:evenHBand="0" w:firstRowFirstColumn="0" w:firstRowLastColumn="0" w:lastRowFirstColumn="0" w:lastRowLastColumn="0"/>
            <w:tcW w:w="1530" w:type="dxa"/>
            <w:tcMar/>
          </w:tcPr>
          <w:p w:rsidR="00551CD2" w:rsidP="00551CD2" w:rsidRDefault="00551CD2" w14:paraId="4F7CF235" w14:textId="139047DB">
            <w:pPr>
              <w:pStyle w:val="NoSpacing"/>
            </w:pPr>
            <w:r w:rsidRPr="00A219AF">
              <w:rPr>
                <w:i/>
                <w:sz w:val="20"/>
                <w:szCs w:val="20"/>
              </w:rPr>
              <w:t>A. lupus</w:t>
            </w:r>
          </w:p>
        </w:tc>
        <w:tc>
          <w:tcPr>
            <w:cnfStyle w:val="000000000000" w:firstRow="0" w:lastRow="0" w:firstColumn="0" w:lastColumn="0" w:oddVBand="0" w:evenVBand="0" w:oddHBand="0" w:evenHBand="0" w:firstRowFirstColumn="0" w:firstRowLastColumn="0" w:lastRowFirstColumn="0" w:lastRowLastColumn="0"/>
            <w:tcW w:w="8100" w:type="dxa"/>
            <w:tcMar/>
          </w:tcPr>
          <w:p w:rsidRPr="00551CD2" w:rsidR="00551CD2" w:rsidP="00551CD2" w:rsidRDefault="00551CD2" w14:paraId="0764C582" w14:textId="2B34E099">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551CD2">
              <w:rPr>
                <w:iCs/>
                <w:sz w:val="20"/>
                <w:szCs w:val="20"/>
              </w:rPr>
              <w:t xml:space="preserve">CCC TAC TGC TCA AAG AAA GGA GAT TTT AAC TCC TAC CCC TAA CTC CCA AAG CTA GGA TTC TGG GCT GCG CTA TGC CTT GCG CGT ATG TAA CTA TAT CAT GTA TGT ACT TAG TGC ATA TAT GTA TTA TCA CCA TGT ATT TAT TTT AAC CAT TTC AAT GGT ATT CAA GGG CGC </w:t>
            </w:r>
            <w:proofErr w:type="spellStart"/>
            <w:r w:rsidRPr="00551CD2">
              <w:rPr>
                <w:iCs/>
                <w:sz w:val="20"/>
                <w:szCs w:val="20"/>
              </w:rPr>
              <w:t>CGC</w:t>
            </w:r>
            <w:proofErr w:type="spellEnd"/>
            <w:r w:rsidRPr="00551CD2">
              <w:rPr>
                <w:iCs/>
                <w:sz w:val="20"/>
                <w:szCs w:val="20"/>
              </w:rPr>
              <w:t xml:space="preserve"> GGG CCC GG</w:t>
            </w:r>
          </w:p>
        </w:tc>
      </w:tr>
    </w:tbl>
    <w:p w:rsidR="00551CD2" w:rsidP="00551CD2" w:rsidRDefault="00551CD2" w14:paraId="30BB93C8" w14:textId="77777777">
      <w:pPr>
        <w:pStyle w:val="NoSpacing"/>
      </w:pPr>
    </w:p>
    <w:p w:rsidR="00551CD2" w:rsidP="00551CD2" w:rsidRDefault="00551CD2" w14:paraId="2C5A1BDC" w14:textId="77777777">
      <w:pPr>
        <w:pStyle w:val="NoSpacing"/>
      </w:pPr>
    </w:p>
    <w:p w:rsidR="00537D83" w:rsidP="0090772F" w:rsidRDefault="008F18C0" w14:paraId="12CA9B16" w14:textId="35EFAA7D">
      <w:pPr>
        <w:spacing w:after="120"/>
      </w:pPr>
      <w:r>
        <w:tab/>
      </w:r>
      <w:r w:rsidR="00C07B07">
        <w:t>All C</w:t>
      </w:r>
      <w:r w:rsidRPr="00C07B07" w:rsidR="00C07B07">
        <w:rPr>
          <w:vertAlign w:val="subscript"/>
        </w:rPr>
        <w:t>T</w:t>
      </w:r>
      <w:r w:rsidR="00C07B07">
        <w:t xml:space="preserve"> values for the qPCRs were provided in the file “</w:t>
      </w:r>
      <w:r w:rsidR="00011C3D">
        <w:t>APC0264 Final qPCR Results_20-Nov-24.xlsx”.</w:t>
      </w:r>
      <w:r w:rsidR="00C07B07">
        <w:t xml:space="preserve"> </w:t>
      </w:r>
      <w:r w:rsidR="006F75C4">
        <w:t>Overall</w:t>
      </w:r>
      <w:r w:rsidR="00011C3D">
        <w:t>, there was no evidence of PCR</w:t>
      </w:r>
      <w:r w:rsidR="006F75C4">
        <w:t xml:space="preserve"> inhibition detected in any of the samples</w:t>
      </w:r>
      <w:r w:rsidR="00011C3D">
        <w:t xml:space="preserve">. </w:t>
      </w:r>
      <w:r w:rsidR="006F75C4">
        <w:t xml:space="preserve"> </w:t>
      </w:r>
      <w:r w:rsidR="001F1B0D">
        <w:t>T</w:t>
      </w:r>
      <w:r w:rsidR="006F75C4">
        <w:t xml:space="preserve">here was no detection of </w:t>
      </w:r>
      <w:r w:rsidR="001F1B0D">
        <w:t>the target species</w:t>
      </w:r>
      <w:r w:rsidR="006F75C4">
        <w:t xml:space="preserve"> in any of the ENEG</w:t>
      </w:r>
      <w:r w:rsidR="001F1B0D">
        <w:t>s</w:t>
      </w:r>
      <w:r w:rsidR="006F75C4">
        <w:t xml:space="preserve"> or NTCs</w:t>
      </w:r>
      <w:r w:rsidR="001F1B0D">
        <w:t>, which give</w:t>
      </w:r>
      <w:r w:rsidR="00B25D9D">
        <w:t>s</w:t>
      </w:r>
      <w:r w:rsidR="001F1B0D">
        <w:t xml:space="preserve"> confidence that there was no</w:t>
      </w:r>
      <w:r w:rsidR="00DD037A">
        <w:t xml:space="preserve"> contamination at the extraction or processing levels</w:t>
      </w:r>
      <w:r w:rsidR="006F75C4">
        <w:t xml:space="preserve">. </w:t>
      </w:r>
      <w:r w:rsidR="001F1B0D">
        <w:t>However, there were t</w:t>
      </w:r>
      <w:r w:rsidR="00537D83">
        <w:t xml:space="preserve">hree instances of the “Inconclusive” result in two Field Blanks. The </w:t>
      </w:r>
      <w:r w:rsidRPr="00537D83" w:rsidR="00537D83">
        <w:rPr>
          <w:i/>
          <w:iCs/>
        </w:rPr>
        <w:t xml:space="preserve">G. </w:t>
      </w:r>
      <w:proofErr w:type="spellStart"/>
      <w:r w:rsidRPr="00537D83" w:rsidR="00537D83">
        <w:rPr>
          <w:i/>
          <w:iCs/>
        </w:rPr>
        <w:t>morhua</w:t>
      </w:r>
      <w:proofErr w:type="spellEnd"/>
      <w:r w:rsidR="00537D83">
        <w:t xml:space="preserve"> </w:t>
      </w:r>
      <w:proofErr w:type="spellStart"/>
      <w:r w:rsidR="00537D83">
        <w:t>cytb</w:t>
      </w:r>
      <w:proofErr w:type="spellEnd"/>
      <w:r w:rsidR="00537D83">
        <w:t xml:space="preserve"> assay was “Inconclusive” for Field Blanks </w:t>
      </w:r>
      <w:r w:rsidRPr="00537D83" w:rsidR="00537D83">
        <w:t>885030</w:t>
      </w:r>
      <w:r w:rsidR="00537D83">
        <w:t xml:space="preserve"> and </w:t>
      </w:r>
      <w:r w:rsidRPr="00537D83" w:rsidR="00537D83">
        <w:t>885095</w:t>
      </w:r>
      <w:r w:rsidR="00537D83">
        <w:t xml:space="preserve">, while Field Blank </w:t>
      </w:r>
      <w:r w:rsidRPr="00537D83" w:rsidR="00537D83">
        <w:t>885030</w:t>
      </w:r>
      <w:r w:rsidR="00537D83">
        <w:t xml:space="preserve"> was also “Inconclusive” for the </w:t>
      </w:r>
      <w:r w:rsidR="003C7405">
        <w:rPr>
          <w:i/>
          <w:iCs/>
        </w:rPr>
        <w:t xml:space="preserve">H. </w:t>
      </w:r>
      <w:proofErr w:type="spellStart"/>
      <w:r w:rsidR="003C7405">
        <w:rPr>
          <w:i/>
          <w:iCs/>
        </w:rPr>
        <w:t>hippoglossus</w:t>
      </w:r>
      <w:proofErr w:type="spellEnd"/>
      <w:r w:rsidR="00537D83">
        <w:t xml:space="preserve"> </w:t>
      </w:r>
      <w:proofErr w:type="spellStart"/>
      <w:r w:rsidR="00537D83">
        <w:t>cytb</w:t>
      </w:r>
      <w:proofErr w:type="spellEnd"/>
      <w:r w:rsidR="00537D83">
        <w:t xml:space="preserve"> assay.</w:t>
      </w:r>
      <w:r w:rsidR="001F1B0D">
        <w:t xml:space="preserve"> </w:t>
      </w:r>
      <w:r w:rsidR="00537D83">
        <w:t xml:space="preserve">The targets were </w:t>
      </w:r>
      <w:r w:rsidR="00B25D9D">
        <w:t>“N</w:t>
      </w:r>
      <w:r w:rsidR="00537D83">
        <w:t xml:space="preserve">ot </w:t>
      </w:r>
      <w:r w:rsidR="00B25D9D">
        <w:t>D</w:t>
      </w:r>
      <w:r w:rsidR="00537D83">
        <w:t>etected</w:t>
      </w:r>
      <w:r w:rsidR="00B25D9D">
        <w:t>”</w:t>
      </w:r>
      <w:r w:rsidR="00537D83">
        <w:t xml:space="preserve"> for all remaining Field Blanks.</w:t>
      </w:r>
    </w:p>
    <w:p w:rsidR="00B016CB" w:rsidP="003C7405" w:rsidRDefault="00537D83" w14:paraId="0D7387FE" w14:textId="54E6BC96">
      <w:pPr>
        <w:ind w:firstLine="720"/>
      </w:pPr>
      <w:r>
        <w:t>Results were interpreted based on</w:t>
      </w:r>
      <w:r w:rsidR="00F3263C">
        <w:t xml:space="preserve"> the “Targeted qPCR Detection of Aquatic Species results interpretation framework” (Gulf Lab and ZM working group; see Fig. 1)</w:t>
      </w:r>
      <w:r>
        <w:t>.</w:t>
      </w:r>
      <w:r w:rsidR="00F3263C">
        <w:t xml:space="preserve"> </w:t>
      </w:r>
      <w:r w:rsidR="003C7405">
        <w:t xml:space="preserve"> The qPCR results were first </w:t>
      </w:r>
      <w:r w:rsidR="003607EB">
        <w:t>analyzed at the sample level</w:t>
      </w:r>
      <w:r w:rsidR="003C7405">
        <w:t>, whereby</w:t>
      </w:r>
      <w:r w:rsidR="003607EB">
        <w:t xml:space="preserve"> reviewing the qPCR technical replicates per sample</w:t>
      </w:r>
      <w:r w:rsidR="003C7405">
        <w:t xml:space="preserve">. </w:t>
      </w:r>
      <w:r w:rsidR="003607EB">
        <w:t xml:space="preserve"> </w:t>
      </w:r>
      <w:r w:rsidR="00B016CB">
        <w:t xml:space="preserve">A sample was “Detected” if there was amplification in all three technical replicates. If any sample was flagged as “Inconclusive” (amplification in </w:t>
      </w:r>
      <w:r w:rsidR="00B016CB">
        <w:rPr>
          <w:rFonts w:cstheme="minorHAnsi"/>
        </w:rPr>
        <w:t>≤</w:t>
      </w:r>
      <w:r w:rsidR="00B016CB">
        <w:t xml:space="preserve"> 2 technical replicates), the assay was repeated for that sample, as well as the other samples within that station. </w:t>
      </w:r>
      <w:r w:rsidR="009F129E">
        <w:t>At the sample level</w:t>
      </w:r>
      <w:r w:rsidR="00023A05">
        <w:t xml:space="preserve"> (after </w:t>
      </w:r>
      <w:proofErr w:type="spellStart"/>
      <w:r w:rsidR="00023A05">
        <w:t>redos</w:t>
      </w:r>
      <w:proofErr w:type="spellEnd"/>
      <w:r w:rsidR="00023A05">
        <w:t>, not including blanks or negatives)</w:t>
      </w:r>
      <w:r w:rsidR="009F129E">
        <w:t>, the results were as follows:</w:t>
      </w:r>
    </w:p>
    <w:tbl>
      <w:tblPr>
        <w:tblStyle w:val="GridTable1Light"/>
        <w:tblW w:w="0" w:type="auto"/>
        <w:tblLook w:val="04A0" w:firstRow="1" w:lastRow="0" w:firstColumn="1" w:lastColumn="0" w:noHBand="0" w:noVBand="1"/>
      </w:tblPr>
      <w:tblGrid>
        <w:gridCol w:w="1980"/>
        <w:gridCol w:w="1890"/>
        <w:gridCol w:w="1800"/>
        <w:gridCol w:w="1980"/>
      </w:tblGrid>
      <w:tr w:rsidR="009F129E" w:rsidTr="00E925E2" w14:paraId="5544FE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129E" w:rsidP="003C7405" w:rsidRDefault="00023A05" w14:paraId="28B78ABA" w14:textId="271DC568">
            <w:r>
              <w:t>Target</w:t>
            </w:r>
          </w:p>
        </w:tc>
        <w:tc>
          <w:tcPr>
            <w:tcW w:w="1890" w:type="dxa"/>
          </w:tcPr>
          <w:p w:rsidR="009F129E" w:rsidP="003C7405" w:rsidRDefault="00023A05" w14:paraId="2451D604" w14:textId="5CD82E03">
            <w:pPr>
              <w:cnfStyle w:val="100000000000" w:firstRow="1" w:lastRow="0" w:firstColumn="0" w:lastColumn="0" w:oddVBand="0" w:evenVBand="0" w:oddHBand="0" w:evenHBand="0" w:firstRowFirstColumn="0" w:firstRowLastColumn="0" w:lastRowFirstColumn="0" w:lastRowLastColumn="0"/>
            </w:pPr>
            <w:r>
              <w:t>Detected</w:t>
            </w:r>
          </w:p>
        </w:tc>
        <w:tc>
          <w:tcPr>
            <w:tcW w:w="1800" w:type="dxa"/>
          </w:tcPr>
          <w:p w:rsidR="009F129E" w:rsidP="003C7405" w:rsidRDefault="00023A05" w14:paraId="728C2620" w14:textId="6E22240C">
            <w:pPr>
              <w:cnfStyle w:val="100000000000" w:firstRow="1" w:lastRow="0" w:firstColumn="0" w:lastColumn="0" w:oddVBand="0" w:evenVBand="0" w:oddHBand="0" w:evenHBand="0" w:firstRowFirstColumn="0" w:firstRowLastColumn="0" w:lastRowFirstColumn="0" w:lastRowLastColumn="0"/>
            </w:pPr>
            <w:r>
              <w:t>Inconclusive</w:t>
            </w:r>
          </w:p>
        </w:tc>
        <w:tc>
          <w:tcPr>
            <w:tcW w:w="1980" w:type="dxa"/>
          </w:tcPr>
          <w:p w:rsidR="009F129E" w:rsidP="003C7405" w:rsidRDefault="00023A05" w14:paraId="059F8F31" w14:textId="7BDD682E">
            <w:pPr>
              <w:cnfStyle w:val="100000000000" w:firstRow="1" w:lastRow="0" w:firstColumn="0" w:lastColumn="0" w:oddVBand="0" w:evenVBand="0" w:oddHBand="0" w:evenHBand="0" w:firstRowFirstColumn="0" w:firstRowLastColumn="0" w:lastRowFirstColumn="0" w:lastRowLastColumn="0"/>
            </w:pPr>
            <w:r>
              <w:t>Not Detected</w:t>
            </w:r>
          </w:p>
        </w:tc>
      </w:tr>
      <w:tr w:rsidR="009F129E" w:rsidTr="00E925E2" w14:paraId="4372BAAA" w14:textId="77777777">
        <w:tc>
          <w:tcPr>
            <w:cnfStyle w:val="001000000000" w:firstRow="0" w:lastRow="0" w:firstColumn="1" w:lastColumn="0" w:oddVBand="0" w:evenVBand="0" w:oddHBand="0" w:evenHBand="0" w:firstRowFirstColumn="0" w:firstRowLastColumn="0" w:lastRowFirstColumn="0" w:lastRowLastColumn="0"/>
            <w:tcW w:w="1980" w:type="dxa"/>
          </w:tcPr>
          <w:p w:rsidR="009F129E" w:rsidP="00023A05" w:rsidRDefault="00023A05" w14:paraId="52D5FBB9" w14:textId="0192DFF0">
            <w:r>
              <w:t>A. lupus</w:t>
            </w:r>
          </w:p>
        </w:tc>
        <w:tc>
          <w:tcPr>
            <w:tcW w:w="1890" w:type="dxa"/>
          </w:tcPr>
          <w:p w:rsidR="009F129E" w:rsidP="003C7405" w:rsidRDefault="00023A05" w14:paraId="7626C9D6" w14:textId="41093C25">
            <w:pPr>
              <w:cnfStyle w:val="000000000000" w:firstRow="0" w:lastRow="0" w:firstColumn="0" w:lastColumn="0" w:oddVBand="0" w:evenVBand="0" w:oddHBand="0" w:evenHBand="0" w:firstRowFirstColumn="0" w:firstRowLastColumn="0" w:lastRowFirstColumn="0" w:lastRowLastColumn="0"/>
            </w:pPr>
            <w:r>
              <w:t>51</w:t>
            </w:r>
          </w:p>
        </w:tc>
        <w:tc>
          <w:tcPr>
            <w:tcW w:w="1800" w:type="dxa"/>
          </w:tcPr>
          <w:p w:rsidR="009F129E" w:rsidP="003C7405" w:rsidRDefault="00023A05" w14:paraId="491A0A95" w14:textId="2ABA16B9">
            <w:pPr>
              <w:cnfStyle w:val="000000000000" w:firstRow="0" w:lastRow="0" w:firstColumn="0" w:lastColumn="0" w:oddVBand="0" w:evenVBand="0" w:oddHBand="0" w:evenHBand="0" w:firstRowFirstColumn="0" w:firstRowLastColumn="0" w:lastRowFirstColumn="0" w:lastRowLastColumn="0"/>
            </w:pPr>
            <w:r>
              <w:t>2</w:t>
            </w:r>
            <w:r w:rsidR="00965DFB">
              <w:t>3</w:t>
            </w:r>
          </w:p>
        </w:tc>
        <w:tc>
          <w:tcPr>
            <w:tcW w:w="1980" w:type="dxa"/>
          </w:tcPr>
          <w:p w:rsidR="009F129E" w:rsidP="003C7405" w:rsidRDefault="00023A05" w14:paraId="0714C914" w14:textId="1433DE6E">
            <w:pPr>
              <w:cnfStyle w:val="000000000000" w:firstRow="0" w:lastRow="0" w:firstColumn="0" w:lastColumn="0" w:oddVBand="0" w:evenVBand="0" w:oddHBand="0" w:evenHBand="0" w:firstRowFirstColumn="0" w:firstRowLastColumn="0" w:lastRowFirstColumn="0" w:lastRowLastColumn="0"/>
            </w:pPr>
            <w:r>
              <w:t>27</w:t>
            </w:r>
          </w:p>
        </w:tc>
      </w:tr>
      <w:tr w:rsidR="009F129E" w:rsidTr="00E925E2" w14:paraId="3637C941" w14:textId="77777777">
        <w:tc>
          <w:tcPr>
            <w:cnfStyle w:val="001000000000" w:firstRow="0" w:lastRow="0" w:firstColumn="1" w:lastColumn="0" w:oddVBand="0" w:evenVBand="0" w:oddHBand="0" w:evenHBand="0" w:firstRowFirstColumn="0" w:firstRowLastColumn="0" w:lastRowFirstColumn="0" w:lastRowLastColumn="0"/>
            <w:tcW w:w="1980" w:type="dxa"/>
          </w:tcPr>
          <w:p w:rsidR="009F129E" w:rsidP="003C7405" w:rsidRDefault="00023A05" w14:paraId="236FE0A7" w14:textId="12BFD7B4">
            <w:r>
              <w:t xml:space="preserve">G. </w:t>
            </w:r>
            <w:proofErr w:type="spellStart"/>
            <w:r>
              <w:t>morhua</w:t>
            </w:r>
            <w:proofErr w:type="spellEnd"/>
          </w:p>
        </w:tc>
        <w:tc>
          <w:tcPr>
            <w:tcW w:w="1890" w:type="dxa"/>
          </w:tcPr>
          <w:p w:rsidR="009F129E" w:rsidP="003C7405" w:rsidRDefault="00023A05" w14:paraId="160A38CB" w14:textId="7F1423BE">
            <w:pPr>
              <w:cnfStyle w:val="000000000000" w:firstRow="0" w:lastRow="0" w:firstColumn="0" w:lastColumn="0" w:oddVBand="0" w:evenVBand="0" w:oddHBand="0" w:evenHBand="0" w:firstRowFirstColumn="0" w:firstRowLastColumn="0" w:lastRowFirstColumn="0" w:lastRowLastColumn="0"/>
            </w:pPr>
            <w:r>
              <w:t>52</w:t>
            </w:r>
          </w:p>
        </w:tc>
        <w:tc>
          <w:tcPr>
            <w:tcW w:w="1800" w:type="dxa"/>
          </w:tcPr>
          <w:p w:rsidR="009F129E" w:rsidP="003C7405" w:rsidRDefault="00023A05" w14:paraId="21317A39" w14:textId="5F7E7860">
            <w:pPr>
              <w:cnfStyle w:val="000000000000" w:firstRow="0" w:lastRow="0" w:firstColumn="0" w:lastColumn="0" w:oddVBand="0" w:evenVBand="0" w:oddHBand="0" w:evenHBand="0" w:firstRowFirstColumn="0" w:firstRowLastColumn="0" w:lastRowFirstColumn="0" w:lastRowLastColumn="0"/>
            </w:pPr>
            <w:r>
              <w:t>38</w:t>
            </w:r>
          </w:p>
        </w:tc>
        <w:tc>
          <w:tcPr>
            <w:tcW w:w="1980" w:type="dxa"/>
          </w:tcPr>
          <w:p w:rsidR="009F129E" w:rsidP="003C7405" w:rsidRDefault="00023A05" w14:paraId="022A9236" w14:textId="614651BA">
            <w:pPr>
              <w:cnfStyle w:val="000000000000" w:firstRow="0" w:lastRow="0" w:firstColumn="0" w:lastColumn="0" w:oddVBand="0" w:evenVBand="0" w:oddHBand="0" w:evenHBand="0" w:firstRowFirstColumn="0" w:firstRowLastColumn="0" w:lastRowFirstColumn="0" w:lastRowLastColumn="0"/>
            </w:pPr>
            <w:r>
              <w:t>11</w:t>
            </w:r>
          </w:p>
        </w:tc>
      </w:tr>
      <w:tr w:rsidR="009F129E" w:rsidTr="00E925E2" w14:paraId="4340BF41" w14:textId="77777777">
        <w:tc>
          <w:tcPr>
            <w:cnfStyle w:val="001000000000" w:firstRow="0" w:lastRow="0" w:firstColumn="1" w:lastColumn="0" w:oddVBand="0" w:evenVBand="0" w:oddHBand="0" w:evenHBand="0" w:firstRowFirstColumn="0" w:firstRowLastColumn="0" w:lastRowFirstColumn="0" w:lastRowLastColumn="0"/>
            <w:tcW w:w="1980" w:type="dxa"/>
          </w:tcPr>
          <w:p w:rsidR="009F129E" w:rsidP="003C7405" w:rsidRDefault="00023A05" w14:paraId="15309FD4" w14:textId="458ACBAD">
            <w:r>
              <w:t xml:space="preserve">H. </w:t>
            </w:r>
            <w:proofErr w:type="spellStart"/>
            <w:r>
              <w:t>hippoglossus</w:t>
            </w:r>
            <w:proofErr w:type="spellEnd"/>
          </w:p>
        </w:tc>
        <w:tc>
          <w:tcPr>
            <w:tcW w:w="1890" w:type="dxa"/>
          </w:tcPr>
          <w:p w:rsidR="009F129E" w:rsidP="003C7405" w:rsidRDefault="00965DFB" w14:paraId="05705100" w14:textId="400690F9">
            <w:pPr>
              <w:cnfStyle w:val="000000000000" w:firstRow="0" w:lastRow="0" w:firstColumn="0" w:lastColumn="0" w:oddVBand="0" w:evenVBand="0" w:oddHBand="0" w:evenHBand="0" w:firstRowFirstColumn="0" w:firstRowLastColumn="0" w:lastRowFirstColumn="0" w:lastRowLastColumn="0"/>
            </w:pPr>
            <w:r>
              <w:t>0</w:t>
            </w:r>
          </w:p>
        </w:tc>
        <w:tc>
          <w:tcPr>
            <w:tcW w:w="1800" w:type="dxa"/>
          </w:tcPr>
          <w:p w:rsidR="009F129E" w:rsidP="003C7405" w:rsidRDefault="00965DFB" w14:paraId="40E01D54" w14:textId="56F46B29">
            <w:pPr>
              <w:cnfStyle w:val="000000000000" w:firstRow="0" w:lastRow="0" w:firstColumn="0" w:lastColumn="0" w:oddVBand="0" w:evenVBand="0" w:oddHBand="0" w:evenHBand="0" w:firstRowFirstColumn="0" w:firstRowLastColumn="0" w:lastRowFirstColumn="0" w:lastRowLastColumn="0"/>
            </w:pPr>
            <w:r>
              <w:t>8</w:t>
            </w:r>
          </w:p>
        </w:tc>
        <w:tc>
          <w:tcPr>
            <w:tcW w:w="1980" w:type="dxa"/>
          </w:tcPr>
          <w:p w:rsidR="009F129E" w:rsidP="003C7405" w:rsidRDefault="00965DFB" w14:paraId="70D1FF6C" w14:textId="513720A2">
            <w:pPr>
              <w:cnfStyle w:val="000000000000" w:firstRow="0" w:lastRow="0" w:firstColumn="0" w:lastColumn="0" w:oddVBand="0" w:evenVBand="0" w:oddHBand="0" w:evenHBand="0" w:firstRowFirstColumn="0" w:firstRowLastColumn="0" w:lastRowFirstColumn="0" w:lastRowLastColumn="0"/>
            </w:pPr>
            <w:r>
              <w:t>93</w:t>
            </w:r>
          </w:p>
        </w:tc>
      </w:tr>
    </w:tbl>
    <w:p w:rsidR="009F129E" w:rsidP="003C7405" w:rsidRDefault="009F129E" w14:paraId="302BCBC6" w14:textId="77777777">
      <w:pPr>
        <w:ind w:firstLine="720"/>
      </w:pPr>
    </w:p>
    <w:p w:rsidR="00C62FA4" w:rsidP="00CB11E6" w:rsidRDefault="00B016CB" w14:paraId="00B0379E" w14:textId="37A9D24F">
      <w:pPr>
        <w:ind w:firstLine="720"/>
      </w:pPr>
      <w:r>
        <w:t xml:space="preserve">Next the results were analyzed at the station level, which looked at amplification in all sample replicates within that station. </w:t>
      </w:r>
      <w:r w:rsidR="009F129E">
        <w:t xml:space="preserve">If the target was “Detected” in </w:t>
      </w:r>
      <w:r w:rsidR="009F129E">
        <w:rPr>
          <w:rFonts w:cstheme="minorHAnsi"/>
        </w:rPr>
        <w:t>≥</w:t>
      </w:r>
      <w:r w:rsidR="009F129E">
        <w:t xml:space="preserve"> 1 sample, the result was “Detected” for that station. If the target was “Inconclusive” in &gt; 1 sample, the result was also “Detected” for that station. </w:t>
      </w:r>
      <w:r w:rsidR="00CB11E6">
        <w:t xml:space="preserve">“Inconclusive” on only 1 sample, that result remained “Inconclusive”.  The target was </w:t>
      </w:r>
      <w:r w:rsidR="00CB11E6">
        <w:t xml:space="preserve">considered “Not Detected” if a sample/station had no instances of amplification in any replicate. The final qPCR results interpretations were summarized in </w:t>
      </w:r>
      <w:r w:rsidR="003607EB">
        <w:t>Table</w:t>
      </w:r>
      <w:r w:rsidR="00CB11E6">
        <w:t xml:space="preserve"> </w:t>
      </w:r>
      <w:r w:rsidR="00CD7FDD">
        <w:t>5</w:t>
      </w:r>
      <w:r w:rsidR="00CB11E6">
        <w:t xml:space="preserve"> (excludes ENEGs and Field Blanks</w:t>
      </w:r>
      <w:r w:rsidR="00DD037A">
        <w:t>)</w:t>
      </w:r>
      <w:r w:rsidR="00F3263C">
        <w:t xml:space="preserve">. </w:t>
      </w:r>
      <w:r w:rsidR="00CB11E6">
        <w:t xml:space="preserve">Note that </w:t>
      </w:r>
      <w:r w:rsidR="006128A5">
        <w:t xml:space="preserve">sites identified as </w:t>
      </w:r>
      <w:r w:rsidR="00B25D9D">
        <w:t>“</w:t>
      </w:r>
      <w:r w:rsidR="00FB74B4">
        <w:t>I</w:t>
      </w:r>
      <w:r w:rsidR="006128A5">
        <w:t>nconclusive</w:t>
      </w:r>
      <w:r w:rsidR="00B25D9D">
        <w:t>”</w:t>
      </w:r>
      <w:r w:rsidR="00CB11E6">
        <w:t xml:space="preserve"> infer the inability</w:t>
      </w:r>
      <w:r w:rsidR="006128A5">
        <w:t xml:space="preserve"> to confidently determine </w:t>
      </w:r>
      <w:r w:rsidR="00CB11E6">
        <w:t>the</w:t>
      </w:r>
      <w:r w:rsidR="006128A5">
        <w:t xml:space="preserve"> absence or presence of the target species. </w:t>
      </w:r>
    </w:p>
    <w:p w:rsidR="00C62FA4" w:rsidP="00C62FA4" w:rsidRDefault="00C62FA4" w14:paraId="09595507" w14:textId="77777777">
      <w:pPr>
        <w:spacing w:after="120"/>
      </w:pPr>
    </w:p>
    <w:p w:rsidR="00DD037A" w:rsidP="001E757B" w:rsidRDefault="00DD037A" w14:paraId="2392B7A2" w14:textId="322DA8EF">
      <w:pPr>
        <w:rPr>
          <w:b/>
          <w:sz w:val="20"/>
          <w:szCs w:val="20"/>
        </w:rPr>
      </w:pPr>
      <w:r>
        <w:rPr>
          <w:noProof/>
        </w:rPr>
        <w:drawing>
          <wp:inline distT="0" distB="0" distL="0" distR="0" wp14:anchorId="1CB6AE52" wp14:editId="1CC00CD2">
            <wp:extent cx="6134100" cy="3162300"/>
            <wp:effectExtent l="19050" t="19050" r="19050" b="19050"/>
            <wp:docPr id="89916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68307" name=""/>
                    <pic:cNvPicPr/>
                  </pic:nvPicPr>
                  <pic:blipFill>
                    <a:blip r:embed="rId8"/>
                    <a:stretch>
                      <a:fillRect/>
                    </a:stretch>
                  </pic:blipFill>
                  <pic:spPr>
                    <a:xfrm>
                      <a:off x="0" y="0"/>
                      <a:ext cx="6137761" cy="3164187"/>
                    </a:xfrm>
                    <a:prstGeom prst="rect">
                      <a:avLst/>
                    </a:prstGeom>
                    <a:ln w="12700" cap="sq">
                      <a:solidFill>
                        <a:srgbClr val="000000"/>
                      </a:solidFill>
                      <a:miter lim="800000"/>
                    </a:ln>
                    <a:effectLst/>
                  </pic:spPr>
                </pic:pic>
              </a:graphicData>
            </a:graphic>
          </wp:inline>
        </w:drawing>
      </w:r>
    </w:p>
    <w:p w:rsidR="00C62FA4" w:rsidP="003C7405" w:rsidRDefault="00C62FA4" w14:paraId="562884EC" w14:textId="77D0A290">
      <w:pPr>
        <w:pStyle w:val="NoSpacing"/>
      </w:pPr>
      <w:r>
        <w:rPr>
          <w:b/>
        </w:rPr>
        <w:t xml:space="preserve">Figure 1: </w:t>
      </w:r>
      <w:r w:rsidR="003C7405">
        <w:rPr>
          <w:b/>
        </w:rPr>
        <w:t xml:space="preserve"> </w:t>
      </w:r>
      <w:r w:rsidRPr="00537D83" w:rsidR="00537D83">
        <w:t>The qPCR</w:t>
      </w:r>
      <w:r w:rsidR="00537D83">
        <w:rPr>
          <w:b/>
        </w:rPr>
        <w:t xml:space="preserve"> </w:t>
      </w:r>
      <w:r w:rsidRPr="00C62FA4">
        <w:t xml:space="preserve">results interpretation framework used to determine </w:t>
      </w:r>
      <w:r w:rsidR="00537D83">
        <w:t>the</w:t>
      </w:r>
      <w:r w:rsidRPr="00C62FA4">
        <w:t xml:space="preserve"> presence or absence of the target species </w:t>
      </w:r>
      <w:r w:rsidR="00CD7FDD">
        <w:t>among</w:t>
      </w:r>
      <w:r w:rsidRPr="00C62FA4">
        <w:t xml:space="preserve"> sample</w:t>
      </w:r>
      <w:r w:rsidR="00CD7FDD">
        <w:t xml:space="preserve"> replicates and station.</w:t>
      </w:r>
    </w:p>
    <w:p w:rsidR="0090772F" w:rsidP="00C62FA4" w:rsidRDefault="0090772F" w14:paraId="3E2959B2" w14:textId="77777777">
      <w:pPr>
        <w:spacing w:after="120"/>
        <w:rPr>
          <w:bCs/>
          <w:sz w:val="20"/>
          <w:szCs w:val="20"/>
        </w:rPr>
      </w:pPr>
    </w:p>
    <w:p w:rsidR="00C62FA4" w:rsidP="003C7405" w:rsidRDefault="00C62FA4" w14:paraId="077DE466" w14:textId="72DCA5DA">
      <w:pPr>
        <w:pStyle w:val="NoSpacing"/>
        <w:rPr>
          <w:b/>
        </w:rPr>
      </w:pPr>
      <w:r>
        <w:rPr>
          <w:b/>
        </w:rPr>
        <w:t xml:space="preserve">Table </w:t>
      </w:r>
      <w:r w:rsidR="00CD7FDD">
        <w:rPr>
          <w:b/>
        </w:rPr>
        <w:t>5</w:t>
      </w:r>
      <w:r>
        <w:rPr>
          <w:b/>
        </w:rPr>
        <w:t xml:space="preserve">: </w:t>
      </w:r>
      <w:r w:rsidR="00CB11E6">
        <w:rPr>
          <w:bCs/>
        </w:rPr>
        <w:t>The final qPCR r</w:t>
      </w:r>
      <w:r w:rsidRPr="00C62FA4">
        <w:t>esults</w:t>
      </w:r>
      <w:r w:rsidR="00CB11E6">
        <w:t xml:space="preserve"> interpretation at the station level for all three target species.</w:t>
      </w:r>
      <w:r w:rsidRPr="00C62FA4">
        <w:t xml:space="preserve"> from applying</w:t>
      </w:r>
      <w:r>
        <w:rPr>
          <w:b/>
        </w:rPr>
        <w:t xml:space="preserve"> </w:t>
      </w:r>
      <w:r>
        <w:t>IPC assay and Atlantic salmon qPCR target assay on all extracted samples</w:t>
      </w:r>
      <w:r w:rsidR="001F7E08">
        <w:t xml:space="preserve">. </w:t>
      </w:r>
      <w:r w:rsidR="00CB11E6">
        <w:t>T</w:t>
      </w:r>
      <w:r w:rsidR="001F7E08">
        <w:t>he above framework (Fig</w:t>
      </w:r>
      <w:r w:rsidR="00CB11E6">
        <w:t>ure</w:t>
      </w:r>
      <w:r w:rsidR="001F7E08">
        <w:t xml:space="preserve"> 1) </w:t>
      </w:r>
      <w:r w:rsidR="00CB11E6">
        <w:t xml:space="preserve">was used to </w:t>
      </w:r>
      <w:r w:rsidR="001F7E08">
        <w:t>determine presence/absence at the sample level and sample-level results were used to determine s</w:t>
      </w:r>
      <w:r w:rsidR="00CB11E6">
        <w:t>tation</w:t>
      </w:r>
      <w:r w:rsidR="001F7E08">
        <w:t xml:space="preserve">-level results. This is </w:t>
      </w:r>
      <w:r w:rsidR="00766336">
        <w:t xml:space="preserve">generally </w:t>
      </w:r>
      <w:r w:rsidR="001F7E08">
        <w:t>the reporting level.</w:t>
      </w:r>
    </w:p>
    <w:tbl>
      <w:tblPr>
        <w:tblStyle w:val="GridTable1Light"/>
        <w:tblW w:w="8360" w:type="dxa"/>
        <w:tblLook w:val="04A0" w:firstRow="1" w:lastRow="0" w:firstColumn="1" w:lastColumn="0" w:noHBand="0" w:noVBand="1"/>
      </w:tblPr>
      <w:tblGrid>
        <w:gridCol w:w="1340"/>
        <w:gridCol w:w="2070"/>
        <w:gridCol w:w="2340"/>
        <w:gridCol w:w="2610"/>
      </w:tblGrid>
      <w:tr w:rsidRPr="001331CE" w:rsidR="001331CE" w:rsidTr="00E925E2" w14:paraId="65A582E3"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6FA3B637" w14:textId="77777777">
            <w:pPr>
              <w:rPr>
                <w:rFonts w:ascii="Calibri" w:hAnsi="Calibri" w:eastAsia="Times New Roman" w:cs="Calibri"/>
                <w:color w:val="000000"/>
                <w:lang w:val="en-US"/>
              </w:rPr>
            </w:pPr>
            <w:r w:rsidRPr="001331CE">
              <w:rPr>
                <w:rFonts w:ascii="Calibri" w:hAnsi="Calibri" w:eastAsia="Times New Roman" w:cs="Calibri"/>
                <w:color w:val="000000"/>
                <w:lang w:val="en-US"/>
              </w:rPr>
              <w:t> </w:t>
            </w:r>
          </w:p>
        </w:tc>
        <w:tc>
          <w:tcPr>
            <w:tcW w:w="7020" w:type="dxa"/>
            <w:gridSpan w:val="3"/>
            <w:noWrap/>
            <w:hideMark/>
          </w:tcPr>
          <w:p w:rsidRPr="001331CE" w:rsidR="001331CE" w:rsidP="001331CE" w:rsidRDefault="001331CE" w14:paraId="76924D1F"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val="0"/>
                <w:bCs w:val="0"/>
                <w:color w:val="000000"/>
                <w:lang w:val="en-US"/>
              </w:rPr>
            </w:pPr>
            <w:r w:rsidRPr="001331CE">
              <w:rPr>
                <w:rFonts w:ascii="Calibri" w:hAnsi="Calibri" w:eastAsia="Times New Roman" w:cs="Calibri"/>
                <w:color w:val="000000"/>
                <w:lang w:val="en-US"/>
              </w:rPr>
              <w:t>Results (based on station replicates)</w:t>
            </w:r>
          </w:p>
        </w:tc>
      </w:tr>
      <w:tr w:rsidRPr="001331CE" w:rsidR="001331CE" w:rsidTr="00E925E2" w14:paraId="779496D7" w14:textId="77777777">
        <w:trPr>
          <w:trHeight w:val="315"/>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199B3C92" w14:textId="77777777">
            <w:pPr>
              <w:rPr>
                <w:rFonts w:ascii="Calibri" w:hAnsi="Calibri" w:eastAsia="Times New Roman" w:cs="Calibri"/>
                <w:b w:val="0"/>
                <w:bCs w:val="0"/>
                <w:color w:val="000000"/>
                <w:lang w:val="en-US"/>
              </w:rPr>
            </w:pPr>
            <w:r w:rsidRPr="001331CE">
              <w:rPr>
                <w:rFonts w:ascii="Calibri" w:hAnsi="Calibri" w:eastAsia="Times New Roman" w:cs="Calibri"/>
                <w:color w:val="000000"/>
                <w:lang w:val="en-US"/>
              </w:rPr>
              <w:t>Station</w:t>
            </w:r>
          </w:p>
        </w:tc>
        <w:tc>
          <w:tcPr>
            <w:tcW w:w="2070" w:type="dxa"/>
            <w:noWrap/>
            <w:hideMark/>
          </w:tcPr>
          <w:p w:rsidRPr="001331CE" w:rsidR="001331CE" w:rsidP="001331CE" w:rsidRDefault="001331CE" w14:paraId="736F7B6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bCs/>
                <w:color w:val="000000"/>
                <w:lang w:val="en-US"/>
              </w:rPr>
            </w:pPr>
            <w:r w:rsidRPr="001331CE">
              <w:rPr>
                <w:rFonts w:ascii="Calibri" w:hAnsi="Calibri" w:eastAsia="Times New Roman" w:cs="Calibri"/>
                <w:b/>
                <w:bCs/>
                <w:color w:val="000000"/>
                <w:lang w:val="en-US"/>
              </w:rPr>
              <w:t xml:space="preserve">A. lupus </w:t>
            </w:r>
            <w:proofErr w:type="spellStart"/>
            <w:r w:rsidRPr="001331CE">
              <w:rPr>
                <w:rFonts w:ascii="Calibri" w:hAnsi="Calibri" w:eastAsia="Times New Roman" w:cs="Calibri"/>
                <w:b/>
                <w:bCs/>
                <w:color w:val="000000"/>
                <w:lang w:val="en-US"/>
              </w:rPr>
              <w:t>cytb</w:t>
            </w:r>
            <w:proofErr w:type="spellEnd"/>
          </w:p>
        </w:tc>
        <w:tc>
          <w:tcPr>
            <w:tcW w:w="2340" w:type="dxa"/>
            <w:noWrap/>
            <w:hideMark/>
          </w:tcPr>
          <w:p w:rsidRPr="001331CE" w:rsidR="001331CE" w:rsidP="001331CE" w:rsidRDefault="001331CE" w14:paraId="16DE6B3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bCs/>
                <w:color w:val="000000"/>
                <w:lang w:val="en-US"/>
              </w:rPr>
            </w:pPr>
            <w:r w:rsidRPr="001331CE">
              <w:rPr>
                <w:rFonts w:ascii="Calibri" w:hAnsi="Calibri" w:eastAsia="Times New Roman" w:cs="Calibri"/>
                <w:b/>
                <w:bCs/>
                <w:color w:val="000000"/>
                <w:lang w:val="en-US"/>
              </w:rPr>
              <w:t xml:space="preserve">G. </w:t>
            </w:r>
            <w:proofErr w:type="spellStart"/>
            <w:r w:rsidRPr="001331CE">
              <w:rPr>
                <w:rFonts w:ascii="Calibri" w:hAnsi="Calibri" w:eastAsia="Times New Roman" w:cs="Calibri"/>
                <w:b/>
                <w:bCs/>
                <w:color w:val="000000"/>
                <w:lang w:val="en-US"/>
              </w:rPr>
              <w:t>morhua</w:t>
            </w:r>
            <w:proofErr w:type="spellEnd"/>
            <w:r w:rsidRPr="001331CE">
              <w:rPr>
                <w:rFonts w:ascii="Calibri" w:hAnsi="Calibri" w:eastAsia="Times New Roman" w:cs="Calibri"/>
                <w:b/>
                <w:bCs/>
                <w:color w:val="000000"/>
                <w:lang w:val="en-US"/>
              </w:rPr>
              <w:t xml:space="preserve"> </w:t>
            </w:r>
            <w:proofErr w:type="spellStart"/>
            <w:r w:rsidRPr="001331CE">
              <w:rPr>
                <w:rFonts w:ascii="Calibri" w:hAnsi="Calibri" w:eastAsia="Times New Roman" w:cs="Calibri"/>
                <w:b/>
                <w:bCs/>
                <w:color w:val="000000"/>
                <w:lang w:val="en-US"/>
              </w:rPr>
              <w:t>cytb</w:t>
            </w:r>
            <w:proofErr w:type="spellEnd"/>
          </w:p>
        </w:tc>
        <w:tc>
          <w:tcPr>
            <w:tcW w:w="2610" w:type="dxa"/>
            <w:noWrap/>
            <w:hideMark/>
          </w:tcPr>
          <w:p w:rsidRPr="001331CE" w:rsidR="001331CE" w:rsidP="001331CE" w:rsidRDefault="001331CE" w14:paraId="6DC3475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bCs/>
                <w:color w:val="000000"/>
                <w:lang w:val="en-US"/>
              </w:rPr>
            </w:pPr>
            <w:r w:rsidRPr="001331CE">
              <w:rPr>
                <w:rFonts w:ascii="Calibri" w:hAnsi="Calibri" w:eastAsia="Times New Roman" w:cs="Calibri"/>
                <w:b/>
                <w:bCs/>
                <w:color w:val="000000"/>
                <w:lang w:val="en-US"/>
              </w:rPr>
              <w:t xml:space="preserve">H. </w:t>
            </w:r>
            <w:proofErr w:type="spellStart"/>
            <w:r w:rsidRPr="001331CE">
              <w:rPr>
                <w:rFonts w:ascii="Calibri" w:hAnsi="Calibri" w:eastAsia="Times New Roman" w:cs="Calibri"/>
                <w:b/>
                <w:bCs/>
                <w:color w:val="000000"/>
                <w:lang w:val="en-US"/>
              </w:rPr>
              <w:t>hippoglossus</w:t>
            </w:r>
            <w:proofErr w:type="spellEnd"/>
            <w:r w:rsidRPr="001331CE">
              <w:rPr>
                <w:rFonts w:ascii="Calibri" w:hAnsi="Calibri" w:eastAsia="Times New Roman" w:cs="Calibri"/>
                <w:b/>
                <w:bCs/>
                <w:color w:val="000000"/>
                <w:lang w:val="en-US"/>
              </w:rPr>
              <w:t xml:space="preserve"> </w:t>
            </w:r>
            <w:proofErr w:type="spellStart"/>
            <w:r w:rsidRPr="001331CE">
              <w:rPr>
                <w:rFonts w:ascii="Calibri" w:hAnsi="Calibri" w:eastAsia="Times New Roman" w:cs="Calibri"/>
                <w:b/>
                <w:bCs/>
                <w:color w:val="000000"/>
                <w:lang w:val="en-US"/>
              </w:rPr>
              <w:t>cytb</w:t>
            </w:r>
            <w:proofErr w:type="spellEnd"/>
          </w:p>
        </w:tc>
      </w:tr>
      <w:tr w:rsidRPr="001331CE" w:rsidR="001331CE" w:rsidTr="00E925E2" w14:paraId="33112938"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1A6BA5D4"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SAB_16</w:t>
            </w:r>
          </w:p>
        </w:tc>
        <w:tc>
          <w:tcPr>
            <w:tcW w:w="2070" w:type="dxa"/>
            <w:shd w:val="clear" w:color="auto" w:fill="FDE9D9" w:themeFill="accent6" w:themeFillTint="33"/>
            <w:noWrap/>
            <w:hideMark/>
          </w:tcPr>
          <w:p w:rsidRPr="001331CE" w:rsidR="001331CE" w:rsidP="001331CE" w:rsidRDefault="001331CE" w14:paraId="2EC562E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Inconclusive</w:t>
            </w:r>
          </w:p>
        </w:tc>
        <w:tc>
          <w:tcPr>
            <w:tcW w:w="2340" w:type="dxa"/>
            <w:shd w:val="clear" w:color="auto" w:fill="EAF1DD" w:themeFill="accent3" w:themeFillTint="33"/>
            <w:noWrap/>
            <w:hideMark/>
          </w:tcPr>
          <w:p w:rsidRPr="001331CE" w:rsidR="001331CE" w:rsidP="001331CE" w:rsidRDefault="001331CE" w14:paraId="656FE3D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1084006E"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78164E53"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34671818"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SAB_21</w:t>
            </w:r>
          </w:p>
        </w:tc>
        <w:tc>
          <w:tcPr>
            <w:tcW w:w="2070" w:type="dxa"/>
            <w:noWrap/>
            <w:hideMark/>
          </w:tcPr>
          <w:p w:rsidRPr="001331CE" w:rsidR="001331CE" w:rsidP="001331CE" w:rsidRDefault="001331CE" w14:paraId="721426E2"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c>
          <w:tcPr>
            <w:tcW w:w="2340" w:type="dxa"/>
            <w:shd w:val="clear" w:color="auto" w:fill="EAF1DD" w:themeFill="accent3" w:themeFillTint="33"/>
            <w:noWrap/>
            <w:hideMark/>
          </w:tcPr>
          <w:p w:rsidRPr="001331CE" w:rsidR="001331CE" w:rsidP="001331CE" w:rsidRDefault="001331CE" w14:paraId="0A24A7F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3B4C459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21F244A0"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0AC7C742"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SAB_20</w:t>
            </w:r>
          </w:p>
        </w:tc>
        <w:tc>
          <w:tcPr>
            <w:tcW w:w="2070" w:type="dxa"/>
            <w:shd w:val="clear" w:color="auto" w:fill="EAF1DD" w:themeFill="accent3" w:themeFillTint="33"/>
            <w:noWrap/>
            <w:hideMark/>
          </w:tcPr>
          <w:p w:rsidRPr="001331CE" w:rsidR="001331CE" w:rsidP="001331CE" w:rsidRDefault="001331CE" w14:paraId="2D33E14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3A554FE2"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75E65FB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6343B29C"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663F657F"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SAB_02</w:t>
            </w:r>
          </w:p>
        </w:tc>
        <w:tc>
          <w:tcPr>
            <w:tcW w:w="2070" w:type="dxa"/>
            <w:shd w:val="clear" w:color="auto" w:fill="EAF1DD" w:themeFill="accent3" w:themeFillTint="33"/>
            <w:noWrap/>
            <w:hideMark/>
          </w:tcPr>
          <w:p w:rsidRPr="001331CE" w:rsidR="001331CE" w:rsidP="001331CE" w:rsidRDefault="001331CE" w14:paraId="29259BE5"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22DA631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2F18BE2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34C7F599"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3727FFB6"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SAB_03</w:t>
            </w:r>
          </w:p>
        </w:tc>
        <w:tc>
          <w:tcPr>
            <w:tcW w:w="2070" w:type="dxa"/>
            <w:shd w:val="clear" w:color="auto" w:fill="EAF1DD" w:themeFill="accent3" w:themeFillTint="33"/>
            <w:noWrap/>
            <w:hideMark/>
          </w:tcPr>
          <w:p w:rsidRPr="001331CE" w:rsidR="001331CE" w:rsidP="001331CE" w:rsidRDefault="001331CE" w14:paraId="1489B852"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0270D50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3DA9C3C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64FB5163"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7625AC52"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SAB_07</w:t>
            </w:r>
          </w:p>
        </w:tc>
        <w:tc>
          <w:tcPr>
            <w:tcW w:w="2070" w:type="dxa"/>
            <w:shd w:val="clear" w:color="auto" w:fill="EAF1DD" w:themeFill="accent3" w:themeFillTint="33"/>
            <w:noWrap/>
            <w:hideMark/>
          </w:tcPr>
          <w:p w:rsidRPr="001331CE" w:rsidR="001331CE" w:rsidP="001331CE" w:rsidRDefault="001331CE" w14:paraId="1E50B968"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19E588C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15BBE98C"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0B4C780F"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186E1F47"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SAB_08</w:t>
            </w:r>
          </w:p>
        </w:tc>
        <w:tc>
          <w:tcPr>
            <w:tcW w:w="2070" w:type="dxa"/>
            <w:shd w:val="clear" w:color="auto" w:fill="EAF1DD" w:themeFill="accent3" w:themeFillTint="33"/>
            <w:noWrap/>
            <w:hideMark/>
          </w:tcPr>
          <w:p w:rsidRPr="001331CE" w:rsidR="001331CE" w:rsidP="001331CE" w:rsidRDefault="001331CE" w14:paraId="53B2B83D"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0A52E70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2975125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51AC27F4"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0FA687A2"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SAB_04</w:t>
            </w:r>
          </w:p>
        </w:tc>
        <w:tc>
          <w:tcPr>
            <w:tcW w:w="2070" w:type="dxa"/>
            <w:shd w:val="clear" w:color="auto" w:fill="EAF1DD" w:themeFill="accent3" w:themeFillTint="33"/>
            <w:noWrap/>
            <w:hideMark/>
          </w:tcPr>
          <w:p w:rsidRPr="001331CE" w:rsidR="001331CE" w:rsidP="001331CE" w:rsidRDefault="001331CE" w14:paraId="02ADFD7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67E166C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4D30514F"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4CB6F9C2"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548596D4"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SAB_13</w:t>
            </w:r>
          </w:p>
        </w:tc>
        <w:tc>
          <w:tcPr>
            <w:tcW w:w="2070" w:type="dxa"/>
            <w:noWrap/>
            <w:hideMark/>
          </w:tcPr>
          <w:p w:rsidRPr="001331CE" w:rsidR="001331CE" w:rsidP="001331CE" w:rsidRDefault="001331CE" w14:paraId="23F81F08"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c>
          <w:tcPr>
            <w:tcW w:w="2340" w:type="dxa"/>
            <w:noWrap/>
            <w:hideMark/>
          </w:tcPr>
          <w:p w:rsidRPr="001331CE" w:rsidR="001331CE" w:rsidP="001331CE" w:rsidRDefault="001331CE" w14:paraId="00CB2B7C"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c>
          <w:tcPr>
            <w:tcW w:w="2610" w:type="dxa"/>
            <w:shd w:val="clear" w:color="auto" w:fill="FDE9D9" w:themeFill="accent6" w:themeFillTint="33"/>
            <w:noWrap/>
            <w:hideMark/>
          </w:tcPr>
          <w:p w:rsidRPr="001331CE" w:rsidR="001331CE" w:rsidP="001331CE" w:rsidRDefault="001331CE" w14:paraId="0D4FE2A8"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Inconclusive</w:t>
            </w:r>
          </w:p>
        </w:tc>
      </w:tr>
      <w:tr w:rsidRPr="001331CE" w:rsidR="001331CE" w:rsidTr="00E925E2" w14:paraId="6CE1B554"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22986BB2"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CURDO_8</w:t>
            </w:r>
          </w:p>
        </w:tc>
        <w:tc>
          <w:tcPr>
            <w:tcW w:w="2070" w:type="dxa"/>
            <w:shd w:val="clear" w:color="auto" w:fill="EAF1DD" w:themeFill="accent3" w:themeFillTint="33"/>
            <w:noWrap/>
            <w:hideMark/>
          </w:tcPr>
          <w:p w:rsidRPr="001331CE" w:rsidR="001331CE" w:rsidP="001331CE" w:rsidRDefault="001331CE" w14:paraId="4C68502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58D79C6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6297995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615D3EA7"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29F64FDA"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CURDO_5</w:t>
            </w:r>
          </w:p>
        </w:tc>
        <w:tc>
          <w:tcPr>
            <w:tcW w:w="2070" w:type="dxa"/>
            <w:shd w:val="clear" w:color="auto" w:fill="EAF1DD" w:themeFill="accent3" w:themeFillTint="33"/>
            <w:noWrap/>
            <w:hideMark/>
          </w:tcPr>
          <w:p w:rsidRPr="001331CE" w:rsidR="001331CE" w:rsidP="001331CE" w:rsidRDefault="001331CE" w14:paraId="69622D3E"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766E959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shd w:val="clear" w:color="auto" w:fill="FDE9D9" w:themeFill="accent6" w:themeFillTint="33"/>
            <w:noWrap/>
            <w:hideMark/>
          </w:tcPr>
          <w:p w:rsidRPr="001331CE" w:rsidR="001331CE" w:rsidP="001331CE" w:rsidRDefault="001331CE" w14:paraId="0B6CA0B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Inconclusive</w:t>
            </w:r>
          </w:p>
        </w:tc>
      </w:tr>
      <w:tr w:rsidRPr="001331CE" w:rsidR="001331CE" w:rsidTr="00E925E2" w14:paraId="3A5D9A1B"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513967C8"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CURDO_2</w:t>
            </w:r>
          </w:p>
        </w:tc>
        <w:tc>
          <w:tcPr>
            <w:tcW w:w="2070" w:type="dxa"/>
            <w:shd w:val="clear" w:color="auto" w:fill="EAF1DD" w:themeFill="accent3" w:themeFillTint="33"/>
            <w:noWrap/>
            <w:hideMark/>
          </w:tcPr>
          <w:p w:rsidRPr="001331CE" w:rsidR="001331CE" w:rsidP="001331CE" w:rsidRDefault="001331CE" w14:paraId="224F38B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543F0B1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shd w:val="clear" w:color="auto" w:fill="FDE9D9" w:themeFill="accent6" w:themeFillTint="33"/>
            <w:noWrap/>
            <w:hideMark/>
          </w:tcPr>
          <w:p w:rsidRPr="001331CE" w:rsidR="001331CE" w:rsidP="001331CE" w:rsidRDefault="001331CE" w14:paraId="11991F9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Inconclusive</w:t>
            </w:r>
          </w:p>
        </w:tc>
      </w:tr>
      <w:tr w:rsidRPr="001331CE" w:rsidR="001331CE" w:rsidTr="00E925E2" w14:paraId="08B1263D"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33EDC4C4"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CURDO_7</w:t>
            </w:r>
          </w:p>
        </w:tc>
        <w:tc>
          <w:tcPr>
            <w:tcW w:w="2070" w:type="dxa"/>
            <w:shd w:val="clear" w:color="auto" w:fill="EAF1DD" w:themeFill="accent3" w:themeFillTint="33"/>
            <w:noWrap/>
            <w:hideMark/>
          </w:tcPr>
          <w:p w:rsidRPr="001331CE" w:rsidR="001331CE" w:rsidP="001331CE" w:rsidRDefault="001331CE" w14:paraId="43A26D9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49522FC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70FF2EBE"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7230C04B"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0F14A557"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CURDO_4</w:t>
            </w:r>
          </w:p>
        </w:tc>
        <w:tc>
          <w:tcPr>
            <w:tcW w:w="2070" w:type="dxa"/>
            <w:shd w:val="clear" w:color="auto" w:fill="EAF1DD" w:themeFill="accent3" w:themeFillTint="33"/>
            <w:noWrap/>
            <w:hideMark/>
          </w:tcPr>
          <w:p w:rsidRPr="001331CE" w:rsidR="001331CE" w:rsidP="001331CE" w:rsidRDefault="001331CE" w14:paraId="2617B068"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75D7494A"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5F238EF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67FC2B82"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534DF548"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CURDO_1</w:t>
            </w:r>
          </w:p>
        </w:tc>
        <w:tc>
          <w:tcPr>
            <w:tcW w:w="2070" w:type="dxa"/>
            <w:shd w:val="clear" w:color="auto" w:fill="EAF1DD" w:themeFill="accent3" w:themeFillTint="33"/>
            <w:noWrap/>
            <w:hideMark/>
          </w:tcPr>
          <w:p w:rsidRPr="001331CE" w:rsidR="001331CE" w:rsidP="001331CE" w:rsidRDefault="001331CE" w14:paraId="70C7A4B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36061CD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238CB4AE"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212D9A11"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501E1230"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CURDO_10</w:t>
            </w:r>
          </w:p>
        </w:tc>
        <w:tc>
          <w:tcPr>
            <w:tcW w:w="2070" w:type="dxa"/>
            <w:noWrap/>
            <w:hideMark/>
          </w:tcPr>
          <w:p w:rsidRPr="001331CE" w:rsidR="001331CE" w:rsidP="001331CE" w:rsidRDefault="001331CE" w14:paraId="2CAC8DDC"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c>
          <w:tcPr>
            <w:tcW w:w="2340" w:type="dxa"/>
            <w:noWrap/>
            <w:hideMark/>
          </w:tcPr>
          <w:p w:rsidRPr="001331CE" w:rsidR="001331CE" w:rsidP="001331CE" w:rsidRDefault="001331CE" w14:paraId="72CB034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c>
          <w:tcPr>
            <w:tcW w:w="2610" w:type="dxa"/>
            <w:noWrap/>
            <w:hideMark/>
          </w:tcPr>
          <w:p w:rsidRPr="001331CE" w:rsidR="001331CE" w:rsidP="001331CE" w:rsidRDefault="001331CE" w14:paraId="7149397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2B44E10E"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6D7C34F2"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CURDO_3</w:t>
            </w:r>
          </w:p>
        </w:tc>
        <w:tc>
          <w:tcPr>
            <w:tcW w:w="2070" w:type="dxa"/>
            <w:noWrap/>
            <w:hideMark/>
          </w:tcPr>
          <w:p w:rsidRPr="001331CE" w:rsidR="001331CE" w:rsidP="001331CE" w:rsidRDefault="001331CE" w14:paraId="51081FA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c>
          <w:tcPr>
            <w:tcW w:w="2340" w:type="dxa"/>
            <w:shd w:val="clear" w:color="auto" w:fill="EAF1DD" w:themeFill="accent3" w:themeFillTint="33"/>
            <w:noWrap/>
            <w:hideMark/>
          </w:tcPr>
          <w:p w:rsidRPr="001331CE" w:rsidR="001331CE" w:rsidP="001331CE" w:rsidRDefault="001331CE" w14:paraId="3FB3075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522D348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2F9139FC"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0C7AB0E7"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CURDO_6</w:t>
            </w:r>
          </w:p>
        </w:tc>
        <w:tc>
          <w:tcPr>
            <w:tcW w:w="2070" w:type="dxa"/>
            <w:shd w:val="clear" w:color="auto" w:fill="EAF1DD" w:themeFill="accent3" w:themeFillTint="33"/>
            <w:noWrap/>
            <w:hideMark/>
          </w:tcPr>
          <w:p w:rsidRPr="001331CE" w:rsidR="001331CE" w:rsidP="001331CE" w:rsidRDefault="001331CE" w14:paraId="59E1471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3271078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353AE5DE"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13202983"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716A4532"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CURDO_9</w:t>
            </w:r>
          </w:p>
        </w:tc>
        <w:tc>
          <w:tcPr>
            <w:tcW w:w="2070" w:type="dxa"/>
            <w:shd w:val="clear" w:color="auto" w:fill="EAF1DD" w:themeFill="accent3" w:themeFillTint="33"/>
            <w:noWrap/>
            <w:hideMark/>
          </w:tcPr>
          <w:p w:rsidRPr="001331CE" w:rsidR="001331CE" w:rsidP="001331CE" w:rsidRDefault="001331CE" w14:paraId="14ED886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779686FF"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shd w:val="clear" w:color="auto" w:fill="FDE9D9" w:themeFill="accent6" w:themeFillTint="33"/>
            <w:noWrap/>
            <w:hideMark/>
          </w:tcPr>
          <w:p w:rsidRPr="001331CE" w:rsidR="001331CE" w:rsidP="001331CE" w:rsidRDefault="001331CE" w14:paraId="64C5CB9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Inconclusive</w:t>
            </w:r>
          </w:p>
        </w:tc>
      </w:tr>
      <w:tr w:rsidRPr="001331CE" w:rsidR="001331CE" w:rsidTr="00E925E2" w14:paraId="0F43A302"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53E54F45"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SAB_1</w:t>
            </w:r>
          </w:p>
        </w:tc>
        <w:tc>
          <w:tcPr>
            <w:tcW w:w="2070" w:type="dxa"/>
            <w:shd w:val="clear" w:color="auto" w:fill="EAF1DD" w:themeFill="accent3" w:themeFillTint="33"/>
            <w:noWrap/>
            <w:hideMark/>
          </w:tcPr>
          <w:p w:rsidRPr="001331CE" w:rsidR="001331CE" w:rsidP="001331CE" w:rsidRDefault="001331CE" w14:paraId="1F1EEB4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0033C04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5C644F5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309D585E"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30D137A7"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SAB_6</w:t>
            </w:r>
          </w:p>
        </w:tc>
        <w:tc>
          <w:tcPr>
            <w:tcW w:w="2070" w:type="dxa"/>
            <w:shd w:val="clear" w:color="auto" w:fill="EAF1DD" w:themeFill="accent3" w:themeFillTint="33"/>
            <w:noWrap/>
            <w:hideMark/>
          </w:tcPr>
          <w:p w:rsidRPr="001331CE" w:rsidR="001331CE" w:rsidP="001331CE" w:rsidRDefault="001331CE" w14:paraId="6550D6C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694CC40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4109D0D5"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6E75B3A8"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1F53D196"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SAB_10</w:t>
            </w:r>
          </w:p>
        </w:tc>
        <w:tc>
          <w:tcPr>
            <w:tcW w:w="2070" w:type="dxa"/>
            <w:shd w:val="clear" w:color="auto" w:fill="EAF1DD" w:themeFill="accent3" w:themeFillTint="33"/>
            <w:noWrap/>
            <w:hideMark/>
          </w:tcPr>
          <w:p w:rsidRPr="001331CE" w:rsidR="001331CE" w:rsidP="001331CE" w:rsidRDefault="001331CE" w14:paraId="6D9C2D3F"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1B80CE3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shd w:val="clear" w:color="auto" w:fill="FDE9D9" w:themeFill="accent6" w:themeFillTint="33"/>
            <w:noWrap/>
            <w:hideMark/>
          </w:tcPr>
          <w:p w:rsidRPr="001331CE" w:rsidR="001331CE" w:rsidP="001331CE" w:rsidRDefault="001331CE" w14:paraId="3773BF1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Inconclusive</w:t>
            </w:r>
          </w:p>
        </w:tc>
      </w:tr>
      <w:tr w:rsidRPr="001331CE" w:rsidR="001331CE" w:rsidTr="00E925E2" w14:paraId="2E31D194"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347A34FC"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SAB_5</w:t>
            </w:r>
          </w:p>
        </w:tc>
        <w:tc>
          <w:tcPr>
            <w:tcW w:w="2070" w:type="dxa"/>
            <w:shd w:val="clear" w:color="auto" w:fill="EAF1DD" w:themeFill="accent3" w:themeFillTint="33"/>
            <w:noWrap/>
            <w:hideMark/>
          </w:tcPr>
          <w:p w:rsidRPr="001331CE" w:rsidR="001331CE" w:rsidP="001331CE" w:rsidRDefault="001331CE" w14:paraId="4F4F724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35DEDEC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4214ACB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23545887"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4841D4FC"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SAB_9</w:t>
            </w:r>
          </w:p>
        </w:tc>
        <w:tc>
          <w:tcPr>
            <w:tcW w:w="2070" w:type="dxa"/>
            <w:shd w:val="clear" w:color="auto" w:fill="EAF1DD" w:themeFill="accent3" w:themeFillTint="33"/>
            <w:noWrap/>
            <w:hideMark/>
          </w:tcPr>
          <w:p w:rsidRPr="001331CE" w:rsidR="001331CE" w:rsidP="001331CE" w:rsidRDefault="001331CE" w14:paraId="2094A68F"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01C67BB8"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3684E51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4C93D5CC"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75D508FC"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SAB_14</w:t>
            </w:r>
          </w:p>
        </w:tc>
        <w:tc>
          <w:tcPr>
            <w:tcW w:w="2070" w:type="dxa"/>
            <w:shd w:val="clear" w:color="auto" w:fill="EAF1DD" w:themeFill="accent3" w:themeFillTint="33"/>
            <w:noWrap/>
            <w:hideMark/>
          </w:tcPr>
          <w:p w:rsidRPr="001331CE" w:rsidR="001331CE" w:rsidP="001331CE" w:rsidRDefault="001331CE" w14:paraId="08C6928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44EF0228"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2032813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0D7BA028"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5E7DE380"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SAB_19</w:t>
            </w:r>
          </w:p>
        </w:tc>
        <w:tc>
          <w:tcPr>
            <w:tcW w:w="2070" w:type="dxa"/>
            <w:shd w:val="clear" w:color="auto" w:fill="EAF1DD" w:themeFill="accent3" w:themeFillTint="33"/>
            <w:noWrap/>
            <w:hideMark/>
          </w:tcPr>
          <w:p w:rsidRPr="001331CE" w:rsidR="001331CE" w:rsidP="001331CE" w:rsidRDefault="001331CE" w14:paraId="1E8D910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38015FC2"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27C3616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4C5EFA4C"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5ABBD0CF"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SAB_15</w:t>
            </w:r>
          </w:p>
        </w:tc>
        <w:tc>
          <w:tcPr>
            <w:tcW w:w="2070" w:type="dxa"/>
            <w:shd w:val="clear" w:color="auto" w:fill="EAF1DD" w:themeFill="accent3" w:themeFillTint="33"/>
            <w:noWrap/>
            <w:hideMark/>
          </w:tcPr>
          <w:p w:rsidRPr="001331CE" w:rsidR="001331CE" w:rsidP="001331CE" w:rsidRDefault="001331CE" w14:paraId="72466A7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126F4C32"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52CAE278"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13FFDBFC"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72B5143E"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CAM_34</w:t>
            </w:r>
          </w:p>
        </w:tc>
        <w:tc>
          <w:tcPr>
            <w:tcW w:w="2070" w:type="dxa"/>
            <w:shd w:val="clear" w:color="auto" w:fill="EAF1DD" w:themeFill="accent3" w:themeFillTint="33"/>
            <w:noWrap/>
            <w:hideMark/>
          </w:tcPr>
          <w:p w:rsidRPr="001331CE" w:rsidR="001331CE" w:rsidP="001331CE" w:rsidRDefault="001331CE" w14:paraId="27D6782D"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69CD0E5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shd w:val="clear" w:color="auto" w:fill="FDE9D9" w:themeFill="accent6" w:themeFillTint="33"/>
            <w:noWrap/>
            <w:hideMark/>
          </w:tcPr>
          <w:p w:rsidRPr="001331CE" w:rsidR="001331CE" w:rsidP="001331CE" w:rsidRDefault="001331CE" w14:paraId="7AAB2D9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Inconclusive</w:t>
            </w:r>
          </w:p>
        </w:tc>
      </w:tr>
      <w:tr w:rsidRPr="001331CE" w:rsidR="001331CE" w:rsidTr="00E925E2" w14:paraId="209A5758"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59A710F6"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CAM_37</w:t>
            </w:r>
          </w:p>
        </w:tc>
        <w:tc>
          <w:tcPr>
            <w:tcW w:w="2070" w:type="dxa"/>
            <w:shd w:val="clear" w:color="auto" w:fill="EAF1DD" w:themeFill="accent3" w:themeFillTint="33"/>
            <w:noWrap/>
            <w:hideMark/>
          </w:tcPr>
          <w:p w:rsidRPr="001331CE" w:rsidR="001331CE" w:rsidP="001331CE" w:rsidRDefault="001331CE" w14:paraId="794292F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0A0D19A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339CC76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2B71332C"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5C1582CA"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CAM_13C</w:t>
            </w:r>
          </w:p>
        </w:tc>
        <w:tc>
          <w:tcPr>
            <w:tcW w:w="2070" w:type="dxa"/>
            <w:shd w:val="clear" w:color="auto" w:fill="EAF1DD" w:themeFill="accent3" w:themeFillTint="33"/>
            <w:noWrap/>
            <w:hideMark/>
          </w:tcPr>
          <w:p w:rsidRPr="001331CE" w:rsidR="001331CE" w:rsidP="001331CE" w:rsidRDefault="001331CE" w14:paraId="4047659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0E10FC0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3CA1EF9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2DE315EA" w14:textId="77777777">
        <w:trPr>
          <w:trHeight w:val="300"/>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30C4E51E"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CAM_14</w:t>
            </w:r>
          </w:p>
        </w:tc>
        <w:tc>
          <w:tcPr>
            <w:tcW w:w="2070" w:type="dxa"/>
            <w:shd w:val="clear" w:color="auto" w:fill="EAF1DD" w:themeFill="accent3" w:themeFillTint="33"/>
            <w:noWrap/>
            <w:hideMark/>
          </w:tcPr>
          <w:p w:rsidRPr="001331CE" w:rsidR="001331CE" w:rsidP="001331CE" w:rsidRDefault="001331CE" w14:paraId="0C968A5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340" w:type="dxa"/>
            <w:shd w:val="clear" w:color="auto" w:fill="EAF1DD" w:themeFill="accent3" w:themeFillTint="33"/>
            <w:noWrap/>
            <w:hideMark/>
          </w:tcPr>
          <w:p w:rsidRPr="001331CE" w:rsidR="001331CE" w:rsidP="001331CE" w:rsidRDefault="001331CE" w14:paraId="0645E84D"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42ED8A65"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r w:rsidRPr="001331CE" w:rsidR="001331CE" w:rsidTr="00E925E2" w14:paraId="421ABE53" w14:textId="77777777">
        <w:trPr>
          <w:trHeight w:val="315"/>
        </w:trPr>
        <w:tc>
          <w:tcPr>
            <w:cnfStyle w:val="001000000000" w:firstRow="0" w:lastRow="0" w:firstColumn="1" w:lastColumn="0" w:oddVBand="0" w:evenVBand="0" w:oddHBand="0" w:evenHBand="0" w:firstRowFirstColumn="0" w:firstRowLastColumn="0" w:lastRowFirstColumn="0" w:lastRowLastColumn="0"/>
            <w:tcW w:w="1340" w:type="dxa"/>
            <w:noWrap/>
            <w:hideMark/>
          </w:tcPr>
          <w:p w:rsidRPr="001331CE" w:rsidR="001331CE" w:rsidP="001331CE" w:rsidRDefault="001331CE" w14:paraId="7BCC87F2" w14:textId="77777777">
            <w:pPr>
              <w:rPr>
                <w:rFonts w:ascii="Calibri" w:hAnsi="Calibri" w:eastAsia="Times New Roman" w:cs="Calibri"/>
                <w:color w:val="000000"/>
                <w:sz w:val="20"/>
                <w:szCs w:val="20"/>
                <w:lang w:val="en-US"/>
              </w:rPr>
            </w:pPr>
            <w:r w:rsidRPr="001331CE">
              <w:rPr>
                <w:rFonts w:ascii="Calibri" w:hAnsi="Calibri" w:eastAsia="Times New Roman" w:cs="Calibri"/>
                <w:color w:val="000000"/>
                <w:sz w:val="20"/>
                <w:szCs w:val="20"/>
                <w:lang w:val="en-US"/>
              </w:rPr>
              <w:t>CAM_17</w:t>
            </w:r>
          </w:p>
        </w:tc>
        <w:tc>
          <w:tcPr>
            <w:tcW w:w="2070" w:type="dxa"/>
            <w:noWrap/>
            <w:hideMark/>
          </w:tcPr>
          <w:p w:rsidRPr="001331CE" w:rsidR="001331CE" w:rsidP="001331CE" w:rsidRDefault="001331CE" w14:paraId="70885C3A"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c>
          <w:tcPr>
            <w:tcW w:w="2340" w:type="dxa"/>
            <w:shd w:val="clear" w:color="auto" w:fill="EAF1DD" w:themeFill="accent3" w:themeFillTint="33"/>
            <w:noWrap/>
            <w:hideMark/>
          </w:tcPr>
          <w:p w:rsidRPr="001331CE" w:rsidR="001331CE" w:rsidP="001331CE" w:rsidRDefault="001331CE" w14:paraId="3A470D1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Detected</w:t>
            </w:r>
          </w:p>
        </w:tc>
        <w:tc>
          <w:tcPr>
            <w:tcW w:w="2610" w:type="dxa"/>
            <w:noWrap/>
            <w:hideMark/>
          </w:tcPr>
          <w:p w:rsidRPr="001331CE" w:rsidR="001331CE" w:rsidP="001331CE" w:rsidRDefault="001331CE" w14:paraId="52CDF41C"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US"/>
              </w:rPr>
            </w:pPr>
            <w:r w:rsidRPr="001331CE">
              <w:rPr>
                <w:rFonts w:eastAsia="Times New Roman" w:cstheme="minorHAnsi"/>
                <w:color w:val="000000"/>
                <w:sz w:val="20"/>
                <w:szCs w:val="20"/>
                <w:lang w:val="en-US"/>
              </w:rPr>
              <w:t>Not Detected</w:t>
            </w:r>
          </w:p>
        </w:tc>
      </w:tr>
    </w:tbl>
    <w:p w:rsidR="00C62FA4" w:rsidP="001E757B" w:rsidRDefault="00C62FA4" w14:paraId="2FB4EEBE" w14:textId="77777777">
      <w:pPr>
        <w:rPr>
          <w:bCs/>
          <w:sz w:val="20"/>
          <w:szCs w:val="20"/>
        </w:rPr>
      </w:pPr>
    </w:p>
    <w:p w:rsidR="00ED3021" w:rsidP="00ED3021" w:rsidRDefault="00ED3021" w14:paraId="2AB4A241" w14:textId="40F43DB5">
      <w:pPr>
        <w:pStyle w:val="Heading2"/>
      </w:pPr>
      <w:r>
        <w:t xml:space="preserve">4. </w:t>
      </w:r>
      <w:r w:rsidR="00FB74B4">
        <w:t xml:space="preserve"> </w:t>
      </w:r>
      <w:r w:rsidRPr="00FB74B4" w:rsidR="00FB74B4">
        <w:t>Develop metabarcoding libraries for COI and 12S</w:t>
      </w:r>
    </w:p>
    <w:p w:rsidR="00FB74B4" w:rsidP="00861B90" w:rsidRDefault="00B25D9D" w14:paraId="46837125" w14:textId="01E7010B">
      <w:pPr>
        <w:pStyle w:val="NoSpacing"/>
        <w:ind w:firstLine="720"/>
      </w:pPr>
      <w:r w:rsidRPr="00B25D9D">
        <w:t>The loci used for metabarcoding were:</w:t>
      </w:r>
    </w:p>
    <w:p w:rsidR="00B25D9D" w:rsidP="00B25D9D" w:rsidRDefault="00861B90" w14:paraId="68902416" w14:textId="43A24CFA">
      <w:pPr>
        <w:pStyle w:val="NoSpacing"/>
        <w:numPr>
          <w:ilvl w:val="0"/>
          <w:numId w:val="13"/>
        </w:numPr>
      </w:pPr>
      <w:r>
        <w:t>COI-1:</w:t>
      </w:r>
    </w:p>
    <w:p w:rsidRPr="00766336" w:rsidR="00861B90" w:rsidP="00AD2EEF" w:rsidRDefault="00861B90" w14:paraId="0FC67F78" w14:textId="1B63DFE0">
      <w:pPr>
        <w:pStyle w:val="NoSpacing"/>
        <w:numPr>
          <w:ilvl w:val="1"/>
          <w:numId w:val="13"/>
        </w:numPr>
        <w:rPr>
          <w:lang w:val="fr-FR"/>
        </w:rPr>
      </w:pPr>
      <w:proofErr w:type="spellStart"/>
      <w:r w:rsidRPr="00861B90">
        <w:rPr>
          <w:lang w:val="fr-FR"/>
        </w:rPr>
        <w:t>mICOIintF</w:t>
      </w:r>
      <w:proofErr w:type="spellEnd"/>
      <w:r w:rsidRPr="00861B90">
        <w:rPr>
          <w:lang w:val="fr-FR"/>
        </w:rPr>
        <w:t xml:space="preserve"> / jgHCO2198 (Lacoursière‐Roussel et al. (2018)</w:t>
      </w:r>
      <w:r>
        <w:rPr>
          <w:lang w:val="fr-FR"/>
        </w:rPr>
        <w:t>)</w:t>
      </w:r>
    </w:p>
    <w:p w:rsidR="00861B90" w:rsidP="008B6AF4" w:rsidRDefault="00861B90" w14:paraId="21FA7D4B" w14:textId="1D5602A4">
      <w:pPr>
        <w:pStyle w:val="NoSpacing"/>
        <w:numPr>
          <w:ilvl w:val="2"/>
          <w:numId w:val="13"/>
        </w:numPr>
      </w:pPr>
      <w:proofErr w:type="spellStart"/>
      <w:r>
        <w:t>mlCOIlintF</w:t>
      </w:r>
      <w:proofErr w:type="spellEnd"/>
      <w:r>
        <w:t xml:space="preserve"> (</w:t>
      </w:r>
      <w:proofErr w:type="spellStart"/>
      <w:r>
        <w:t>Leray</w:t>
      </w:r>
      <w:proofErr w:type="spellEnd"/>
      <w:r>
        <w:t xml:space="preserve"> et al. (2013))</w:t>
      </w:r>
    </w:p>
    <w:p w:rsidR="00861B90" w:rsidP="00861B90" w:rsidRDefault="00861B90" w14:paraId="09B19EE5" w14:textId="4C7FD15D">
      <w:pPr>
        <w:pStyle w:val="NoSpacing"/>
        <w:numPr>
          <w:ilvl w:val="3"/>
          <w:numId w:val="13"/>
        </w:numPr>
      </w:pPr>
      <w:r>
        <w:t xml:space="preserve">Sequence: </w:t>
      </w:r>
      <w:r w:rsidRPr="00861B90">
        <w:t>GGWACWGGWTGAACWGTWTAYCCYCC</w:t>
      </w:r>
    </w:p>
    <w:p w:rsidR="00861B90" w:rsidP="00861B90" w:rsidRDefault="00861B90" w14:paraId="4C7D3FBD" w14:textId="26F212BF">
      <w:pPr>
        <w:pStyle w:val="NoSpacing"/>
        <w:numPr>
          <w:ilvl w:val="2"/>
          <w:numId w:val="13"/>
        </w:numPr>
      </w:pPr>
      <w:r w:rsidRPr="00861B90">
        <w:t>jgHCO2198 (Geller et al. (2013))</w:t>
      </w:r>
    </w:p>
    <w:p w:rsidR="00861B90" w:rsidP="00861B90" w:rsidRDefault="00861B90" w14:paraId="55CACF8A" w14:textId="39830A60">
      <w:pPr>
        <w:pStyle w:val="NoSpacing"/>
        <w:numPr>
          <w:ilvl w:val="3"/>
          <w:numId w:val="13"/>
        </w:numPr>
      </w:pPr>
      <w:r>
        <w:t xml:space="preserve">Sequence: </w:t>
      </w:r>
      <w:r w:rsidRPr="00861B90">
        <w:t>ACTTTCGTTCTTGATYRA</w:t>
      </w:r>
    </w:p>
    <w:p w:rsidR="00861B90" w:rsidP="00B25D9D" w:rsidRDefault="00861B90" w14:paraId="7084A4AB" w14:textId="446FF880">
      <w:pPr>
        <w:pStyle w:val="NoSpacing"/>
        <w:numPr>
          <w:ilvl w:val="0"/>
          <w:numId w:val="13"/>
        </w:numPr>
      </w:pPr>
      <w:r>
        <w:t>12S:</w:t>
      </w:r>
    </w:p>
    <w:p w:rsidR="00B25D9D" w:rsidP="00B25D9D" w:rsidRDefault="00B25D9D" w14:paraId="32E00DF8" w14:textId="77777777">
      <w:pPr>
        <w:pStyle w:val="NoSpacing"/>
        <w:numPr>
          <w:ilvl w:val="1"/>
          <w:numId w:val="13"/>
        </w:numPr>
      </w:pPr>
      <w:r>
        <w:t xml:space="preserve">12S_248F_RADS_For / </w:t>
      </w:r>
      <w:proofErr w:type="spellStart"/>
      <w:r>
        <w:t>Mifish_UR_Miya</w:t>
      </w:r>
      <w:proofErr w:type="spellEnd"/>
      <w:r>
        <w:t xml:space="preserve"> (He et al. (2023))</w:t>
      </w:r>
    </w:p>
    <w:p w:rsidRPr="00861B90" w:rsidR="00861B90" w:rsidP="00861B90" w:rsidRDefault="00B25D9D" w14:paraId="335528C4" w14:textId="77777777">
      <w:pPr>
        <w:pStyle w:val="NoSpacing"/>
        <w:numPr>
          <w:ilvl w:val="2"/>
          <w:numId w:val="13"/>
        </w:numPr>
      </w:pPr>
      <w:r>
        <w:t>12S_248F_RADS_For (</w:t>
      </w:r>
      <w:r w:rsidRPr="00B25D9D">
        <w:rPr>
          <w:lang w:val="en-US"/>
        </w:rPr>
        <w:t xml:space="preserve">He et al. </w:t>
      </w:r>
      <w:r w:rsidRPr="00861B90">
        <w:rPr>
          <w:lang w:val="en-US"/>
        </w:rPr>
        <w:t>(2022))</w:t>
      </w:r>
    </w:p>
    <w:p w:rsidRPr="00861B90" w:rsidR="00861B90" w:rsidP="00861B90" w:rsidRDefault="00B25D9D" w14:paraId="34739EB5" w14:textId="77777777">
      <w:pPr>
        <w:pStyle w:val="NoSpacing"/>
        <w:numPr>
          <w:ilvl w:val="3"/>
          <w:numId w:val="13"/>
        </w:numPr>
      </w:pPr>
      <w:proofErr w:type="spellStart"/>
      <w:r w:rsidRPr="00861B90">
        <w:rPr>
          <w:lang w:val="fr-FR"/>
        </w:rPr>
        <w:t>Sequence</w:t>
      </w:r>
      <w:proofErr w:type="spellEnd"/>
      <w:r w:rsidRPr="00861B90">
        <w:rPr>
          <w:lang w:val="fr-FR"/>
        </w:rPr>
        <w:t>: CGTGCCAGCCACCGCGGTT</w:t>
      </w:r>
    </w:p>
    <w:p w:rsidR="00861B90" w:rsidP="00861B90" w:rsidRDefault="00B25D9D" w14:paraId="6B2AA8DC" w14:textId="77777777">
      <w:pPr>
        <w:pStyle w:val="NoSpacing"/>
        <w:numPr>
          <w:ilvl w:val="2"/>
          <w:numId w:val="13"/>
        </w:numPr>
      </w:pPr>
      <w:proofErr w:type="spellStart"/>
      <w:r w:rsidRPr="00861B90">
        <w:rPr>
          <w:lang w:val="fr-FR"/>
        </w:rPr>
        <w:t>Mifish_UR_Miya</w:t>
      </w:r>
      <w:proofErr w:type="spellEnd"/>
      <w:r w:rsidRPr="00861B90">
        <w:rPr>
          <w:lang w:val="fr-FR"/>
        </w:rPr>
        <w:t xml:space="preserve"> (</w:t>
      </w:r>
      <w:proofErr w:type="spellStart"/>
      <w:r w:rsidRPr="00861B90">
        <w:rPr>
          <w:lang w:val="fr-FR"/>
        </w:rPr>
        <w:t>Miya</w:t>
      </w:r>
      <w:proofErr w:type="spellEnd"/>
      <w:r w:rsidRPr="00861B90">
        <w:rPr>
          <w:lang w:val="fr-FR"/>
        </w:rPr>
        <w:t xml:space="preserve"> et al. (2015)</w:t>
      </w:r>
      <w:r>
        <w:t>)</w:t>
      </w:r>
    </w:p>
    <w:p w:rsidR="00B25D9D" w:rsidP="00861B90" w:rsidRDefault="00B25D9D" w14:paraId="56EAB130" w14:textId="4A744FEA">
      <w:pPr>
        <w:pStyle w:val="NoSpacing"/>
        <w:numPr>
          <w:ilvl w:val="3"/>
          <w:numId w:val="13"/>
        </w:numPr>
      </w:pPr>
      <w:r>
        <w:t>Sequence: CATAGTGGGGTATCTAATCCCAGTTTG</w:t>
      </w:r>
    </w:p>
    <w:p w:rsidR="00861B90" w:rsidP="00861B90" w:rsidRDefault="00861B90" w14:paraId="33206410" w14:textId="77777777">
      <w:pPr>
        <w:pStyle w:val="NoSpacing"/>
      </w:pPr>
    </w:p>
    <w:p w:rsidR="00861B90" w:rsidP="00861B90" w:rsidRDefault="00861B90" w14:paraId="57FB2987" w14:textId="21ECFE24">
      <w:pPr>
        <w:ind w:firstLine="720"/>
      </w:pPr>
      <w:r>
        <w:t xml:space="preserve">The eDNA samples were randomized prior to the PCR reactions to avoid bias, and split evenly to create two libraries. PCR reactions were performed with three identical replicates per sample. The PCR products were screened on the </w:t>
      </w:r>
      <w:proofErr w:type="spellStart"/>
      <w:r>
        <w:t>TapeStation</w:t>
      </w:r>
      <w:proofErr w:type="spellEnd"/>
      <w:r>
        <w:t xml:space="preserve"> 4200 (Agilent Technologies) to confirm amplification in the </w:t>
      </w:r>
      <w:r>
        <w:t xml:space="preserve">samples </w:t>
      </w:r>
      <w:r w:rsidR="004005C8">
        <w:t>and ensure there was no amplification in any associated PCR negatives</w:t>
      </w:r>
      <w:r w:rsidR="00F54D57">
        <w:t xml:space="preserve"> (PNEG)</w:t>
      </w:r>
      <w:r w:rsidR="004005C8">
        <w:t>.</w:t>
      </w:r>
      <w:r w:rsidR="00F54D57">
        <w:t xml:space="preserve"> If amplification was observed in any PNEG the sample was redone. </w:t>
      </w:r>
    </w:p>
    <w:p w:rsidR="00F54D57" w:rsidP="00861B90" w:rsidRDefault="00F54D57" w14:paraId="4161CB45" w14:textId="1BDC9DEA">
      <w:pPr>
        <w:ind w:firstLine="720"/>
      </w:pPr>
      <w:r>
        <w:t xml:space="preserve">Once verified, PCR replicates were pooled and purified using the </w:t>
      </w:r>
      <w:proofErr w:type="spellStart"/>
      <w:r>
        <w:t>AMPure</w:t>
      </w:r>
      <w:proofErr w:type="spellEnd"/>
      <w:r w:rsidR="002848F0">
        <w:t xml:space="preserve"> </w:t>
      </w:r>
      <w:r>
        <w:t xml:space="preserve">XP </w:t>
      </w:r>
      <w:r w:rsidR="002848F0">
        <w:t xml:space="preserve">Reagent (Beckman Coulter), followed by quantification using the </w:t>
      </w:r>
      <w:proofErr w:type="spellStart"/>
      <w:r w:rsidRPr="002848F0" w:rsidR="002848F0">
        <w:t>AccuClear</w:t>
      </w:r>
      <w:proofErr w:type="spellEnd"/>
      <w:r w:rsidRPr="002848F0" w:rsidR="002848F0">
        <w:t xml:space="preserve"> Ultra High Sensitivity dsDNA Quantitation kit (</w:t>
      </w:r>
      <w:proofErr w:type="spellStart"/>
      <w:r w:rsidRPr="002848F0" w:rsidR="002848F0">
        <w:t>Biotium</w:t>
      </w:r>
      <w:proofErr w:type="spellEnd"/>
      <w:r w:rsidRPr="002848F0" w:rsidR="002848F0">
        <w:t>). Purified PCR products were multiplexed with</w:t>
      </w:r>
      <w:r w:rsidR="002848F0">
        <w:t xml:space="preserve"> </w:t>
      </w:r>
      <w:r w:rsidRPr="002848F0" w:rsidR="002848F0">
        <w:t>equal amounts per sample when possible, with a target input of 50</w:t>
      </w:r>
      <w:r w:rsidR="00ED2059">
        <w:t xml:space="preserve"> </w:t>
      </w:r>
      <w:r w:rsidRPr="002848F0" w:rsidR="002848F0">
        <w:t>ng/sample for COI libraries and 25</w:t>
      </w:r>
      <w:r w:rsidR="00ED2059">
        <w:t xml:space="preserve"> </w:t>
      </w:r>
      <w:r w:rsidRPr="002848F0" w:rsidR="002848F0">
        <w:t xml:space="preserve">ng/sample for 12S libraries. For samples with very low DNA (such as </w:t>
      </w:r>
      <w:r w:rsidR="002848F0">
        <w:t>Field Blanks and Extraction Negatives</w:t>
      </w:r>
      <w:r w:rsidRPr="002848F0" w:rsidR="002848F0">
        <w:t xml:space="preserve">), </w:t>
      </w:r>
      <w:r w:rsidR="002848F0">
        <w:t xml:space="preserve">a maximum of </w:t>
      </w:r>
      <w:r w:rsidRPr="002848F0" w:rsidR="002848F0">
        <w:t>10</w:t>
      </w:r>
      <w:r w:rsidR="002848F0">
        <w:rPr>
          <w:rFonts w:cstheme="minorHAnsi"/>
        </w:rPr>
        <w:t>µ</w:t>
      </w:r>
      <w:r w:rsidRPr="002848F0" w:rsidR="002848F0">
        <w:t>L</w:t>
      </w:r>
      <w:r w:rsidR="002848F0">
        <w:t xml:space="preserve"> was added to void diluting the final library concentration.</w:t>
      </w:r>
    </w:p>
    <w:p w:rsidR="002848F0" w:rsidP="00861B90" w:rsidRDefault="002848F0" w14:paraId="5AE1B860" w14:textId="20EDF3CC">
      <w:pPr>
        <w:ind w:firstLine="720"/>
      </w:pPr>
      <w:r>
        <w:t xml:space="preserve">The multiplexed libraries were purified using </w:t>
      </w:r>
      <w:proofErr w:type="spellStart"/>
      <w:r>
        <w:t>AMPure</w:t>
      </w:r>
      <w:proofErr w:type="spellEnd"/>
      <w:r>
        <w:t xml:space="preserve"> XP Reagent, then quantified using the </w:t>
      </w:r>
      <w:proofErr w:type="spellStart"/>
      <w:r w:rsidRPr="002848F0">
        <w:t>NEBNext</w:t>
      </w:r>
      <w:proofErr w:type="spellEnd"/>
      <w:r w:rsidRPr="002848F0">
        <w:t xml:space="preserve"> Library Quant kit for Illumina (New England Biolabs) on the </w:t>
      </w:r>
      <w:proofErr w:type="spellStart"/>
      <w:r w:rsidRPr="002848F0">
        <w:t>QuantStudio</w:t>
      </w:r>
      <w:proofErr w:type="spellEnd"/>
      <w:r w:rsidRPr="002848F0">
        <w:t xml:space="preserve"> 7 Flex (Applied Biosystems).</w:t>
      </w:r>
      <w:r w:rsidR="00E11D7D">
        <w:t xml:space="preserve">  Two libraries, each with 77 randomly assigned samples and controls, were developed </w:t>
      </w:r>
      <w:r w:rsidR="00E44E4F">
        <w:t>for</w:t>
      </w:r>
      <w:r w:rsidR="00E11D7D">
        <w:t xml:space="preserve"> two targets (COI-1 and 12S)</w:t>
      </w:r>
      <w:r w:rsidR="005B5E58">
        <w:t>,</w:t>
      </w:r>
      <w:r w:rsidR="00E11D7D">
        <w:t xml:space="preserve"> for a total of four libraries.</w:t>
      </w:r>
    </w:p>
    <w:p w:rsidR="00FB74B4" w:rsidP="00FB74B4" w:rsidRDefault="00FB74B4" w14:paraId="0984975B" w14:textId="6BD108F3">
      <w:pPr>
        <w:pStyle w:val="Heading2"/>
      </w:pPr>
      <w:r>
        <w:t xml:space="preserve">5.  </w:t>
      </w:r>
      <w:r w:rsidRPr="00FB74B4">
        <w:t xml:space="preserve">COI and 12S </w:t>
      </w:r>
      <w:r>
        <w:t>L</w:t>
      </w:r>
      <w:r w:rsidRPr="00FB74B4">
        <w:t>ibrar</w:t>
      </w:r>
      <w:r>
        <w:t>y</w:t>
      </w:r>
      <w:r w:rsidRPr="00FB74B4">
        <w:t xml:space="preserve"> </w:t>
      </w:r>
      <w:r>
        <w:t xml:space="preserve">Sequencing </w:t>
      </w:r>
      <w:r w:rsidRPr="00FB74B4">
        <w:t xml:space="preserve">on </w:t>
      </w:r>
      <w:r>
        <w:t xml:space="preserve">the </w:t>
      </w:r>
      <w:proofErr w:type="spellStart"/>
      <w:r w:rsidRPr="00FB74B4">
        <w:t>MiSeq</w:t>
      </w:r>
      <w:proofErr w:type="spellEnd"/>
    </w:p>
    <w:p w:rsidR="00FB74B4" w:rsidP="00FB74B4" w:rsidRDefault="00E44E4F" w14:paraId="402FD489" w14:textId="475541B8">
      <w:r>
        <w:tab/>
      </w:r>
      <w:r>
        <w:t xml:space="preserve">All libraries were sequenced using the </w:t>
      </w:r>
      <w:proofErr w:type="spellStart"/>
      <w:r>
        <w:t>MiSeq</w:t>
      </w:r>
      <w:proofErr w:type="spellEnd"/>
      <w:r>
        <w:t xml:space="preserve"> platform (Illumina). The </w:t>
      </w:r>
      <w:proofErr w:type="spellStart"/>
      <w:r>
        <w:t>MiSeq</w:t>
      </w:r>
      <w:proofErr w:type="spellEnd"/>
      <w:r>
        <w:t xml:space="preserve"> Reagent Kit v3 (600-cycle</w:t>
      </w:r>
      <w:r w:rsidR="009D74B6">
        <w:t>)</w:t>
      </w:r>
      <w:r>
        <w:t xml:space="preserve"> was used for the COI-1 A and COI-1 B libraries, while the v2 kit (500-cycle) was used for the 12S A and 12S B libraries.</w:t>
      </w:r>
    </w:p>
    <w:p w:rsidR="009D74B6" w:rsidP="00FB74B4" w:rsidRDefault="009D74B6" w14:paraId="691663E7" w14:textId="37080B9A">
      <w:r>
        <w:tab/>
      </w:r>
      <w:r>
        <w:t>The COI-1 libraries</w:t>
      </w:r>
      <w:r w:rsidR="005B5E58">
        <w:t xml:space="preserve"> were prepared to a final concentration of 15pM, with a 15% </w:t>
      </w:r>
      <w:proofErr w:type="spellStart"/>
      <w:r w:rsidR="005B5E58">
        <w:t>PhiX</w:t>
      </w:r>
      <w:proofErr w:type="spellEnd"/>
      <w:r w:rsidR="005B5E58">
        <w:t xml:space="preserve"> spike-in (15pM).</w:t>
      </w:r>
      <w:r w:rsidR="00A6382D">
        <w:t xml:space="preserve"> This was empirically determined from past projects and had shown to work well. </w:t>
      </w:r>
      <w:r w:rsidR="003461AF">
        <w:t xml:space="preserve">For the COI-1 A library, </w:t>
      </w:r>
      <w:r w:rsidR="00A6382D">
        <w:t xml:space="preserve">the run metrics looked similar to </w:t>
      </w:r>
      <w:r w:rsidR="00C17D01">
        <w:t>those from previous projects</w:t>
      </w:r>
      <w:r w:rsidR="003461AF">
        <w:t>. However</w:t>
      </w:r>
      <w:r w:rsidR="00C17D01">
        <w:t xml:space="preserve">, </w:t>
      </w:r>
      <w:r w:rsidR="003461AF">
        <w:t xml:space="preserve">in this instance </w:t>
      </w:r>
      <w:r w:rsidR="00C17D01">
        <w:t xml:space="preserve">there was evidence of </w:t>
      </w:r>
      <w:r w:rsidR="00FA00B5">
        <w:t xml:space="preserve">some </w:t>
      </w:r>
      <w:r w:rsidR="00C17D01">
        <w:t>over-clustering</w:t>
      </w:r>
      <w:r w:rsidR="003461AF">
        <w:t xml:space="preserve"> in the flow cell</w:t>
      </w:r>
      <w:r w:rsidR="00C17D01">
        <w:t>. There were inconsistencies in some of the tiles</w:t>
      </w:r>
      <w:r w:rsidR="00FA00B5">
        <w:t xml:space="preserve"> (2102 and 2109 in particular).</w:t>
      </w:r>
      <w:r w:rsidR="00C17D01">
        <w:t xml:space="preserve"> Tile 2102 produc</w:t>
      </w:r>
      <w:r w:rsidR="00FA00B5">
        <w:t>ed</w:t>
      </w:r>
      <w:r w:rsidR="00C17D01">
        <w:t xml:space="preserve"> the lowest Intensity, Density, and Clusters Passing Filter (PF). This tile also produced 0% of reads Aligned and 0% PF. </w:t>
      </w:r>
      <w:r w:rsidR="003461AF">
        <w:t xml:space="preserve"> The clusters passing filter should be between 80-90%, but from Table 6 one can see it is slightly lower and the confidence interval is a little high.</w:t>
      </w:r>
      <w:r w:rsidR="00FA00B5">
        <w:t xml:space="preserve"> While the clusters passing filter are expected to be lower than the raw density, this metric should be higher.</w:t>
      </w:r>
    </w:p>
    <w:p w:rsidR="00E86987" w:rsidP="00FB74B4" w:rsidRDefault="00E86987" w14:paraId="794C3E85" w14:textId="215D6BF3">
      <w:r>
        <w:tab/>
      </w:r>
      <w:r>
        <w:t>The run metrics for the COI-1 B library were very similar to library A</w:t>
      </w:r>
      <w:r w:rsidR="00AA4571">
        <w:t xml:space="preserve"> (Table 6)</w:t>
      </w:r>
      <w:r>
        <w:t>. There was also evidence of the cluster density being to</w:t>
      </w:r>
      <w:r w:rsidR="00BB240C">
        <w:t>o</w:t>
      </w:r>
      <w:r>
        <w:t xml:space="preserve"> high (over-clustering)</w:t>
      </w:r>
      <w:r w:rsidR="00AA4571">
        <w:t xml:space="preserve">. Inconsistencies in the tiles were more evident, Tiles 1103, 1108, 2103, 2109, and 2111 in particular, with the most variability in Density and %&gt;Q30. </w:t>
      </w:r>
      <w:r w:rsidR="00AE20E7">
        <w:t>The</w:t>
      </w:r>
      <w:r w:rsidR="00BB240C">
        <w:t>se tiles</w:t>
      </w:r>
      <w:r w:rsidR="00AE20E7">
        <w:t xml:space="preserve"> also had the lowest % of sequences aligned for both reads. Furthermore, i</w:t>
      </w:r>
      <w:r w:rsidR="00AA4571">
        <w:t xml:space="preserve">n Tiles 1103 and 1108 </w:t>
      </w:r>
      <w:r w:rsidR="00FA00B5">
        <w:t>there was</w:t>
      </w:r>
      <w:r w:rsidR="00AA4571">
        <w:t xml:space="preserve"> evidence of some data loss. For example, </w:t>
      </w:r>
      <w:r w:rsidR="00FA00B5">
        <w:t>the sequence read quality was 0% &gt; Q30</w:t>
      </w:r>
      <w:r w:rsidR="00AE20E7">
        <w:t>.</w:t>
      </w:r>
    </w:p>
    <w:p w:rsidR="00AE20E7" w:rsidP="00FB74B4" w:rsidRDefault="00AE20E7" w14:paraId="24191C88" w14:textId="1B637D30">
      <w:r>
        <w:tab/>
      </w:r>
      <w:r w:rsidR="1FAFF6D5">
        <w:rPr/>
        <w:t xml:space="preserve">Ind</w:t>
      </w:r>
      <w:r w:rsidR="1FAFF6D5">
        <w:rPr/>
        <w:t xml:space="preserve">eed,</w:t>
      </w:r>
      <w:r w:rsidR="00AE20E7">
        <w:rPr/>
        <w:t xml:space="preserve"> th</w:t>
      </w:r>
      <w:r w:rsidR="00AE20E7">
        <w:rPr/>
        <w:t xml:space="preserve">e data were reviewed by a technician at Illumina who noticed from the raw images that the tiles with issues were over-clustered. For future runs with COI-1 libraries it was recommended </w:t>
      </w:r>
      <w:r w:rsidR="00BB240C">
        <w:rPr/>
        <w:t>aiming</w:t>
      </w:r>
      <w:r w:rsidR="00AE20E7">
        <w:rPr/>
        <w:t xml:space="preserve"> for a cluster density 30-40% lower than the </w:t>
      </w:r>
      <w:r w:rsidR="00AE20E7">
        <w:rPr/>
        <w:t xml:space="preserve">optimal</w:t>
      </w:r>
      <w:r w:rsidR="00AE20E7">
        <w:rPr/>
        <w:t xml:space="preserve"> range for the kit chemistry because the library is low diversity.</w:t>
      </w:r>
    </w:p>
    <w:p w:rsidRPr="003461AF" w:rsidR="003461AF" w:rsidP="003461AF" w:rsidRDefault="003461AF" w14:paraId="2700A004" w14:textId="535EC28A">
      <w:pPr>
        <w:pStyle w:val="NoSpacing"/>
      </w:pPr>
      <w:r>
        <w:rPr>
          <w:b/>
          <w:bCs/>
        </w:rPr>
        <w:t>Table 6.</w:t>
      </w:r>
      <w:r>
        <w:t xml:space="preserve"> Summary of sequencing run parameters and data output quality metrics.</w:t>
      </w:r>
    </w:p>
    <w:tbl>
      <w:tblPr>
        <w:tblStyle w:val="GridTable1Light"/>
        <w:tblW w:w="0" w:type="auto"/>
        <w:tblLook w:val="04A0" w:firstRow="1" w:lastRow="0" w:firstColumn="1" w:lastColumn="0" w:noHBand="0" w:noVBand="1"/>
      </w:tblPr>
      <w:tblGrid>
        <w:gridCol w:w="1306"/>
        <w:gridCol w:w="1681"/>
        <w:gridCol w:w="851"/>
        <w:gridCol w:w="1017"/>
        <w:gridCol w:w="810"/>
        <w:gridCol w:w="1350"/>
        <w:gridCol w:w="1350"/>
        <w:gridCol w:w="985"/>
      </w:tblGrid>
      <w:tr w:rsidR="002E5B71" w:rsidTr="00C17D01" w14:paraId="646946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Pr="00E1025F" w:rsidR="005B5E58" w:rsidP="00E925E2" w:rsidRDefault="005B5E58" w14:paraId="5C815E26" w14:textId="476875F4">
            <w:pPr>
              <w:jc w:val="center"/>
            </w:pPr>
            <w:r w:rsidRPr="00E1025F">
              <w:t>Library/Run</w:t>
            </w:r>
          </w:p>
        </w:tc>
        <w:tc>
          <w:tcPr>
            <w:tcW w:w="1681" w:type="dxa"/>
          </w:tcPr>
          <w:p w:rsidRPr="00E1025F" w:rsidR="005B5E58" w:rsidP="00E925E2" w:rsidRDefault="005B5E58" w14:paraId="6A05B982" w14:textId="28ED43A3">
            <w:pPr>
              <w:jc w:val="center"/>
              <w:cnfStyle w:val="100000000000" w:firstRow="1" w:lastRow="0" w:firstColumn="0" w:lastColumn="0" w:oddVBand="0" w:evenVBand="0" w:oddHBand="0" w:evenHBand="0" w:firstRowFirstColumn="0" w:firstRowLastColumn="0" w:lastRowFirstColumn="0" w:lastRowLastColumn="0"/>
            </w:pPr>
            <w:proofErr w:type="spellStart"/>
            <w:r w:rsidRPr="00E1025F">
              <w:t>MiSeq</w:t>
            </w:r>
            <w:proofErr w:type="spellEnd"/>
            <w:r w:rsidRPr="00E1025F">
              <w:t xml:space="preserve"> Reagent Kit</w:t>
            </w:r>
            <w:r w:rsidRPr="00E1025F" w:rsidR="00E925E2">
              <w:t>/Chemistry</w:t>
            </w:r>
          </w:p>
        </w:tc>
        <w:tc>
          <w:tcPr>
            <w:tcW w:w="851" w:type="dxa"/>
          </w:tcPr>
          <w:p w:rsidRPr="00E1025F" w:rsidR="005B5E58" w:rsidP="00E925E2" w:rsidRDefault="00E925E2" w14:paraId="78AAAB08" w14:textId="10FA9261">
            <w:pPr>
              <w:jc w:val="center"/>
              <w:cnfStyle w:val="100000000000" w:firstRow="1" w:lastRow="0" w:firstColumn="0" w:lastColumn="0" w:oddVBand="0" w:evenVBand="0" w:oddHBand="0" w:evenHBand="0" w:firstRowFirstColumn="0" w:firstRowLastColumn="0" w:lastRowFirstColumn="0" w:lastRowLastColumn="0"/>
            </w:pPr>
            <w:r w:rsidRPr="00E1025F">
              <w:t>Library Input (</w:t>
            </w:r>
            <w:proofErr w:type="spellStart"/>
            <w:r w:rsidRPr="00E1025F">
              <w:t>pM</w:t>
            </w:r>
            <w:proofErr w:type="spellEnd"/>
            <w:r w:rsidRPr="00E1025F">
              <w:t>)</w:t>
            </w:r>
          </w:p>
        </w:tc>
        <w:tc>
          <w:tcPr>
            <w:tcW w:w="1017" w:type="dxa"/>
          </w:tcPr>
          <w:p w:rsidRPr="00E1025F" w:rsidR="00E925E2" w:rsidP="00E925E2" w:rsidRDefault="00E925E2" w14:paraId="467046F2" w14:textId="0895F58A">
            <w:pPr>
              <w:jc w:val="center"/>
              <w:cnfStyle w:val="100000000000" w:firstRow="1" w:lastRow="0" w:firstColumn="0" w:lastColumn="0" w:oddVBand="0" w:evenVBand="0" w:oddHBand="0" w:evenHBand="0" w:firstRowFirstColumn="0" w:firstRowLastColumn="0" w:lastRowFirstColumn="0" w:lastRowLastColumn="0"/>
            </w:pPr>
            <w:proofErr w:type="spellStart"/>
            <w:r w:rsidRPr="00E1025F">
              <w:t>PhiX</w:t>
            </w:r>
            <w:proofErr w:type="spellEnd"/>
            <w:r w:rsidRPr="00E1025F">
              <w:t xml:space="preserve"> Spike-in (%)</w:t>
            </w:r>
          </w:p>
        </w:tc>
        <w:tc>
          <w:tcPr>
            <w:tcW w:w="810" w:type="dxa"/>
          </w:tcPr>
          <w:p w:rsidRPr="00E1025F" w:rsidR="005B5E58" w:rsidP="00E925E2" w:rsidRDefault="00E925E2" w14:paraId="5C5E8143" w14:textId="09FA2BFE">
            <w:pPr>
              <w:jc w:val="center"/>
              <w:cnfStyle w:val="100000000000" w:firstRow="1" w:lastRow="0" w:firstColumn="0" w:lastColumn="0" w:oddVBand="0" w:evenVBand="0" w:oddHBand="0" w:evenHBand="0" w:firstRowFirstColumn="0" w:firstRowLastColumn="0" w:lastRowFirstColumn="0" w:lastRowLastColumn="0"/>
            </w:pPr>
            <w:r w:rsidRPr="00E1025F">
              <w:t>% &gt; Q30</w:t>
            </w:r>
          </w:p>
        </w:tc>
        <w:tc>
          <w:tcPr>
            <w:tcW w:w="1350" w:type="dxa"/>
          </w:tcPr>
          <w:p w:rsidRPr="00E1025F" w:rsidR="005B5E58" w:rsidP="00E925E2" w:rsidRDefault="00E925E2" w14:paraId="3091CEE4" w14:textId="11332D61">
            <w:pPr>
              <w:jc w:val="center"/>
              <w:cnfStyle w:val="100000000000" w:firstRow="1" w:lastRow="0" w:firstColumn="0" w:lastColumn="0" w:oddVBand="0" w:evenVBand="0" w:oddHBand="0" w:evenHBand="0" w:firstRowFirstColumn="0" w:firstRowLastColumn="0" w:lastRowFirstColumn="0" w:lastRowLastColumn="0"/>
            </w:pPr>
            <w:r w:rsidRPr="00E1025F">
              <w:t>Cluster Density (K/mm</w:t>
            </w:r>
            <w:r w:rsidRPr="00E1025F">
              <w:rPr>
                <w:vertAlign w:val="superscript"/>
              </w:rPr>
              <w:t>2</w:t>
            </w:r>
            <w:r w:rsidRPr="00E1025F">
              <w:t>)</w:t>
            </w:r>
          </w:p>
        </w:tc>
        <w:tc>
          <w:tcPr>
            <w:tcW w:w="1350" w:type="dxa"/>
          </w:tcPr>
          <w:p w:rsidRPr="00E1025F" w:rsidR="00E925E2" w:rsidP="00E925E2" w:rsidRDefault="00E925E2" w14:paraId="64BADBB7" w14:textId="1E00970B">
            <w:pPr>
              <w:jc w:val="center"/>
              <w:cnfStyle w:val="100000000000" w:firstRow="1" w:lastRow="0" w:firstColumn="0" w:lastColumn="0" w:oddVBand="0" w:evenVBand="0" w:oddHBand="0" w:evenHBand="0" w:firstRowFirstColumn="0" w:firstRowLastColumn="0" w:lastRowFirstColumn="0" w:lastRowLastColumn="0"/>
            </w:pPr>
            <w:r w:rsidRPr="00E1025F">
              <w:t>Clusters P</w:t>
            </w:r>
            <w:r w:rsidR="00C17D01">
              <w:t>F</w:t>
            </w:r>
            <w:r w:rsidRPr="00E1025F">
              <w:t xml:space="preserve"> (%)</w:t>
            </w:r>
          </w:p>
        </w:tc>
        <w:tc>
          <w:tcPr>
            <w:tcW w:w="985" w:type="dxa"/>
          </w:tcPr>
          <w:p w:rsidRPr="00E1025F" w:rsidR="005B5E58" w:rsidP="00E925E2" w:rsidRDefault="00E925E2" w14:paraId="6F8BE1FB" w14:textId="3671A2AC">
            <w:pPr>
              <w:jc w:val="center"/>
              <w:cnfStyle w:val="100000000000" w:firstRow="1" w:lastRow="0" w:firstColumn="0" w:lastColumn="0" w:oddVBand="0" w:evenVBand="0" w:oddHBand="0" w:evenHBand="0" w:firstRowFirstColumn="0" w:firstRowLastColumn="0" w:lastRowFirstColumn="0" w:lastRowLastColumn="0"/>
            </w:pPr>
            <w:r w:rsidRPr="00E1025F">
              <w:t>Data Yield (Gb)</w:t>
            </w:r>
          </w:p>
        </w:tc>
      </w:tr>
      <w:tr w:rsidR="002E5B71" w:rsidTr="00C17D01" w14:paraId="1BB99783" w14:textId="77777777">
        <w:tc>
          <w:tcPr>
            <w:cnfStyle w:val="001000000000" w:firstRow="0" w:lastRow="0" w:firstColumn="1" w:lastColumn="0" w:oddVBand="0" w:evenVBand="0" w:oddHBand="0" w:evenHBand="0" w:firstRowFirstColumn="0" w:firstRowLastColumn="0" w:lastRowFirstColumn="0" w:lastRowLastColumn="0"/>
            <w:tcW w:w="1306" w:type="dxa"/>
          </w:tcPr>
          <w:p w:rsidRPr="00E925E2" w:rsidR="005B5E58" w:rsidP="00FB74B4" w:rsidRDefault="005B5E58" w14:paraId="35C67BDB" w14:textId="0E2B6A00">
            <w:pPr>
              <w:rPr>
                <w:sz w:val="20"/>
                <w:szCs w:val="20"/>
              </w:rPr>
            </w:pPr>
            <w:r w:rsidRPr="00E925E2">
              <w:rPr>
                <w:sz w:val="20"/>
                <w:szCs w:val="20"/>
              </w:rPr>
              <w:t>COI-1 A R1</w:t>
            </w:r>
          </w:p>
        </w:tc>
        <w:tc>
          <w:tcPr>
            <w:tcW w:w="1681" w:type="dxa"/>
          </w:tcPr>
          <w:p w:rsidRPr="00E925E2" w:rsidR="005B5E58" w:rsidP="00E925E2" w:rsidRDefault="00E925E2" w14:paraId="07A6BDC0" w14:textId="18A33C1F">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v</w:t>
            </w:r>
            <w:r w:rsidRPr="00E925E2" w:rsidR="005B5E58">
              <w:rPr>
                <w:sz w:val="20"/>
                <w:szCs w:val="20"/>
              </w:rPr>
              <w:t>3 (600-cycle)</w:t>
            </w:r>
          </w:p>
          <w:p w:rsidRPr="00E925E2" w:rsidR="005B5E58" w:rsidP="00E925E2" w:rsidRDefault="005B5E58" w14:paraId="1A8A4858" w14:textId="41504891">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PE</w:t>
            </w:r>
          </w:p>
        </w:tc>
        <w:tc>
          <w:tcPr>
            <w:tcW w:w="851" w:type="dxa"/>
          </w:tcPr>
          <w:p w:rsidRPr="00E925E2" w:rsidR="005B5E58" w:rsidP="00E925E2" w:rsidRDefault="00E925E2" w14:paraId="46060BE5" w14:textId="4005A5F2">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15</w:t>
            </w:r>
          </w:p>
        </w:tc>
        <w:tc>
          <w:tcPr>
            <w:tcW w:w="1017" w:type="dxa"/>
          </w:tcPr>
          <w:p w:rsidRPr="00E925E2" w:rsidR="005B5E58" w:rsidP="00E925E2" w:rsidRDefault="00E1025F" w14:paraId="7103254F" w14:textId="3D82F0C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810" w:type="dxa"/>
          </w:tcPr>
          <w:p w:rsidRPr="00E925E2" w:rsidR="005B5E58" w:rsidP="00E925E2" w:rsidRDefault="002E5B71" w14:paraId="20BB2EBA" w14:textId="45493F0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80.05</w:t>
            </w:r>
          </w:p>
        </w:tc>
        <w:tc>
          <w:tcPr>
            <w:tcW w:w="1350" w:type="dxa"/>
          </w:tcPr>
          <w:p w:rsidRPr="00E925E2" w:rsidR="005B5E58" w:rsidP="002E5B71" w:rsidRDefault="002E5B71" w14:paraId="47FC661E" w14:textId="7215C06E">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1118 ± 18</w:t>
            </w:r>
          </w:p>
        </w:tc>
        <w:tc>
          <w:tcPr>
            <w:tcW w:w="1350" w:type="dxa"/>
          </w:tcPr>
          <w:p w:rsidRPr="00E925E2" w:rsidR="005B5E58" w:rsidP="00E925E2" w:rsidRDefault="002E5B71" w14:paraId="38E670DB" w14:textId="34FBEC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79.4 ± 13.0</w:t>
            </w:r>
          </w:p>
        </w:tc>
        <w:tc>
          <w:tcPr>
            <w:tcW w:w="985" w:type="dxa"/>
          </w:tcPr>
          <w:p w:rsidRPr="00E925E2" w:rsidR="005B5E58" w:rsidP="00E925E2" w:rsidRDefault="002E5B71" w14:paraId="7B8440DF" w14:textId="32182AB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14.0</w:t>
            </w:r>
          </w:p>
        </w:tc>
      </w:tr>
      <w:tr w:rsidR="002E5B71" w:rsidTr="00C17D01" w14:paraId="223D8580" w14:textId="77777777">
        <w:tc>
          <w:tcPr>
            <w:cnfStyle w:val="001000000000" w:firstRow="0" w:lastRow="0" w:firstColumn="1" w:lastColumn="0" w:oddVBand="0" w:evenVBand="0" w:oddHBand="0" w:evenHBand="0" w:firstRowFirstColumn="0" w:firstRowLastColumn="0" w:lastRowFirstColumn="0" w:lastRowLastColumn="0"/>
            <w:tcW w:w="1306" w:type="dxa"/>
          </w:tcPr>
          <w:p w:rsidRPr="00E925E2" w:rsidR="005B5E58" w:rsidP="00FB74B4" w:rsidRDefault="005B5E58" w14:paraId="39F630AA" w14:textId="4D31B0A4">
            <w:pPr>
              <w:rPr>
                <w:sz w:val="20"/>
                <w:szCs w:val="20"/>
              </w:rPr>
            </w:pPr>
            <w:r w:rsidRPr="00E925E2">
              <w:rPr>
                <w:sz w:val="20"/>
                <w:szCs w:val="20"/>
              </w:rPr>
              <w:t>COI-1 B R1</w:t>
            </w:r>
          </w:p>
        </w:tc>
        <w:tc>
          <w:tcPr>
            <w:tcW w:w="1681" w:type="dxa"/>
          </w:tcPr>
          <w:p w:rsidRPr="00E925E2" w:rsidR="00E925E2" w:rsidP="00E925E2" w:rsidRDefault="00E925E2" w14:paraId="01A008FC"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v3 (600-cycle)</w:t>
            </w:r>
          </w:p>
          <w:p w:rsidRPr="00E925E2" w:rsidR="005B5E58" w:rsidP="00E925E2" w:rsidRDefault="00E925E2" w14:paraId="34B5CCD0" w14:textId="7385567A">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PE</w:t>
            </w:r>
          </w:p>
        </w:tc>
        <w:tc>
          <w:tcPr>
            <w:tcW w:w="851" w:type="dxa"/>
          </w:tcPr>
          <w:p w:rsidRPr="00E925E2" w:rsidR="005B5E58" w:rsidP="00E925E2" w:rsidRDefault="00E925E2" w14:paraId="3D7F2659" w14:textId="4F9D5EA6">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15</w:t>
            </w:r>
          </w:p>
        </w:tc>
        <w:tc>
          <w:tcPr>
            <w:tcW w:w="1017" w:type="dxa"/>
          </w:tcPr>
          <w:p w:rsidRPr="00E925E2" w:rsidR="005B5E58" w:rsidP="00E925E2" w:rsidRDefault="00E1025F" w14:paraId="51EEF58E" w14:textId="58381D9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810" w:type="dxa"/>
          </w:tcPr>
          <w:p w:rsidRPr="00E925E2" w:rsidR="005B5E58" w:rsidP="00E925E2" w:rsidRDefault="002E5B71" w14:paraId="574F1E87" w14:textId="04215D9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80.93</w:t>
            </w:r>
          </w:p>
        </w:tc>
        <w:tc>
          <w:tcPr>
            <w:tcW w:w="1350" w:type="dxa"/>
          </w:tcPr>
          <w:p w:rsidRPr="00E925E2" w:rsidR="005B5E58" w:rsidP="002E5B71" w:rsidRDefault="002E5B71" w14:paraId="115307FF" w14:textId="31CDF6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1130 ± 37</w:t>
            </w:r>
          </w:p>
        </w:tc>
        <w:tc>
          <w:tcPr>
            <w:tcW w:w="1350" w:type="dxa"/>
          </w:tcPr>
          <w:p w:rsidRPr="00E925E2" w:rsidR="005B5E58" w:rsidP="00E925E2" w:rsidRDefault="002E5B71" w14:paraId="39668B24" w14:textId="7BBA9E75">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79.30 ± 18.99</w:t>
            </w:r>
          </w:p>
        </w:tc>
        <w:tc>
          <w:tcPr>
            <w:tcW w:w="985" w:type="dxa"/>
          </w:tcPr>
          <w:p w:rsidRPr="00E925E2" w:rsidR="005B5E58" w:rsidP="00E925E2" w:rsidRDefault="002E5B71" w14:paraId="2DF4C530" w14:textId="5141421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14.15</w:t>
            </w:r>
          </w:p>
        </w:tc>
      </w:tr>
      <w:tr w:rsidR="002E5B71" w:rsidTr="00C17D01" w14:paraId="2147FAD2" w14:textId="77777777">
        <w:tc>
          <w:tcPr>
            <w:cnfStyle w:val="001000000000" w:firstRow="0" w:lastRow="0" w:firstColumn="1" w:lastColumn="0" w:oddVBand="0" w:evenVBand="0" w:oddHBand="0" w:evenHBand="0" w:firstRowFirstColumn="0" w:firstRowLastColumn="0" w:lastRowFirstColumn="0" w:lastRowLastColumn="0"/>
            <w:tcW w:w="1306" w:type="dxa"/>
            <w:shd w:val="clear" w:color="auto" w:fill="FFFFCC"/>
          </w:tcPr>
          <w:p w:rsidRPr="00E925E2" w:rsidR="005B5E58" w:rsidP="00FB74B4" w:rsidRDefault="005B5E58" w14:paraId="2D3748C8" w14:textId="6BE0D662">
            <w:pPr>
              <w:rPr>
                <w:sz w:val="20"/>
                <w:szCs w:val="20"/>
              </w:rPr>
            </w:pPr>
            <w:r w:rsidRPr="00E925E2">
              <w:rPr>
                <w:sz w:val="20"/>
                <w:szCs w:val="20"/>
              </w:rPr>
              <w:t>12S A R1</w:t>
            </w:r>
          </w:p>
        </w:tc>
        <w:tc>
          <w:tcPr>
            <w:tcW w:w="1681" w:type="dxa"/>
            <w:shd w:val="clear" w:color="auto" w:fill="FFFFCC"/>
          </w:tcPr>
          <w:p w:rsidRPr="00E925E2" w:rsidR="00E925E2" w:rsidP="00E925E2" w:rsidRDefault="00E925E2" w14:paraId="5D538998" w14:textId="0F25AABE">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v2 (500-cycle)</w:t>
            </w:r>
          </w:p>
          <w:p w:rsidRPr="00E925E2" w:rsidR="005B5E58" w:rsidP="00E925E2" w:rsidRDefault="00E925E2" w14:paraId="3CEFECDC" w14:textId="68D27A96">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PE</w:t>
            </w:r>
          </w:p>
        </w:tc>
        <w:tc>
          <w:tcPr>
            <w:tcW w:w="851" w:type="dxa"/>
            <w:shd w:val="clear" w:color="auto" w:fill="FFFFCC"/>
          </w:tcPr>
          <w:p w:rsidRPr="00E925E2" w:rsidR="005B5E58" w:rsidP="00E925E2" w:rsidRDefault="00E925E2" w14:paraId="5B5E8358" w14:textId="6344E097">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7</w:t>
            </w:r>
          </w:p>
        </w:tc>
        <w:tc>
          <w:tcPr>
            <w:tcW w:w="1017" w:type="dxa"/>
            <w:shd w:val="clear" w:color="auto" w:fill="FFFFCC"/>
          </w:tcPr>
          <w:p w:rsidRPr="00E925E2" w:rsidR="005B5E58" w:rsidP="00E925E2" w:rsidRDefault="00E1025F" w14:paraId="53E1B57D" w14:textId="02504E9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810" w:type="dxa"/>
            <w:shd w:val="clear" w:color="auto" w:fill="FFFFCC"/>
          </w:tcPr>
          <w:p w:rsidRPr="00E925E2" w:rsidR="005B5E58" w:rsidP="00E925E2" w:rsidRDefault="009D732C" w14:paraId="14FC532E" w14:textId="632AF35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83.55</w:t>
            </w:r>
          </w:p>
        </w:tc>
        <w:tc>
          <w:tcPr>
            <w:tcW w:w="1350" w:type="dxa"/>
            <w:shd w:val="clear" w:color="auto" w:fill="FFFFCC"/>
          </w:tcPr>
          <w:p w:rsidRPr="00E925E2" w:rsidR="005B5E58" w:rsidP="00E925E2" w:rsidRDefault="00A6382D" w14:paraId="2F0FCC3A" w14:textId="12C784D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783 </w:t>
            </w:r>
            <w:r>
              <w:rPr>
                <w:rFonts w:cstheme="minorHAnsi"/>
                <w:sz w:val="20"/>
                <w:szCs w:val="20"/>
              </w:rPr>
              <w:t>±</w:t>
            </w:r>
            <w:r>
              <w:rPr>
                <w:sz w:val="20"/>
                <w:szCs w:val="20"/>
              </w:rPr>
              <w:t xml:space="preserve"> 33</w:t>
            </w:r>
          </w:p>
        </w:tc>
        <w:tc>
          <w:tcPr>
            <w:tcW w:w="1350" w:type="dxa"/>
            <w:shd w:val="clear" w:color="auto" w:fill="FFFFCC"/>
          </w:tcPr>
          <w:p w:rsidRPr="00E925E2" w:rsidR="005B5E58" w:rsidP="00E925E2" w:rsidRDefault="00A6382D" w14:paraId="0C1A8F9C" w14:textId="1459534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90.58 </w:t>
            </w:r>
            <w:r>
              <w:rPr>
                <w:rFonts w:cstheme="minorHAnsi"/>
                <w:sz w:val="20"/>
                <w:szCs w:val="20"/>
              </w:rPr>
              <w:t>±</w:t>
            </w:r>
            <w:r>
              <w:rPr>
                <w:sz w:val="20"/>
                <w:szCs w:val="20"/>
              </w:rPr>
              <w:t xml:space="preserve"> 1.74</w:t>
            </w:r>
          </w:p>
        </w:tc>
        <w:tc>
          <w:tcPr>
            <w:tcW w:w="985" w:type="dxa"/>
            <w:shd w:val="clear" w:color="auto" w:fill="FFFFCC"/>
          </w:tcPr>
          <w:p w:rsidRPr="00E925E2" w:rsidR="005B5E58" w:rsidP="00E925E2" w:rsidRDefault="00A6382D" w14:paraId="72041289" w14:textId="43CE9A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5.45</w:t>
            </w:r>
          </w:p>
        </w:tc>
      </w:tr>
      <w:tr w:rsidR="002E5B71" w:rsidTr="00C17D01" w14:paraId="52D9EFF3" w14:textId="77777777">
        <w:tc>
          <w:tcPr>
            <w:cnfStyle w:val="001000000000" w:firstRow="0" w:lastRow="0" w:firstColumn="1" w:lastColumn="0" w:oddVBand="0" w:evenVBand="0" w:oddHBand="0" w:evenHBand="0" w:firstRowFirstColumn="0" w:firstRowLastColumn="0" w:lastRowFirstColumn="0" w:lastRowLastColumn="0"/>
            <w:tcW w:w="1306" w:type="dxa"/>
          </w:tcPr>
          <w:p w:rsidRPr="00E925E2" w:rsidR="005B5E58" w:rsidP="00FB74B4" w:rsidRDefault="005B5E58" w14:paraId="616E173D" w14:textId="7FCA6525">
            <w:pPr>
              <w:rPr>
                <w:sz w:val="20"/>
                <w:szCs w:val="20"/>
              </w:rPr>
            </w:pPr>
            <w:r w:rsidRPr="00E925E2">
              <w:rPr>
                <w:sz w:val="20"/>
                <w:szCs w:val="20"/>
              </w:rPr>
              <w:t>12S A R2</w:t>
            </w:r>
          </w:p>
        </w:tc>
        <w:tc>
          <w:tcPr>
            <w:tcW w:w="1681" w:type="dxa"/>
          </w:tcPr>
          <w:p w:rsidRPr="00E925E2" w:rsidR="00E925E2" w:rsidP="00E925E2" w:rsidRDefault="00E925E2" w14:paraId="14308495"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v2 (500-cycle)</w:t>
            </w:r>
          </w:p>
          <w:p w:rsidRPr="00E925E2" w:rsidR="005B5E58" w:rsidP="00E925E2" w:rsidRDefault="00E925E2" w14:paraId="577E6DE7" w14:textId="245B0C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PE</w:t>
            </w:r>
          </w:p>
        </w:tc>
        <w:tc>
          <w:tcPr>
            <w:tcW w:w="851" w:type="dxa"/>
          </w:tcPr>
          <w:p w:rsidRPr="00E925E2" w:rsidR="005B5E58" w:rsidP="00E925E2" w:rsidRDefault="00E925E2" w14:paraId="284B2297" w14:textId="6468FC56">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7</w:t>
            </w:r>
          </w:p>
        </w:tc>
        <w:tc>
          <w:tcPr>
            <w:tcW w:w="1017" w:type="dxa"/>
          </w:tcPr>
          <w:p w:rsidRPr="00E925E2" w:rsidR="005B5E58" w:rsidP="00E925E2" w:rsidRDefault="00E1025F" w14:paraId="657AD55E" w14:textId="03ADFDA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810" w:type="dxa"/>
          </w:tcPr>
          <w:p w:rsidRPr="00E925E2" w:rsidR="005B5E58" w:rsidP="00E925E2" w:rsidRDefault="002E5B71" w14:paraId="3458612C" w14:textId="6F7145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81.14</w:t>
            </w:r>
          </w:p>
        </w:tc>
        <w:tc>
          <w:tcPr>
            <w:tcW w:w="1350" w:type="dxa"/>
          </w:tcPr>
          <w:p w:rsidRPr="00E925E2" w:rsidR="005B5E58" w:rsidP="00E925E2" w:rsidRDefault="002E5B71" w14:paraId="3D94AFA6" w14:textId="2061B6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765 ± 32</w:t>
            </w:r>
          </w:p>
        </w:tc>
        <w:tc>
          <w:tcPr>
            <w:tcW w:w="1350" w:type="dxa"/>
          </w:tcPr>
          <w:p w:rsidRPr="00E925E2" w:rsidR="005B5E58" w:rsidP="00E925E2" w:rsidRDefault="002E5B71" w14:paraId="0C2344E8" w14:textId="49DB802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91.23 ± 1.59</w:t>
            </w:r>
          </w:p>
        </w:tc>
        <w:tc>
          <w:tcPr>
            <w:tcW w:w="985" w:type="dxa"/>
          </w:tcPr>
          <w:p w:rsidRPr="00E925E2" w:rsidR="005B5E58" w:rsidP="00E925E2" w:rsidRDefault="002E5B71" w14:paraId="40172457" w14:textId="6FA01E1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7.72</w:t>
            </w:r>
          </w:p>
        </w:tc>
      </w:tr>
      <w:tr w:rsidR="002E5B71" w:rsidTr="00C17D01" w14:paraId="134861B1" w14:textId="77777777">
        <w:tc>
          <w:tcPr>
            <w:cnfStyle w:val="001000000000" w:firstRow="0" w:lastRow="0" w:firstColumn="1" w:lastColumn="0" w:oddVBand="0" w:evenVBand="0" w:oddHBand="0" w:evenHBand="0" w:firstRowFirstColumn="0" w:firstRowLastColumn="0" w:lastRowFirstColumn="0" w:lastRowLastColumn="0"/>
            <w:tcW w:w="1306" w:type="dxa"/>
          </w:tcPr>
          <w:p w:rsidRPr="00E925E2" w:rsidR="005B5E58" w:rsidP="00FB74B4" w:rsidRDefault="005B5E58" w14:paraId="0DD72F06" w14:textId="7C413AB8">
            <w:pPr>
              <w:rPr>
                <w:sz w:val="20"/>
                <w:szCs w:val="20"/>
              </w:rPr>
            </w:pPr>
            <w:r w:rsidRPr="00E925E2">
              <w:rPr>
                <w:sz w:val="20"/>
                <w:szCs w:val="20"/>
              </w:rPr>
              <w:t>12S B R1</w:t>
            </w:r>
          </w:p>
        </w:tc>
        <w:tc>
          <w:tcPr>
            <w:tcW w:w="1681" w:type="dxa"/>
          </w:tcPr>
          <w:p w:rsidRPr="00E925E2" w:rsidR="00E925E2" w:rsidP="00E925E2" w:rsidRDefault="00E925E2" w14:paraId="53FCDDC0"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v2 (500-cycle)</w:t>
            </w:r>
          </w:p>
          <w:p w:rsidRPr="00E925E2" w:rsidR="005B5E58" w:rsidP="00E925E2" w:rsidRDefault="00E925E2" w14:paraId="1333A252" w14:textId="26D403DD">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PE</w:t>
            </w:r>
          </w:p>
        </w:tc>
        <w:tc>
          <w:tcPr>
            <w:tcW w:w="851" w:type="dxa"/>
          </w:tcPr>
          <w:p w:rsidRPr="00E925E2" w:rsidR="005B5E58" w:rsidP="00E925E2" w:rsidRDefault="00E925E2" w14:paraId="3EE6CC8D" w14:textId="2AA556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E925E2">
              <w:rPr>
                <w:sz w:val="20"/>
                <w:szCs w:val="20"/>
              </w:rPr>
              <w:t>7</w:t>
            </w:r>
          </w:p>
        </w:tc>
        <w:tc>
          <w:tcPr>
            <w:tcW w:w="1017" w:type="dxa"/>
          </w:tcPr>
          <w:p w:rsidRPr="00E925E2" w:rsidR="005B5E58" w:rsidP="00E925E2" w:rsidRDefault="00E1025F" w14:paraId="37420FDF" w14:textId="4DB92D2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810" w:type="dxa"/>
          </w:tcPr>
          <w:p w:rsidRPr="00E925E2" w:rsidR="005B5E58" w:rsidP="00E925E2" w:rsidRDefault="008A3557" w14:paraId="7C679EE5" w14:textId="0E3524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3557">
              <w:rPr>
                <w:sz w:val="20"/>
                <w:szCs w:val="20"/>
              </w:rPr>
              <w:t>79.93</w:t>
            </w:r>
          </w:p>
        </w:tc>
        <w:tc>
          <w:tcPr>
            <w:tcW w:w="1350" w:type="dxa"/>
          </w:tcPr>
          <w:p w:rsidRPr="00E925E2" w:rsidR="005B5E58" w:rsidP="00E925E2" w:rsidRDefault="002E5B71" w14:paraId="2E47C2EF" w14:textId="27EFFE6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726 ± 39</w:t>
            </w:r>
          </w:p>
        </w:tc>
        <w:tc>
          <w:tcPr>
            <w:tcW w:w="1350" w:type="dxa"/>
          </w:tcPr>
          <w:p w:rsidRPr="00E925E2" w:rsidR="005B5E58" w:rsidP="00E925E2" w:rsidRDefault="002E5B71" w14:paraId="120E1B86" w14:textId="3A4CA94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E5B71">
              <w:rPr>
                <w:sz w:val="20"/>
                <w:szCs w:val="20"/>
              </w:rPr>
              <w:t>89.89 ± 2.50</w:t>
            </w:r>
          </w:p>
        </w:tc>
        <w:tc>
          <w:tcPr>
            <w:tcW w:w="985" w:type="dxa"/>
          </w:tcPr>
          <w:p w:rsidRPr="00E925E2" w:rsidR="005B5E58" w:rsidP="00E925E2" w:rsidRDefault="002E5B71" w14:paraId="4242AF35" w14:textId="4619119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7.42</w:t>
            </w:r>
          </w:p>
        </w:tc>
      </w:tr>
    </w:tbl>
    <w:p w:rsidRPr="00BB240C" w:rsidR="005B5E58" w:rsidP="00FB74B4" w:rsidRDefault="00BB240C" w14:paraId="4264F5F1" w14:textId="1E6B5626">
      <w:pPr>
        <w:rPr>
          <w:sz w:val="18"/>
          <w:szCs w:val="18"/>
        </w:rPr>
      </w:pPr>
      <w:r>
        <w:rPr>
          <w:sz w:val="18"/>
          <w:szCs w:val="18"/>
        </w:rPr>
        <w:t>PE = paired end</w:t>
      </w:r>
    </w:p>
    <w:p w:rsidR="00AE20E7" w:rsidP="00FB74B4" w:rsidRDefault="00AE20E7" w14:paraId="582CD33A" w14:textId="4AB1F5C7">
      <w:r>
        <w:tab/>
      </w:r>
      <w:r>
        <w:t>The 12S (</w:t>
      </w:r>
      <w:r w:rsidR="00BB240C">
        <w:t xml:space="preserve">ribosomal RNA) libraries </w:t>
      </w:r>
      <w:r w:rsidR="00AD79C1">
        <w:t xml:space="preserve">(12S A and 12S B) </w:t>
      </w:r>
      <w:r w:rsidR="00BB240C">
        <w:t xml:space="preserve">were prepared to a final concentration of 7pM with a 20% </w:t>
      </w:r>
      <w:proofErr w:type="spellStart"/>
      <w:r w:rsidR="00BB240C">
        <w:t>PhiX</w:t>
      </w:r>
      <w:proofErr w:type="spellEnd"/>
      <w:r w:rsidR="00BB240C">
        <w:t xml:space="preserve"> spik</w:t>
      </w:r>
      <w:r w:rsidR="00ED2059">
        <w:t>e</w:t>
      </w:r>
      <w:r w:rsidR="00BB240C">
        <w:t>-in</w:t>
      </w:r>
      <w:r w:rsidR="00AD79C1">
        <w:t xml:space="preserve"> (7pM)</w:t>
      </w:r>
      <w:r w:rsidR="00BB240C">
        <w:t>.</w:t>
      </w:r>
      <w:r w:rsidR="00AD79C1">
        <w:t xml:space="preserve"> The sequencing runs for both libraries looked good, with output quality metrics being close to or within optimal ranges for the kit chemistry (Table 6). Library 12S A was run a second time because a power outage interrupted the </w:t>
      </w:r>
      <w:proofErr w:type="spellStart"/>
      <w:r w:rsidR="00AD79C1">
        <w:t>MiSeq</w:t>
      </w:r>
      <w:proofErr w:type="spellEnd"/>
      <w:r w:rsidR="00AD79C1">
        <w:t xml:space="preserve"> run and only partial data were collected. </w:t>
      </w:r>
    </w:p>
    <w:p w:rsidR="00FB74B4" w:rsidP="00FB74B4" w:rsidRDefault="00FB74B4" w14:paraId="4D3FF1E2" w14:textId="234870C1">
      <w:pPr>
        <w:pStyle w:val="Heading2"/>
      </w:pPr>
      <w:r>
        <w:t xml:space="preserve">6.  </w:t>
      </w:r>
      <w:r w:rsidRPr="00FB74B4">
        <w:t xml:space="preserve">Provide </w:t>
      </w:r>
      <w:r>
        <w:t>R</w:t>
      </w:r>
      <w:r w:rsidRPr="00FB74B4">
        <w:t xml:space="preserve">aw </w:t>
      </w:r>
      <w:r>
        <w:t>S</w:t>
      </w:r>
      <w:r w:rsidRPr="00FB74B4">
        <w:t xml:space="preserve">equencing </w:t>
      </w:r>
      <w:r>
        <w:t>D</w:t>
      </w:r>
      <w:r w:rsidRPr="00FB74B4">
        <w:t>ata</w:t>
      </w:r>
    </w:p>
    <w:p w:rsidR="00FB74B4" w:rsidP="005B5E58" w:rsidRDefault="005B5E58" w14:paraId="66FBB38D" w14:textId="4CD84C25">
      <w:pPr>
        <w:ind w:firstLine="720"/>
      </w:pPr>
      <w:r>
        <w:t>The s</w:t>
      </w:r>
      <w:r w:rsidRPr="005B5E58">
        <w:t>equence data for each of the COI</w:t>
      </w:r>
      <w:r>
        <w:t>-1</w:t>
      </w:r>
      <w:r w:rsidRPr="005B5E58">
        <w:t xml:space="preserve"> and 12S library sequencing runs were retrieved from the </w:t>
      </w:r>
      <w:proofErr w:type="spellStart"/>
      <w:r w:rsidRPr="005B5E58">
        <w:t>MiSeq</w:t>
      </w:r>
      <w:proofErr w:type="spellEnd"/>
      <w:r w:rsidRPr="005B5E58">
        <w:t xml:space="preserve">. </w:t>
      </w:r>
      <w:r>
        <w:t xml:space="preserve">The </w:t>
      </w:r>
      <w:r w:rsidRPr="005B5E58">
        <w:t>sequence data (.</w:t>
      </w:r>
      <w:proofErr w:type="spellStart"/>
      <w:r w:rsidRPr="005B5E58">
        <w:t>fasta</w:t>
      </w:r>
      <w:proofErr w:type="spellEnd"/>
      <w:r w:rsidRPr="005B5E58">
        <w:t>) and metadata were uploaded to the shared Teams project</w:t>
      </w:r>
      <w:r>
        <w:t xml:space="preserve"> page</w:t>
      </w:r>
      <w:r w:rsidRPr="005B5E58">
        <w:t xml:space="preserve"> “APC02</w:t>
      </w:r>
      <w:r>
        <w:t>64</w:t>
      </w:r>
      <w:r w:rsidRPr="005B5E58">
        <w:t xml:space="preserve"> </w:t>
      </w:r>
      <w:proofErr w:type="spellStart"/>
      <w:r>
        <w:t>Perley</w:t>
      </w:r>
      <w:proofErr w:type="spellEnd"/>
      <w:r>
        <w:t xml:space="preserve"> Offshore Collection</w:t>
      </w:r>
      <w:r w:rsidRPr="005B5E58">
        <w:t>”.</w:t>
      </w:r>
    </w:p>
    <w:p w:rsidRPr="00BA1EBB" w:rsidR="00E7163A" w:rsidP="00CB029C" w:rsidRDefault="00E7051E" w14:paraId="21F4DFCC" w14:textId="721C8D61">
      <w:pPr>
        <w:pStyle w:val="Heading2"/>
      </w:pPr>
      <w:r w:rsidRPr="00CB029C">
        <w:t>Conclusion</w:t>
      </w:r>
      <w:r w:rsidRPr="00CB029C" w:rsidR="00BA1EBB">
        <w:t>s</w:t>
      </w:r>
    </w:p>
    <w:p w:rsidR="00E7051E" w:rsidP="00F14108" w:rsidRDefault="007A5DCF" w14:paraId="4A3A5865" w14:textId="54D8E059">
      <w:pPr>
        <w:pStyle w:val="Heading5"/>
        <w:numPr>
          <w:ilvl w:val="0"/>
          <w:numId w:val="17"/>
        </w:numPr>
      </w:pPr>
      <w:r w:rsidRPr="00EE1B2A">
        <w:t xml:space="preserve">Extract </w:t>
      </w:r>
      <w:r w:rsidRPr="00EE1B2A" w:rsidR="00F968E8">
        <w:t xml:space="preserve">&amp; quantify </w:t>
      </w:r>
      <w:r w:rsidR="00FB74B4">
        <w:t>14</w:t>
      </w:r>
      <w:r w:rsidRPr="00EE1B2A" w:rsidR="00F968E8">
        <w:t>0 e</w:t>
      </w:r>
      <w:r w:rsidRPr="00EE1B2A" w:rsidR="00E7051E">
        <w:t>DNA</w:t>
      </w:r>
    </w:p>
    <w:p w:rsidR="00766336" w:rsidP="000D1322" w:rsidRDefault="000D1322" w14:paraId="12E48553" w14:textId="150E9F00">
      <w:pPr>
        <w:pStyle w:val="ListParagraph"/>
        <w:numPr>
          <w:ilvl w:val="0"/>
          <w:numId w:val="14"/>
        </w:numPr>
      </w:pPr>
      <w:r>
        <w:t>95 samples (</w:t>
      </w:r>
      <w:proofErr w:type="spellStart"/>
      <w:r>
        <w:t>SmithRoot</w:t>
      </w:r>
      <w:proofErr w:type="spellEnd"/>
      <w:r>
        <w:t xml:space="preserve"> filters preserved in ethanol) from SAB were initially provided to the ABL, followed by 17 samples (“sponge” filters preserved in DNA/RNA Shield).</w:t>
      </w:r>
    </w:p>
    <w:p w:rsidR="00CB029C" w:rsidP="00CB029C" w:rsidRDefault="000D1322" w14:paraId="366DDBAA" w14:textId="77777777">
      <w:pPr>
        <w:pStyle w:val="ListParagraph"/>
        <w:numPr>
          <w:ilvl w:val="0"/>
          <w:numId w:val="14"/>
        </w:numPr>
      </w:pPr>
      <w:r>
        <w:t>Another 2</w:t>
      </w:r>
      <w:r w:rsidR="00CB029C">
        <w:t>8</w:t>
      </w:r>
      <w:r>
        <w:t xml:space="preserve"> samples (</w:t>
      </w:r>
      <w:proofErr w:type="spellStart"/>
      <w:r>
        <w:t>SmithRoot</w:t>
      </w:r>
      <w:proofErr w:type="spellEnd"/>
      <w:r>
        <w:t xml:space="preserve"> filters preserved in ethanol) from the fall AZMP were </w:t>
      </w:r>
      <w:r w:rsidR="00CB029C">
        <w:t>later provided.</w:t>
      </w:r>
    </w:p>
    <w:p w:rsidRPr="00766336" w:rsidR="00CB029C" w:rsidP="00CB029C" w:rsidRDefault="00CB029C" w14:paraId="532B6C98" w14:textId="6EFE8CD6">
      <w:pPr>
        <w:pStyle w:val="ListParagraph"/>
        <w:numPr>
          <w:ilvl w:val="0"/>
          <w:numId w:val="14"/>
        </w:numPr>
      </w:pPr>
      <w:r>
        <w:t xml:space="preserve">All samples were extracted from half-filter using Qiagen’s DNeasy Blood and Tissue kit for the </w:t>
      </w:r>
      <w:proofErr w:type="spellStart"/>
      <w:r>
        <w:t>QIAcube</w:t>
      </w:r>
      <w:proofErr w:type="spellEnd"/>
      <w:r>
        <w:t>, with 14 Extraction Negatives being generated. The DNA was quantified using the Qubit dsDNA HS Assay for the Qubit v4.</w:t>
      </w:r>
    </w:p>
    <w:p w:rsidR="00A928E4" w:rsidP="00F14108" w:rsidRDefault="00307C15" w14:paraId="44BF7543" w14:textId="5EA8A523">
      <w:pPr>
        <w:pStyle w:val="Heading5"/>
        <w:numPr>
          <w:ilvl w:val="0"/>
          <w:numId w:val="17"/>
        </w:numPr>
      </w:pPr>
      <w:r>
        <w:t>Optimize assays and apply to a subset of 114 samples</w:t>
      </w:r>
    </w:p>
    <w:p w:rsidR="00307C15" w:rsidP="009C55C8" w:rsidRDefault="00307C15" w14:paraId="1F850773" w14:textId="4E346B5F">
      <w:pPr>
        <w:pStyle w:val="ListParagraph"/>
        <w:numPr>
          <w:ilvl w:val="0"/>
          <w:numId w:val="16"/>
        </w:numPr>
      </w:pPr>
      <w:r>
        <w:t>Assays for Atlantic cod, Atlantic halibut, and Atlantic wolffish were optimized</w:t>
      </w:r>
      <w:r w:rsidR="005B6DE1">
        <w:t>.</w:t>
      </w:r>
    </w:p>
    <w:p w:rsidR="005B6DE1" w:rsidP="009C55C8" w:rsidRDefault="005B6DE1" w14:paraId="6BE2E6C2" w14:textId="1D91376A">
      <w:pPr>
        <w:pStyle w:val="ListParagraph"/>
        <w:numPr>
          <w:ilvl w:val="0"/>
          <w:numId w:val="16"/>
        </w:numPr>
      </w:pPr>
      <w:r>
        <w:t>The assays were applied to 112 samples (including 11 Field Blanks) and 11 ENEGs.</w:t>
      </w:r>
    </w:p>
    <w:p w:rsidR="005B6DE1" w:rsidP="005B6DE1" w:rsidRDefault="005B6DE1" w14:paraId="27DEEA65" w14:textId="4189AFB5">
      <w:pPr>
        <w:pStyle w:val="ListParagraph"/>
        <w:numPr>
          <w:ilvl w:val="1"/>
          <w:numId w:val="16"/>
        </w:numPr>
      </w:pPr>
      <w:r>
        <w:t>At this point in the project only 112 samples had been provided. The AZPM samples had been provided much later and could not be processed with the assays.</w:t>
      </w:r>
    </w:p>
    <w:p w:rsidR="005B6DE1" w:rsidP="005B6DE1" w:rsidRDefault="005B6DE1" w14:paraId="118B1050" w14:textId="03279CAB">
      <w:pPr>
        <w:pStyle w:val="ListParagraph"/>
        <w:numPr>
          <w:ilvl w:val="0"/>
          <w:numId w:val="16"/>
        </w:numPr>
      </w:pPr>
      <w:r>
        <w:t>The IPC was applied to all samples with the A. lupus assay. No evidence for PCR inhibition was found.</w:t>
      </w:r>
    </w:p>
    <w:p w:rsidR="005B6DE1" w:rsidP="005B6DE1" w:rsidRDefault="005B6DE1" w14:paraId="4387EF30" w14:textId="12917886">
      <w:pPr>
        <w:pStyle w:val="ListParagraph"/>
        <w:numPr>
          <w:ilvl w:val="0"/>
          <w:numId w:val="16"/>
        </w:numPr>
      </w:pPr>
      <w:r>
        <w:t xml:space="preserve">The presence of </w:t>
      </w:r>
      <w:r w:rsidRPr="001D7E45">
        <w:rPr>
          <w:i/>
          <w:iCs/>
        </w:rPr>
        <w:t>A. lupus</w:t>
      </w:r>
      <w:r>
        <w:t xml:space="preserve"> was detected at 26 of the 32 stations screened</w:t>
      </w:r>
      <w:r w:rsidR="001D7E45">
        <w:t xml:space="preserve"> and inconclusive at the SAB_16 station.</w:t>
      </w:r>
    </w:p>
    <w:p w:rsidR="001D7E45" w:rsidP="005B6DE1" w:rsidRDefault="001D7E45" w14:paraId="54471E0A" w14:textId="412DE1AD">
      <w:pPr>
        <w:pStyle w:val="ListParagraph"/>
        <w:numPr>
          <w:ilvl w:val="0"/>
          <w:numId w:val="16"/>
        </w:numPr>
      </w:pPr>
      <w:r w:rsidRPr="001D7E45">
        <w:rPr>
          <w:i/>
          <w:iCs/>
        </w:rPr>
        <w:t xml:space="preserve">G. </w:t>
      </w:r>
      <w:proofErr w:type="spellStart"/>
      <w:r w:rsidRPr="001D7E45">
        <w:rPr>
          <w:i/>
          <w:iCs/>
        </w:rPr>
        <w:t>morhua</w:t>
      </w:r>
      <w:proofErr w:type="spellEnd"/>
      <w:r>
        <w:t xml:space="preserve"> was detected at 30 of the 32 stations. There were two inconclusive results for Field Blanks </w:t>
      </w:r>
      <w:r w:rsidRPr="001D7E45">
        <w:t>885030</w:t>
      </w:r>
      <w:r>
        <w:t xml:space="preserve"> and </w:t>
      </w:r>
      <w:r w:rsidRPr="001D7E45">
        <w:t>885095</w:t>
      </w:r>
      <w:r>
        <w:t>.</w:t>
      </w:r>
    </w:p>
    <w:p w:rsidR="001D7E45" w:rsidP="005B6DE1" w:rsidRDefault="001D7E45" w14:paraId="237377BE" w14:textId="3017AA8E">
      <w:pPr>
        <w:pStyle w:val="ListParagraph"/>
        <w:numPr>
          <w:ilvl w:val="0"/>
          <w:numId w:val="16"/>
        </w:numPr>
      </w:pPr>
      <w:r>
        <w:t xml:space="preserve">There were no confident detections of </w:t>
      </w:r>
      <w:r w:rsidRPr="001D7E45">
        <w:rPr>
          <w:i/>
          <w:iCs/>
        </w:rPr>
        <w:t xml:space="preserve">H. </w:t>
      </w:r>
      <w:proofErr w:type="spellStart"/>
      <w:r w:rsidRPr="001D7E45">
        <w:rPr>
          <w:i/>
          <w:iCs/>
        </w:rPr>
        <w:t>hippoglossus</w:t>
      </w:r>
      <w:proofErr w:type="spellEnd"/>
      <w:r>
        <w:t xml:space="preserve"> at any of the stations, but there were six stations with inconclusive results (CURDO_2, CURDO_5, CURDO_9, SAB_10, SAB_13, and CAM_34), as well as one Field Blank (</w:t>
      </w:r>
      <w:r w:rsidRPr="001D7E45">
        <w:t>885030</w:t>
      </w:r>
      <w:r>
        <w:t>).</w:t>
      </w:r>
    </w:p>
    <w:p w:rsidR="00E77215" w:rsidP="00E77215" w:rsidRDefault="00E77215" w14:paraId="267DF582" w14:textId="4F6C1095">
      <w:pPr>
        <w:pStyle w:val="Heading5"/>
        <w:numPr>
          <w:ilvl w:val="0"/>
          <w:numId w:val="17"/>
        </w:numPr>
      </w:pPr>
      <w:r>
        <w:t xml:space="preserve">Develop libraries for COI-1 and 12S and sequence on the </w:t>
      </w:r>
      <w:proofErr w:type="spellStart"/>
      <w:r>
        <w:t>MiSeq</w:t>
      </w:r>
      <w:proofErr w:type="spellEnd"/>
    </w:p>
    <w:p w:rsidR="00E77215" w:rsidP="0076289E" w:rsidRDefault="0076289E" w14:paraId="42E2A9AE" w14:textId="6909996E">
      <w:pPr>
        <w:pStyle w:val="ListParagraph"/>
        <w:numPr>
          <w:ilvl w:val="0"/>
          <w:numId w:val="19"/>
        </w:numPr>
      </w:pPr>
      <w:r>
        <w:t>Two libraries were produced (each with 77 randomized samples) for both COI-1 and 12S, for a total of 4 libraries.</w:t>
      </w:r>
    </w:p>
    <w:p w:rsidR="0076289E" w:rsidP="0076289E" w:rsidRDefault="006039FC" w14:paraId="071A5330" w14:textId="7D4FF929">
      <w:pPr>
        <w:pStyle w:val="ListParagraph"/>
        <w:numPr>
          <w:ilvl w:val="0"/>
          <w:numId w:val="19"/>
        </w:numPr>
        <w:rPr/>
      </w:pPr>
      <w:r w:rsidR="006039FC">
        <w:rPr/>
        <w:t xml:space="preserve">The COI-1 libraries were successfully sequenced on the </w:t>
      </w:r>
      <w:r w:rsidR="006039FC">
        <w:rPr/>
        <w:t>MiSeq</w:t>
      </w:r>
      <w:r w:rsidR="006039FC">
        <w:rPr/>
        <w:t xml:space="preserve">. However, there was some evidence for over-clustering on the flow cells. As a </w:t>
      </w:r>
      <w:r w:rsidR="37BA50B6">
        <w:rPr/>
        <w:t>result,</w:t>
      </w:r>
      <w:r w:rsidR="006039FC">
        <w:rPr/>
        <w:t xml:space="preserve"> the </w:t>
      </w:r>
      <w:r w:rsidR="00644BE7">
        <w:rPr/>
        <w:t xml:space="preserve">output quality metrics were not as </w:t>
      </w:r>
      <w:r w:rsidR="00644BE7">
        <w:rPr/>
        <w:t>optimal</w:t>
      </w:r>
      <w:r w:rsidR="00644BE7">
        <w:rPr/>
        <w:t xml:space="preserve"> as in </w:t>
      </w:r>
      <w:r w:rsidR="00644BE7">
        <w:rPr/>
        <w:t>previous</w:t>
      </w:r>
      <w:r w:rsidR="00644BE7">
        <w:rPr/>
        <w:t xml:space="preserve"> projects. For future COI-1 libraries, the target cluster density should be between 800-900 K/mm</w:t>
      </w:r>
      <w:r w:rsidRPr="49FD9C41" w:rsidR="00644BE7">
        <w:rPr>
          <w:vertAlign w:val="superscript"/>
        </w:rPr>
        <w:t>2</w:t>
      </w:r>
      <w:r w:rsidR="00644BE7">
        <w:rPr/>
        <w:t xml:space="preserve">. This is </w:t>
      </w:r>
      <w:r w:rsidR="00644BE7">
        <w:rPr/>
        <w:t>roughly 30%</w:t>
      </w:r>
      <w:r w:rsidR="00644BE7">
        <w:rPr/>
        <w:t xml:space="preserve"> below the </w:t>
      </w:r>
      <w:r w:rsidR="00644BE7">
        <w:rPr/>
        <w:t>optimal</w:t>
      </w:r>
      <w:r w:rsidR="00644BE7">
        <w:rPr/>
        <w:t xml:space="preserve"> range for the v3 kit chemistry.</w:t>
      </w:r>
    </w:p>
    <w:p w:rsidR="00644BE7" w:rsidP="0076289E" w:rsidRDefault="00C53206" w14:paraId="4EB16FF4" w14:textId="5B0EA860">
      <w:pPr>
        <w:pStyle w:val="ListParagraph"/>
        <w:numPr>
          <w:ilvl w:val="0"/>
          <w:numId w:val="19"/>
        </w:numPr>
      </w:pPr>
      <w:r>
        <w:t xml:space="preserve">The 12S libraries were also successfully sequenced on the </w:t>
      </w:r>
      <w:proofErr w:type="spellStart"/>
      <w:r>
        <w:t>MiSeq</w:t>
      </w:r>
      <w:proofErr w:type="spellEnd"/>
      <w:r>
        <w:t>. There were no obvious issues with the runs; the sequencing output values were within optimal ranges.</w:t>
      </w:r>
    </w:p>
    <w:p w:rsidRPr="00E77215" w:rsidR="00C53206" w:rsidP="0076289E" w:rsidRDefault="00C53206" w14:paraId="274E145A" w14:textId="6B706560">
      <w:pPr>
        <w:pStyle w:val="ListParagraph"/>
        <w:numPr>
          <w:ilvl w:val="0"/>
          <w:numId w:val="19"/>
        </w:numPr>
      </w:pPr>
      <w:r>
        <w:t>The raw sequencing data for the COI-1 and 12S libraries</w:t>
      </w:r>
      <w:r w:rsidR="000C61CC">
        <w:t xml:space="preserve"> were uploaded to the Teams project page, “APC0264 </w:t>
      </w:r>
      <w:proofErr w:type="spellStart"/>
      <w:r w:rsidR="000C61CC">
        <w:t>Perley</w:t>
      </w:r>
      <w:proofErr w:type="spellEnd"/>
      <w:r w:rsidR="000C61CC">
        <w:t xml:space="preserve"> Offshore Collection”.</w:t>
      </w:r>
    </w:p>
    <w:p w:rsidRPr="00856D17" w:rsidR="006F75C4" w:rsidP="00C53206" w:rsidRDefault="006F75C4" w14:paraId="02D0B7D4" w14:textId="1DA6D728">
      <w:pPr>
        <w:pStyle w:val="Heading2"/>
      </w:pPr>
      <w:r w:rsidRPr="00C53206">
        <w:t>References</w:t>
      </w:r>
    </w:p>
    <w:p w:rsidR="000C61CC" w:rsidP="000C61CC" w:rsidRDefault="000C61CC" w14:paraId="2C885271" w14:textId="77777777">
      <w:pPr>
        <w:pStyle w:val="NoSpacing"/>
      </w:pPr>
      <w:bookmarkStart w:name="_Hlk190702295" w:id="1"/>
    </w:p>
    <w:p w:rsidR="00AF1151" w:rsidP="000C61CC" w:rsidRDefault="00AF1151" w14:paraId="72489E09" w14:textId="65EE1F21">
      <w:pPr>
        <w:pStyle w:val="NoSpacing"/>
      </w:pPr>
      <w:proofErr w:type="spellStart"/>
      <w:r w:rsidRPr="00ED2059">
        <w:rPr>
          <w:lang w:val="en-US"/>
        </w:rPr>
        <w:t>Chevrinais</w:t>
      </w:r>
      <w:proofErr w:type="spellEnd"/>
      <w:r w:rsidRPr="00ED2059">
        <w:rPr>
          <w:lang w:val="en-US"/>
        </w:rPr>
        <w:t xml:space="preserve">, M., and Parent, G.J. (2023). </w:t>
      </w:r>
      <w:r w:rsidRPr="00AF1151">
        <w:t>A validated targeted assay for environmental DNA detections of the Atlantic wolffish (</w:t>
      </w:r>
      <w:proofErr w:type="spellStart"/>
      <w:r w:rsidRPr="00AF1151">
        <w:t>Anarhichas</w:t>
      </w:r>
      <w:proofErr w:type="spellEnd"/>
      <w:r w:rsidRPr="00AF1151">
        <w:t xml:space="preserve"> lupus). Conservation Genetics Resources 15, 59–66. </w:t>
      </w:r>
      <w:hyperlink w:history="1" r:id="rId9">
        <w:r w:rsidRPr="0097418C">
          <w:rPr>
            <w:rStyle w:val="Hyperlink"/>
          </w:rPr>
          <w:t>https://doi.org/10.1007/s12686-023-01302-w</w:t>
        </w:r>
      </w:hyperlink>
      <w:r>
        <w:t xml:space="preserve"> </w:t>
      </w:r>
    </w:p>
    <w:p w:rsidR="00AF1151" w:rsidP="000C61CC" w:rsidRDefault="00AF1151" w14:paraId="46DF9D30" w14:textId="77777777">
      <w:pPr>
        <w:pStyle w:val="NoSpacing"/>
      </w:pPr>
    </w:p>
    <w:p w:rsidR="001232CF" w:rsidP="000C61CC" w:rsidRDefault="001232CF" w14:paraId="4288A09E" w14:textId="66E3A937">
      <w:pPr>
        <w:pStyle w:val="NoSpacing"/>
      </w:pPr>
      <w:r w:rsidRPr="001232CF">
        <w:t xml:space="preserve">Dufault, M.N., Olson, Z.H., </w:t>
      </w:r>
      <w:proofErr w:type="spellStart"/>
      <w:r w:rsidRPr="001232CF">
        <w:t>Mellone</w:t>
      </w:r>
      <w:proofErr w:type="spellEnd"/>
      <w:r w:rsidRPr="001232CF">
        <w:t xml:space="preserve">, D.M., Flanders, K.R., and Ono, K.A. (2021). Flatfish may be underestimated in the diet of gray seals (Halichoerus </w:t>
      </w:r>
      <w:proofErr w:type="spellStart"/>
      <w:r w:rsidRPr="001232CF">
        <w:t>grypus</w:t>
      </w:r>
      <w:proofErr w:type="spellEnd"/>
      <w:r w:rsidRPr="001232CF">
        <w:t xml:space="preserve">). Canadian Journal of Zoology 99(3), 227-234. </w:t>
      </w:r>
      <w:hyperlink w:history="1" r:id="rId10">
        <w:r w:rsidRPr="0097418C">
          <w:rPr>
            <w:rStyle w:val="Hyperlink"/>
          </w:rPr>
          <w:t>https://doi.org/10.1139/cjz-2020-0145</w:t>
        </w:r>
      </w:hyperlink>
      <w:r w:rsidRPr="001232CF">
        <w:t>.</w:t>
      </w:r>
    </w:p>
    <w:p w:rsidR="001232CF" w:rsidP="000C61CC" w:rsidRDefault="001232CF" w14:paraId="694A246A" w14:textId="77777777">
      <w:pPr>
        <w:pStyle w:val="NoSpacing"/>
      </w:pPr>
    </w:p>
    <w:p w:rsidR="000C61CC" w:rsidP="000C61CC" w:rsidRDefault="000C61CC" w14:paraId="2C177DA8" w14:textId="1B9BC95C">
      <w:pPr>
        <w:pStyle w:val="NoSpacing"/>
      </w:pPr>
      <w:r>
        <w:t>Geller, J., Meyer, C., Parker, M., and Hawk, H. (2013). Redesign of PCR primers for mitochondrial cytochrome c oxidase subunit I for marine invertebrates and application in all-taxa biotic surveys. Molecular Ecology Resources 13, 851-861.</w:t>
      </w:r>
      <w:bookmarkEnd w:id="1"/>
    </w:p>
    <w:p w:rsidR="000C61CC" w:rsidP="000C61CC" w:rsidRDefault="000C61CC" w14:paraId="4A67F9B7" w14:textId="77777777">
      <w:pPr>
        <w:pStyle w:val="NoSpacing"/>
      </w:pPr>
    </w:p>
    <w:p w:rsidR="000C61CC" w:rsidP="000C61CC" w:rsidRDefault="000C61CC" w14:paraId="1C3C4FF4" w14:textId="77777777">
      <w:pPr>
        <w:pStyle w:val="NoSpacing"/>
      </w:pPr>
      <w:r>
        <w:t>He, X., Jeffery, N.W., Stanley, R.R.E., Hamilton, L.C., Rubidge, E.M., and Abbott, C.L. (2023). eDNA metabarcoding enriches traditional trawl survey data for monitoring biodiversity in the marine environment. ICES Journal of Marine Science 80, 1529-1538.</w:t>
      </w:r>
    </w:p>
    <w:p w:rsidR="000C61CC" w:rsidP="000C61CC" w:rsidRDefault="000C61CC" w14:paraId="677F3701" w14:textId="77777777">
      <w:pPr>
        <w:pStyle w:val="NoSpacing"/>
      </w:pPr>
    </w:p>
    <w:p w:rsidR="000C61CC" w:rsidP="000C61CC" w:rsidRDefault="000C61CC" w14:paraId="50D406C7" w14:textId="11E3B40E">
      <w:pPr>
        <w:pStyle w:val="NoSpacing"/>
      </w:pPr>
      <w:r>
        <w:t>He, X., Stanley, R.R.E., Rubidge, E.M., Jeffery, N.W., Hamilton, L.C., Westfall, K.M., Gilmore, S.R., Roux, L-M.D., Gale, K.S.P., Heaslip, S.G., et al. (2022). Fish community surveys in eelgrass beds using both eDNA metabarcoding and seining: implications for biodiversity monitoring in the coastal zone. Canadian Journal of Fisheries and Aquatic Sciences 79, 1335–1346.</w:t>
      </w:r>
    </w:p>
    <w:p w:rsidR="001232CF" w:rsidP="000C61CC" w:rsidRDefault="001232CF" w14:paraId="5A7EEB0B" w14:textId="77777777">
      <w:pPr>
        <w:pStyle w:val="NoSpacing"/>
      </w:pPr>
    </w:p>
    <w:p w:rsidR="001232CF" w:rsidP="000C61CC" w:rsidRDefault="001232CF" w14:paraId="2FC922E0" w14:textId="472718B8">
      <w:pPr>
        <w:pStyle w:val="NoSpacing"/>
      </w:pPr>
      <w:r w:rsidRPr="001232CF">
        <w:t xml:space="preserve">Knudsen, S.W.,  Ebert, R.B., </w:t>
      </w:r>
      <w:proofErr w:type="spellStart"/>
      <w:r w:rsidRPr="001232CF">
        <w:t>Hesselsøe</w:t>
      </w:r>
      <w:proofErr w:type="spellEnd"/>
      <w:r w:rsidRPr="001232CF">
        <w:t xml:space="preserve">, M., </w:t>
      </w:r>
      <w:proofErr w:type="spellStart"/>
      <w:r w:rsidRPr="001232CF">
        <w:t>Kuntke</w:t>
      </w:r>
      <w:proofErr w:type="spellEnd"/>
      <w:r w:rsidRPr="001232CF">
        <w:t xml:space="preserve">, F., </w:t>
      </w:r>
      <w:proofErr w:type="spellStart"/>
      <w:r w:rsidRPr="001232CF">
        <w:t>Hassingboe</w:t>
      </w:r>
      <w:proofErr w:type="spellEnd"/>
      <w:r w:rsidRPr="001232CF">
        <w:t xml:space="preserve">, J., Mortensen, P.B., Thomsen, P.F., </w:t>
      </w:r>
      <w:proofErr w:type="spellStart"/>
      <w:r w:rsidRPr="001232CF">
        <w:t>Sigsgaard</w:t>
      </w:r>
      <w:proofErr w:type="spellEnd"/>
      <w:r w:rsidRPr="001232CF">
        <w:t xml:space="preserve">, E.E., Hansen, B.K., Nielsen, E.E., and </w:t>
      </w:r>
      <w:proofErr w:type="spellStart"/>
      <w:r w:rsidRPr="001232CF">
        <w:t>Møller</w:t>
      </w:r>
      <w:proofErr w:type="spellEnd"/>
      <w:r w:rsidRPr="001232CF">
        <w:t xml:space="preserve">, P.R. (2019). Species-specific detection and </w:t>
      </w:r>
      <w:r w:rsidRPr="001232CF">
        <w:t xml:space="preserve">quantification of environmental DNA from marine fishes in the Baltic Sea. Journal of Experimental Marine Biology and Ecology 510, 31-45. </w:t>
      </w:r>
      <w:hyperlink w:history="1" r:id="rId11">
        <w:r w:rsidRPr="0097418C">
          <w:rPr>
            <w:rStyle w:val="Hyperlink"/>
          </w:rPr>
          <w:t>https://doi.org/10.1016/j.jembe.2018.09.004</w:t>
        </w:r>
      </w:hyperlink>
      <w:r w:rsidRPr="001232CF">
        <w:t>.</w:t>
      </w:r>
      <w:r>
        <w:t xml:space="preserve"> </w:t>
      </w:r>
    </w:p>
    <w:p w:rsidR="000C61CC" w:rsidP="000C61CC" w:rsidRDefault="000C61CC" w14:paraId="16A39089" w14:textId="77777777">
      <w:pPr>
        <w:pStyle w:val="NoSpacing"/>
      </w:pPr>
    </w:p>
    <w:p w:rsidR="002632BF" w:rsidP="000C61CC" w:rsidRDefault="000C61CC" w14:paraId="0E8A6FF3" w14:textId="166E0ADD">
      <w:pPr>
        <w:pStyle w:val="NoSpacing"/>
      </w:pPr>
      <w:r>
        <w:t xml:space="preserve">Lacoursière-Roussel, A., Howland, K., </w:t>
      </w:r>
      <w:proofErr w:type="spellStart"/>
      <w:r>
        <w:t>Normandeau</w:t>
      </w:r>
      <w:proofErr w:type="spellEnd"/>
      <w:r>
        <w:t xml:space="preserve">, E., Grey, E.K., Archambault, P., </w:t>
      </w:r>
      <w:proofErr w:type="spellStart"/>
      <w:r>
        <w:t>Deiner</w:t>
      </w:r>
      <w:proofErr w:type="spellEnd"/>
      <w:r>
        <w:t xml:space="preserve">, K., Lodge, D.M., Hernandez, C., Leduc, N., and </w:t>
      </w:r>
      <w:proofErr w:type="spellStart"/>
      <w:r>
        <w:t>Bernatchez</w:t>
      </w:r>
      <w:proofErr w:type="spellEnd"/>
      <w:r>
        <w:t>, L. (2018). eDNA metabarcoding as a new surveillance approach for coastal Arctic biodiversity. Ecology and Evolution 8, 7763-7777.</w:t>
      </w:r>
    </w:p>
    <w:p w:rsidR="000C61CC" w:rsidP="000C61CC" w:rsidRDefault="000C61CC" w14:paraId="63AA3A1E" w14:textId="77777777">
      <w:pPr>
        <w:pStyle w:val="NoSpacing"/>
      </w:pPr>
    </w:p>
    <w:p w:rsidRPr="000C61CC" w:rsidR="006F75C4" w:rsidP="000C61CC" w:rsidRDefault="000C61CC" w14:paraId="463D3376" w14:textId="5BF5116C">
      <w:pPr>
        <w:pStyle w:val="NoSpacing"/>
      </w:pPr>
      <w:r w:rsidRPr="000C61CC">
        <w:t xml:space="preserve">Miya, M., Sato, Y., Fukunaga, T., </w:t>
      </w:r>
      <w:proofErr w:type="spellStart"/>
      <w:r w:rsidRPr="000C61CC">
        <w:t>Sado</w:t>
      </w:r>
      <w:proofErr w:type="spellEnd"/>
      <w:r w:rsidRPr="000C61CC">
        <w:t xml:space="preserve">, T., Poulsen, J.Y., Sato, K., Minamoto, T., Yamamoto, S., Yamanaka, H., Araki, H., et al. (2015). </w:t>
      </w:r>
      <w:proofErr w:type="spellStart"/>
      <w:r w:rsidRPr="000C61CC">
        <w:t>MiFish</w:t>
      </w:r>
      <w:proofErr w:type="spellEnd"/>
      <w:r w:rsidRPr="000C61CC">
        <w:t>, a set of universal PCR primers for metabarcoding environmental DNA from fishes: detection of more than 230 subtropical marine species. Royal Society Open Science 2, 150088.</w:t>
      </w:r>
    </w:p>
    <w:p w:rsidRPr="001738DF" w:rsidR="006F75C4" w:rsidP="00444954" w:rsidRDefault="006F75C4" w14:paraId="0144A1FC" w14:textId="77777777"/>
    <w:sectPr w:rsidRPr="001738DF" w:rsidR="006F75C4">
      <w:footerReference w:type="default" r:id="rId12"/>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077E" w:rsidP="00C30495" w:rsidRDefault="0093077E" w14:paraId="408494CA" w14:textId="77777777">
      <w:pPr>
        <w:spacing w:after="0" w:line="240" w:lineRule="auto"/>
      </w:pPr>
      <w:r>
        <w:separator/>
      </w:r>
    </w:p>
  </w:endnote>
  <w:endnote w:type="continuationSeparator" w:id="0">
    <w:p w:rsidR="0093077E" w:rsidP="00C30495" w:rsidRDefault="0093077E" w14:paraId="541AC5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281096"/>
      <w:docPartObj>
        <w:docPartGallery w:val="Page Numbers (Bottom of Page)"/>
        <w:docPartUnique/>
      </w:docPartObj>
    </w:sdtPr>
    <w:sdtEndPr>
      <w:rPr>
        <w:noProof/>
      </w:rPr>
    </w:sdtEndPr>
    <w:sdtContent>
      <w:p w:rsidR="0093077E" w:rsidRDefault="0093077E" w14:paraId="228C66B8" w14:textId="77777777">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rsidR="0093077E" w:rsidRDefault="0093077E" w14:paraId="7F4D717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077E" w:rsidP="00C30495" w:rsidRDefault="0093077E" w14:paraId="25C4F710" w14:textId="77777777">
      <w:pPr>
        <w:spacing w:after="0" w:line="240" w:lineRule="auto"/>
      </w:pPr>
      <w:r>
        <w:separator/>
      </w:r>
    </w:p>
  </w:footnote>
  <w:footnote w:type="continuationSeparator" w:id="0">
    <w:p w:rsidR="0093077E" w:rsidP="00C30495" w:rsidRDefault="0093077E" w14:paraId="0CEE172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966"/>
    <w:multiLevelType w:val="hybridMultilevel"/>
    <w:tmpl w:val="1FF66A0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A8957E5"/>
    <w:multiLevelType w:val="hybridMultilevel"/>
    <w:tmpl w:val="2CEA9A36"/>
    <w:lvl w:ilvl="0" w:tplc="7040C256">
      <w:start w:val="1"/>
      <w:numFmt w:val="decimal"/>
      <w:lvlText w:val="%1."/>
      <w:lvlJc w:val="left"/>
      <w:pPr>
        <w:ind w:left="720" w:hanging="360"/>
      </w:pPr>
      <w:rPr>
        <w:rFonts w:asciiTheme="minorHAnsi" w:hAnsiTheme="minorHAnsi" w:eastAsiaTheme="minorHAnsi"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392089"/>
    <w:multiLevelType w:val="hybridMultilevel"/>
    <w:tmpl w:val="A66884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6B5882"/>
    <w:multiLevelType w:val="hybridMultilevel"/>
    <w:tmpl w:val="939AEF1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D9394C"/>
    <w:multiLevelType w:val="hybridMultilevel"/>
    <w:tmpl w:val="D0C008D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2BDB1B85"/>
    <w:multiLevelType w:val="hybridMultilevel"/>
    <w:tmpl w:val="24E2643E"/>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8C2993"/>
    <w:multiLevelType w:val="hybridMultilevel"/>
    <w:tmpl w:val="50E00E2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4530119B"/>
    <w:multiLevelType w:val="hybridMultilevel"/>
    <w:tmpl w:val="3C90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958FD"/>
    <w:multiLevelType w:val="hybridMultilevel"/>
    <w:tmpl w:val="D20CD1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958AA"/>
    <w:multiLevelType w:val="hybridMultilevel"/>
    <w:tmpl w:val="EA1020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A1A6846"/>
    <w:multiLevelType w:val="hybridMultilevel"/>
    <w:tmpl w:val="07940E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D6D77FF"/>
    <w:multiLevelType w:val="hybridMultilevel"/>
    <w:tmpl w:val="731EC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0B126FA"/>
    <w:multiLevelType w:val="hybridMultilevel"/>
    <w:tmpl w:val="B396FE3A"/>
    <w:lvl w:ilvl="0" w:tplc="BB96DDC4">
      <w:start w:val="1"/>
      <w:numFmt w:val="lowerLetter"/>
      <w:lvlText w:val="%1."/>
      <w:lvlJc w:val="left"/>
      <w:pPr>
        <w:ind w:left="1440" w:hanging="360"/>
      </w:pPr>
      <w:rPr>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E4697"/>
    <w:multiLevelType w:val="hybridMultilevel"/>
    <w:tmpl w:val="A9CC94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662112A"/>
    <w:multiLevelType w:val="hybridMultilevel"/>
    <w:tmpl w:val="09126E58"/>
    <w:lvl w:ilvl="0" w:tplc="54825338">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69397717"/>
    <w:multiLevelType w:val="hybridMultilevel"/>
    <w:tmpl w:val="ACB880A8"/>
    <w:lvl w:ilvl="0" w:tplc="1009000F">
      <w:start w:val="5"/>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6BB96830"/>
    <w:multiLevelType w:val="hybridMultilevel"/>
    <w:tmpl w:val="D5D25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A0028"/>
    <w:multiLevelType w:val="hybridMultilevel"/>
    <w:tmpl w:val="4ED0012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7AA14DCB"/>
    <w:multiLevelType w:val="hybridMultilevel"/>
    <w:tmpl w:val="B706091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397947417">
    <w:abstractNumId w:val="10"/>
  </w:num>
  <w:num w:numId="2" w16cid:durableId="1468819811">
    <w:abstractNumId w:val="9"/>
  </w:num>
  <w:num w:numId="3" w16cid:durableId="1462654855">
    <w:abstractNumId w:val="11"/>
  </w:num>
  <w:num w:numId="4" w16cid:durableId="1233736448">
    <w:abstractNumId w:val="14"/>
  </w:num>
  <w:num w:numId="5" w16cid:durableId="1532183057">
    <w:abstractNumId w:val="13"/>
  </w:num>
  <w:num w:numId="6" w16cid:durableId="550270817">
    <w:abstractNumId w:val="1"/>
  </w:num>
  <w:num w:numId="7" w16cid:durableId="324819482">
    <w:abstractNumId w:val="3"/>
  </w:num>
  <w:num w:numId="8" w16cid:durableId="877623479">
    <w:abstractNumId w:val="18"/>
  </w:num>
  <w:num w:numId="9" w16cid:durableId="1687363038">
    <w:abstractNumId w:val="15"/>
  </w:num>
  <w:num w:numId="10" w16cid:durableId="619919479">
    <w:abstractNumId w:val="12"/>
  </w:num>
  <w:num w:numId="11" w16cid:durableId="1269582391">
    <w:abstractNumId w:val="5"/>
  </w:num>
  <w:num w:numId="12" w16cid:durableId="262078656">
    <w:abstractNumId w:val="8"/>
  </w:num>
  <w:num w:numId="13" w16cid:durableId="444347092">
    <w:abstractNumId w:val="6"/>
  </w:num>
  <w:num w:numId="14" w16cid:durableId="1780836036">
    <w:abstractNumId w:val="4"/>
  </w:num>
  <w:num w:numId="15" w16cid:durableId="356011203">
    <w:abstractNumId w:val="7"/>
  </w:num>
  <w:num w:numId="16" w16cid:durableId="1954704033">
    <w:abstractNumId w:val="0"/>
  </w:num>
  <w:num w:numId="17" w16cid:durableId="130943819">
    <w:abstractNumId w:val="16"/>
  </w:num>
  <w:num w:numId="18" w16cid:durableId="1606039572">
    <w:abstractNumId w:val="2"/>
  </w:num>
  <w:num w:numId="19" w16cid:durableId="423378443">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828"/>
    <w:rsid w:val="00003F4A"/>
    <w:rsid w:val="00005534"/>
    <w:rsid w:val="00006148"/>
    <w:rsid w:val="00011C3D"/>
    <w:rsid w:val="00013C59"/>
    <w:rsid w:val="0001469A"/>
    <w:rsid w:val="00015F00"/>
    <w:rsid w:val="00023A05"/>
    <w:rsid w:val="00067949"/>
    <w:rsid w:val="00070F81"/>
    <w:rsid w:val="0007348E"/>
    <w:rsid w:val="0007681B"/>
    <w:rsid w:val="00085D5C"/>
    <w:rsid w:val="00096451"/>
    <w:rsid w:val="000B6627"/>
    <w:rsid w:val="000B73C5"/>
    <w:rsid w:val="000C61CC"/>
    <w:rsid w:val="000D1322"/>
    <w:rsid w:val="000D37D5"/>
    <w:rsid w:val="000D726B"/>
    <w:rsid w:val="00101B36"/>
    <w:rsid w:val="00101D97"/>
    <w:rsid w:val="0011151F"/>
    <w:rsid w:val="001116AD"/>
    <w:rsid w:val="00116504"/>
    <w:rsid w:val="001232CF"/>
    <w:rsid w:val="00124641"/>
    <w:rsid w:val="00125283"/>
    <w:rsid w:val="001331CE"/>
    <w:rsid w:val="0014453F"/>
    <w:rsid w:val="00145841"/>
    <w:rsid w:val="0015082C"/>
    <w:rsid w:val="0015198C"/>
    <w:rsid w:val="001738DF"/>
    <w:rsid w:val="00181B6D"/>
    <w:rsid w:val="001831D6"/>
    <w:rsid w:val="00184814"/>
    <w:rsid w:val="0018583D"/>
    <w:rsid w:val="00196675"/>
    <w:rsid w:val="001D7E45"/>
    <w:rsid w:val="001E1F1E"/>
    <w:rsid w:val="001E2AB6"/>
    <w:rsid w:val="001E757B"/>
    <w:rsid w:val="001F1B0D"/>
    <w:rsid w:val="001F7E08"/>
    <w:rsid w:val="00204B9A"/>
    <w:rsid w:val="00207F6F"/>
    <w:rsid w:val="002117C0"/>
    <w:rsid w:val="00213FA2"/>
    <w:rsid w:val="002211EF"/>
    <w:rsid w:val="002305AF"/>
    <w:rsid w:val="0024330E"/>
    <w:rsid w:val="0024339E"/>
    <w:rsid w:val="00250FDA"/>
    <w:rsid w:val="0025431A"/>
    <w:rsid w:val="002632BF"/>
    <w:rsid w:val="00282A21"/>
    <w:rsid w:val="002848F0"/>
    <w:rsid w:val="002979D0"/>
    <w:rsid w:val="002A137E"/>
    <w:rsid w:val="002A159B"/>
    <w:rsid w:val="002A2F26"/>
    <w:rsid w:val="002A4981"/>
    <w:rsid w:val="002B070D"/>
    <w:rsid w:val="002C089C"/>
    <w:rsid w:val="002E5B71"/>
    <w:rsid w:val="002F49B2"/>
    <w:rsid w:val="002F506C"/>
    <w:rsid w:val="00307C15"/>
    <w:rsid w:val="0031676A"/>
    <w:rsid w:val="00322821"/>
    <w:rsid w:val="003461AF"/>
    <w:rsid w:val="003607EB"/>
    <w:rsid w:val="00364324"/>
    <w:rsid w:val="00366F5C"/>
    <w:rsid w:val="00372B9C"/>
    <w:rsid w:val="00375781"/>
    <w:rsid w:val="00380F91"/>
    <w:rsid w:val="003841F7"/>
    <w:rsid w:val="003853C6"/>
    <w:rsid w:val="00390C5C"/>
    <w:rsid w:val="003933AF"/>
    <w:rsid w:val="003A186A"/>
    <w:rsid w:val="003C263A"/>
    <w:rsid w:val="003C3389"/>
    <w:rsid w:val="003C7405"/>
    <w:rsid w:val="003D0C68"/>
    <w:rsid w:val="003E321B"/>
    <w:rsid w:val="003E6800"/>
    <w:rsid w:val="003F30C7"/>
    <w:rsid w:val="004005C8"/>
    <w:rsid w:val="00405E42"/>
    <w:rsid w:val="004217D4"/>
    <w:rsid w:val="00434FA0"/>
    <w:rsid w:val="00444954"/>
    <w:rsid w:val="00446528"/>
    <w:rsid w:val="00465182"/>
    <w:rsid w:val="00484D2B"/>
    <w:rsid w:val="004910BB"/>
    <w:rsid w:val="00494C82"/>
    <w:rsid w:val="004A4E47"/>
    <w:rsid w:val="004B640F"/>
    <w:rsid w:val="004C1FC4"/>
    <w:rsid w:val="004F42AF"/>
    <w:rsid w:val="00506863"/>
    <w:rsid w:val="005138D5"/>
    <w:rsid w:val="00537D83"/>
    <w:rsid w:val="00544334"/>
    <w:rsid w:val="00545180"/>
    <w:rsid w:val="00547197"/>
    <w:rsid w:val="00551CD2"/>
    <w:rsid w:val="00560198"/>
    <w:rsid w:val="00570CFF"/>
    <w:rsid w:val="0057736A"/>
    <w:rsid w:val="005B3E1D"/>
    <w:rsid w:val="005B5E58"/>
    <w:rsid w:val="005B6678"/>
    <w:rsid w:val="005B6DE1"/>
    <w:rsid w:val="005C1FE5"/>
    <w:rsid w:val="005C4E77"/>
    <w:rsid w:val="005E6D7B"/>
    <w:rsid w:val="005F2474"/>
    <w:rsid w:val="006039FC"/>
    <w:rsid w:val="006047D6"/>
    <w:rsid w:val="006068D3"/>
    <w:rsid w:val="00607850"/>
    <w:rsid w:val="006128A5"/>
    <w:rsid w:val="006418FA"/>
    <w:rsid w:val="00641B14"/>
    <w:rsid w:val="00642FB0"/>
    <w:rsid w:val="00644BE7"/>
    <w:rsid w:val="00647E43"/>
    <w:rsid w:val="006515DF"/>
    <w:rsid w:val="00661CFF"/>
    <w:rsid w:val="00664287"/>
    <w:rsid w:val="006772EC"/>
    <w:rsid w:val="00693655"/>
    <w:rsid w:val="006A1E9D"/>
    <w:rsid w:val="006A3C48"/>
    <w:rsid w:val="006A7C57"/>
    <w:rsid w:val="006B75FD"/>
    <w:rsid w:val="006F6CF2"/>
    <w:rsid w:val="006F75C4"/>
    <w:rsid w:val="00703828"/>
    <w:rsid w:val="00706234"/>
    <w:rsid w:val="00706A3C"/>
    <w:rsid w:val="00707B19"/>
    <w:rsid w:val="00713917"/>
    <w:rsid w:val="00716223"/>
    <w:rsid w:val="00725198"/>
    <w:rsid w:val="007279E7"/>
    <w:rsid w:val="007319E9"/>
    <w:rsid w:val="00732FDE"/>
    <w:rsid w:val="0074629C"/>
    <w:rsid w:val="007562E9"/>
    <w:rsid w:val="0076289E"/>
    <w:rsid w:val="00766336"/>
    <w:rsid w:val="00767C52"/>
    <w:rsid w:val="007823CC"/>
    <w:rsid w:val="007836CA"/>
    <w:rsid w:val="00797E7B"/>
    <w:rsid w:val="007A5DCF"/>
    <w:rsid w:val="007B7822"/>
    <w:rsid w:val="007C6A34"/>
    <w:rsid w:val="007D66B6"/>
    <w:rsid w:val="007E14CB"/>
    <w:rsid w:val="007F79A5"/>
    <w:rsid w:val="00812164"/>
    <w:rsid w:val="00812771"/>
    <w:rsid w:val="00844BFD"/>
    <w:rsid w:val="00846CC4"/>
    <w:rsid w:val="00856D17"/>
    <w:rsid w:val="00861140"/>
    <w:rsid w:val="00861B90"/>
    <w:rsid w:val="008868CA"/>
    <w:rsid w:val="00891C61"/>
    <w:rsid w:val="008A149B"/>
    <w:rsid w:val="008A3557"/>
    <w:rsid w:val="008B3447"/>
    <w:rsid w:val="008C0024"/>
    <w:rsid w:val="008D0E31"/>
    <w:rsid w:val="008F0BE3"/>
    <w:rsid w:val="008F18C0"/>
    <w:rsid w:val="008F341E"/>
    <w:rsid w:val="00902EAF"/>
    <w:rsid w:val="0090772F"/>
    <w:rsid w:val="0093077E"/>
    <w:rsid w:val="009344CF"/>
    <w:rsid w:val="00942C76"/>
    <w:rsid w:val="00952822"/>
    <w:rsid w:val="00956BC1"/>
    <w:rsid w:val="00965DFB"/>
    <w:rsid w:val="00970460"/>
    <w:rsid w:val="00971DE6"/>
    <w:rsid w:val="00976C4B"/>
    <w:rsid w:val="009930C6"/>
    <w:rsid w:val="009B0503"/>
    <w:rsid w:val="009D732C"/>
    <w:rsid w:val="009D74B6"/>
    <w:rsid w:val="009E3FA6"/>
    <w:rsid w:val="009E450B"/>
    <w:rsid w:val="009F129E"/>
    <w:rsid w:val="00A172F1"/>
    <w:rsid w:val="00A2156A"/>
    <w:rsid w:val="00A31832"/>
    <w:rsid w:val="00A33DC5"/>
    <w:rsid w:val="00A6382D"/>
    <w:rsid w:val="00A9155C"/>
    <w:rsid w:val="00A928E4"/>
    <w:rsid w:val="00AA4571"/>
    <w:rsid w:val="00AA4CA2"/>
    <w:rsid w:val="00AB60F6"/>
    <w:rsid w:val="00AD160B"/>
    <w:rsid w:val="00AD79C1"/>
    <w:rsid w:val="00AE20E7"/>
    <w:rsid w:val="00AF1151"/>
    <w:rsid w:val="00B00E30"/>
    <w:rsid w:val="00B00FC3"/>
    <w:rsid w:val="00B016CB"/>
    <w:rsid w:val="00B11B5A"/>
    <w:rsid w:val="00B25B30"/>
    <w:rsid w:val="00B25D9D"/>
    <w:rsid w:val="00B3754B"/>
    <w:rsid w:val="00B42B87"/>
    <w:rsid w:val="00B50978"/>
    <w:rsid w:val="00B571EB"/>
    <w:rsid w:val="00B725A3"/>
    <w:rsid w:val="00B72E48"/>
    <w:rsid w:val="00B75F0B"/>
    <w:rsid w:val="00B8042A"/>
    <w:rsid w:val="00B81D78"/>
    <w:rsid w:val="00BA1EBB"/>
    <w:rsid w:val="00BA5914"/>
    <w:rsid w:val="00BB240C"/>
    <w:rsid w:val="00BB5BE3"/>
    <w:rsid w:val="00BC3A47"/>
    <w:rsid w:val="00BC41B3"/>
    <w:rsid w:val="00BE438A"/>
    <w:rsid w:val="00BF41AC"/>
    <w:rsid w:val="00C07B07"/>
    <w:rsid w:val="00C1721B"/>
    <w:rsid w:val="00C17D01"/>
    <w:rsid w:val="00C208D6"/>
    <w:rsid w:val="00C2719C"/>
    <w:rsid w:val="00C30495"/>
    <w:rsid w:val="00C3458C"/>
    <w:rsid w:val="00C47D8E"/>
    <w:rsid w:val="00C51D4A"/>
    <w:rsid w:val="00C53206"/>
    <w:rsid w:val="00C56F1A"/>
    <w:rsid w:val="00C57D87"/>
    <w:rsid w:val="00C607D1"/>
    <w:rsid w:val="00C625BF"/>
    <w:rsid w:val="00C62FA4"/>
    <w:rsid w:val="00C64CEB"/>
    <w:rsid w:val="00C70758"/>
    <w:rsid w:val="00C82775"/>
    <w:rsid w:val="00C91BC0"/>
    <w:rsid w:val="00C9223F"/>
    <w:rsid w:val="00CA3EE0"/>
    <w:rsid w:val="00CB029C"/>
    <w:rsid w:val="00CB11E6"/>
    <w:rsid w:val="00CD59AB"/>
    <w:rsid w:val="00CD7796"/>
    <w:rsid w:val="00CD7FDD"/>
    <w:rsid w:val="00CF3079"/>
    <w:rsid w:val="00D05566"/>
    <w:rsid w:val="00D055A4"/>
    <w:rsid w:val="00D103AE"/>
    <w:rsid w:val="00D20E89"/>
    <w:rsid w:val="00D2178C"/>
    <w:rsid w:val="00D31018"/>
    <w:rsid w:val="00D61A74"/>
    <w:rsid w:val="00D77E06"/>
    <w:rsid w:val="00D946A1"/>
    <w:rsid w:val="00DA12FD"/>
    <w:rsid w:val="00DA28F9"/>
    <w:rsid w:val="00DA7837"/>
    <w:rsid w:val="00DC1E71"/>
    <w:rsid w:val="00DD037A"/>
    <w:rsid w:val="00DD1BD3"/>
    <w:rsid w:val="00DD48A3"/>
    <w:rsid w:val="00E014E3"/>
    <w:rsid w:val="00E1025F"/>
    <w:rsid w:val="00E11D7D"/>
    <w:rsid w:val="00E135B9"/>
    <w:rsid w:val="00E205D7"/>
    <w:rsid w:val="00E20B47"/>
    <w:rsid w:val="00E37808"/>
    <w:rsid w:val="00E413A9"/>
    <w:rsid w:val="00E42B9B"/>
    <w:rsid w:val="00E44E4F"/>
    <w:rsid w:val="00E63B63"/>
    <w:rsid w:val="00E7051E"/>
    <w:rsid w:val="00E7163A"/>
    <w:rsid w:val="00E7594E"/>
    <w:rsid w:val="00E76587"/>
    <w:rsid w:val="00E77215"/>
    <w:rsid w:val="00E86987"/>
    <w:rsid w:val="00E925E2"/>
    <w:rsid w:val="00E93EC5"/>
    <w:rsid w:val="00EA29A2"/>
    <w:rsid w:val="00EB0B3A"/>
    <w:rsid w:val="00EB22C7"/>
    <w:rsid w:val="00ED2059"/>
    <w:rsid w:val="00ED3021"/>
    <w:rsid w:val="00EE1B2A"/>
    <w:rsid w:val="00EF51E6"/>
    <w:rsid w:val="00EF601F"/>
    <w:rsid w:val="00EF767E"/>
    <w:rsid w:val="00EF7F67"/>
    <w:rsid w:val="00F01011"/>
    <w:rsid w:val="00F04A0B"/>
    <w:rsid w:val="00F14108"/>
    <w:rsid w:val="00F259D6"/>
    <w:rsid w:val="00F3263C"/>
    <w:rsid w:val="00F36091"/>
    <w:rsid w:val="00F54D57"/>
    <w:rsid w:val="00F73257"/>
    <w:rsid w:val="00F9054C"/>
    <w:rsid w:val="00F968E8"/>
    <w:rsid w:val="00FA00B5"/>
    <w:rsid w:val="00FA21EA"/>
    <w:rsid w:val="00FB74B4"/>
    <w:rsid w:val="00FC3E89"/>
    <w:rsid w:val="00FC4D4D"/>
    <w:rsid w:val="00FE1434"/>
    <w:rsid w:val="00FE71E1"/>
    <w:rsid w:val="00FF0B43"/>
    <w:rsid w:val="00FF4222"/>
    <w:rsid w:val="1FAFF6D5"/>
    <w:rsid w:val="37BA50B6"/>
    <w:rsid w:val="4037D9AD"/>
    <w:rsid w:val="49FD9C41"/>
    <w:rsid w:val="622D080B"/>
    <w:rsid w:val="799375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0F50D03A"/>
  <w15:chartTrackingRefBased/>
  <w15:docId w15:val="{D9BBD572-6B2B-48F8-BED5-96076B2CF7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03828"/>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2F1"/>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7051E"/>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14108"/>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F14108"/>
    <w:pPr>
      <w:keepNext/>
      <w:keepLines/>
      <w:spacing w:before="40" w:after="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03828"/>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703828"/>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703828"/>
    <w:rPr>
      <w:rFonts w:asciiTheme="majorHAnsi" w:hAnsiTheme="majorHAnsi" w:eastAsiaTheme="majorEastAsia" w:cstheme="majorBidi"/>
      <w:color w:val="17365D" w:themeColor="text2" w:themeShade="BF"/>
      <w:spacing w:val="5"/>
      <w:kern w:val="28"/>
      <w:sz w:val="52"/>
      <w:szCs w:val="52"/>
    </w:rPr>
  </w:style>
  <w:style w:type="paragraph" w:styleId="ListParagraph">
    <w:name w:val="List Paragraph"/>
    <w:basedOn w:val="Normal"/>
    <w:uiPriority w:val="34"/>
    <w:qFormat/>
    <w:rsid w:val="00703828"/>
    <w:pPr>
      <w:ind w:left="720"/>
      <w:contextualSpacing/>
    </w:pPr>
  </w:style>
  <w:style w:type="paragraph" w:styleId="Default" w:customStyle="1">
    <w:name w:val="Default"/>
    <w:rsid w:val="00703828"/>
    <w:pPr>
      <w:autoSpaceDE w:val="0"/>
      <w:autoSpaceDN w:val="0"/>
      <w:adjustRightInd w:val="0"/>
      <w:spacing w:after="0" w:line="240" w:lineRule="auto"/>
    </w:pPr>
    <w:rPr>
      <w:rFonts w:ascii="Calibri" w:hAnsi="Calibri" w:cs="Calibri"/>
      <w:color w:val="000000"/>
      <w:sz w:val="24"/>
      <w:szCs w:val="24"/>
    </w:rPr>
  </w:style>
  <w:style w:type="character" w:styleId="Heading2Char" w:customStyle="1">
    <w:name w:val="Heading 2 Char"/>
    <w:basedOn w:val="DefaultParagraphFont"/>
    <w:link w:val="Heading2"/>
    <w:uiPriority w:val="9"/>
    <w:rsid w:val="00A172F1"/>
    <w:rPr>
      <w:rFonts w:asciiTheme="majorHAnsi" w:hAnsiTheme="majorHAnsi" w:eastAsiaTheme="majorEastAsia" w:cstheme="majorBidi"/>
      <w:color w:val="365F91" w:themeColor="accent1" w:themeShade="BF"/>
      <w:sz w:val="26"/>
      <w:szCs w:val="26"/>
    </w:rPr>
  </w:style>
  <w:style w:type="paragraph" w:styleId="Header">
    <w:name w:val="header"/>
    <w:basedOn w:val="Normal"/>
    <w:link w:val="HeaderChar"/>
    <w:uiPriority w:val="99"/>
    <w:unhideWhenUsed/>
    <w:rsid w:val="00C30495"/>
    <w:pPr>
      <w:tabs>
        <w:tab w:val="center" w:pos="4680"/>
        <w:tab w:val="right" w:pos="9360"/>
      </w:tabs>
      <w:spacing w:after="0" w:line="240" w:lineRule="auto"/>
    </w:pPr>
  </w:style>
  <w:style w:type="character" w:styleId="HeaderChar" w:customStyle="1">
    <w:name w:val="Header Char"/>
    <w:basedOn w:val="DefaultParagraphFont"/>
    <w:link w:val="Header"/>
    <w:uiPriority w:val="99"/>
    <w:rsid w:val="00C30495"/>
  </w:style>
  <w:style w:type="paragraph" w:styleId="Footer">
    <w:name w:val="footer"/>
    <w:basedOn w:val="Normal"/>
    <w:link w:val="FooterChar"/>
    <w:uiPriority w:val="99"/>
    <w:unhideWhenUsed/>
    <w:rsid w:val="00C30495"/>
    <w:pPr>
      <w:tabs>
        <w:tab w:val="center" w:pos="4680"/>
        <w:tab w:val="right" w:pos="9360"/>
      </w:tabs>
      <w:spacing w:after="0" w:line="240" w:lineRule="auto"/>
    </w:pPr>
  </w:style>
  <w:style w:type="character" w:styleId="FooterChar" w:customStyle="1">
    <w:name w:val="Footer Char"/>
    <w:basedOn w:val="DefaultParagraphFont"/>
    <w:link w:val="Footer"/>
    <w:uiPriority w:val="99"/>
    <w:rsid w:val="00C30495"/>
  </w:style>
  <w:style w:type="character" w:styleId="Hyperlink">
    <w:name w:val="Hyperlink"/>
    <w:basedOn w:val="DefaultParagraphFont"/>
    <w:uiPriority w:val="99"/>
    <w:unhideWhenUsed/>
    <w:rsid w:val="009B0503"/>
    <w:rPr>
      <w:color w:val="0563C1"/>
      <w:u w:val="single"/>
    </w:rPr>
  </w:style>
  <w:style w:type="character" w:styleId="FollowedHyperlink">
    <w:name w:val="FollowedHyperlink"/>
    <w:basedOn w:val="DefaultParagraphFont"/>
    <w:uiPriority w:val="99"/>
    <w:semiHidden/>
    <w:unhideWhenUsed/>
    <w:rsid w:val="009B0503"/>
    <w:rPr>
      <w:color w:val="954F72"/>
      <w:u w:val="single"/>
    </w:rPr>
  </w:style>
  <w:style w:type="paragraph" w:styleId="msonormal0" w:customStyle="1">
    <w:name w:val="msonormal"/>
    <w:basedOn w:val="Normal"/>
    <w:rsid w:val="009B0503"/>
    <w:pPr>
      <w:spacing w:before="100" w:beforeAutospacing="1" w:after="100" w:afterAutospacing="1" w:line="240" w:lineRule="auto"/>
    </w:pPr>
    <w:rPr>
      <w:rFonts w:ascii="Times New Roman" w:hAnsi="Times New Roman" w:eastAsia="Times New Roman" w:cs="Times New Roman"/>
      <w:sz w:val="24"/>
      <w:szCs w:val="24"/>
      <w:lang w:eastAsia="en-CA"/>
    </w:rPr>
  </w:style>
  <w:style w:type="paragraph" w:styleId="font5" w:customStyle="1">
    <w:name w:val="font5"/>
    <w:basedOn w:val="Normal"/>
    <w:rsid w:val="009B0503"/>
    <w:pPr>
      <w:spacing w:before="100" w:beforeAutospacing="1" w:after="100" w:afterAutospacing="1" w:line="240" w:lineRule="auto"/>
    </w:pPr>
    <w:rPr>
      <w:rFonts w:ascii="Calibri" w:hAnsi="Calibri" w:eastAsia="Times New Roman" w:cs="Times New Roman"/>
      <w:b/>
      <w:bCs/>
      <w:color w:val="000000"/>
      <w:lang w:eastAsia="en-CA"/>
    </w:rPr>
  </w:style>
  <w:style w:type="paragraph" w:styleId="xl63" w:customStyle="1">
    <w:name w:val="xl63"/>
    <w:basedOn w:val="Normal"/>
    <w:rsid w:val="009B0503"/>
    <w:pPr>
      <w:spacing w:before="100" w:beforeAutospacing="1" w:after="100" w:afterAutospacing="1" w:line="240" w:lineRule="auto"/>
      <w:jc w:val="center"/>
    </w:pPr>
    <w:rPr>
      <w:rFonts w:ascii="Times New Roman" w:hAnsi="Times New Roman" w:eastAsia="Times New Roman" w:cs="Times New Roman"/>
      <w:sz w:val="24"/>
      <w:szCs w:val="24"/>
      <w:lang w:eastAsia="en-CA"/>
    </w:rPr>
  </w:style>
  <w:style w:type="paragraph" w:styleId="xl64" w:customStyle="1">
    <w:name w:val="xl64"/>
    <w:basedOn w:val="Normal"/>
    <w:rsid w:val="009B0503"/>
    <w:pPr>
      <w:pBdr>
        <w:bottom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en-CA"/>
    </w:rPr>
  </w:style>
  <w:style w:type="paragraph" w:styleId="xl65" w:customStyle="1">
    <w:name w:val="xl65"/>
    <w:basedOn w:val="Normal"/>
    <w:rsid w:val="009B0503"/>
    <w:pPr>
      <w:spacing w:before="100" w:beforeAutospacing="1" w:after="100" w:afterAutospacing="1" w:line="240" w:lineRule="auto"/>
      <w:jc w:val="center"/>
    </w:pPr>
    <w:rPr>
      <w:rFonts w:ascii="Calibri" w:hAnsi="Calibri" w:eastAsia="Times New Roman" w:cs="Times New Roman"/>
      <w:b/>
      <w:bCs/>
      <w:sz w:val="24"/>
      <w:szCs w:val="24"/>
      <w:lang w:eastAsia="en-CA"/>
    </w:rPr>
  </w:style>
  <w:style w:type="paragraph" w:styleId="xl66" w:customStyle="1">
    <w:name w:val="xl66"/>
    <w:basedOn w:val="Normal"/>
    <w:rsid w:val="009B0503"/>
    <w:pPr>
      <w:spacing w:before="100" w:beforeAutospacing="1" w:after="100" w:afterAutospacing="1" w:line="240" w:lineRule="auto"/>
      <w:jc w:val="center"/>
    </w:pPr>
    <w:rPr>
      <w:rFonts w:ascii="Times New Roman" w:hAnsi="Times New Roman" w:eastAsia="Times New Roman" w:cs="Times New Roman"/>
      <w:b/>
      <w:bCs/>
      <w:sz w:val="24"/>
      <w:szCs w:val="24"/>
      <w:lang w:eastAsia="en-CA"/>
    </w:rPr>
  </w:style>
  <w:style w:type="paragraph" w:styleId="xl67" w:customStyle="1">
    <w:name w:val="xl67"/>
    <w:basedOn w:val="Normal"/>
    <w:rsid w:val="009B0503"/>
    <w:pPr>
      <w:spacing w:before="100" w:beforeAutospacing="1" w:after="100" w:afterAutospacing="1" w:line="240" w:lineRule="auto"/>
      <w:jc w:val="center"/>
    </w:pPr>
    <w:rPr>
      <w:rFonts w:ascii="Times New Roman" w:hAnsi="Times New Roman" w:eastAsia="Times New Roman" w:cs="Times New Roman"/>
      <w:sz w:val="24"/>
      <w:szCs w:val="24"/>
      <w:lang w:eastAsia="en-CA"/>
    </w:rPr>
  </w:style>
  <w:style w:type="paragraph" w:styleId="xl68" w:customStyle="1">
    <w:name w:val="xl68"/>
    <w:basedOn w:val="Normal"/>
    <w:rsid w:val="009B0503"/>
    <w:pPr>
      <w:pBdr>
        <w:bottom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en-CA"/>
    </w:rPr>
  </w:style>
  <w:style w:type="paragraph" w:styleId="xl69" w:customStyle="1">
    <w:name w:val="xl69"/>
    <w:basedOn w:val="Normal"/>
    <w:rsid w:val="009B0503"/>
    <w:pPr>
      <w:spacing w:before="100" w:beforeAutospacing="1" w:after="100" w:afterAutospacing="1" w:line="240" w:lineRule="auto"/>
      <w:jc w:val="center"/>
    </w:pPr>
    <w:rPr>
      <w:rFonts w:ascii="Times New Roman" w:hAnsi="Times New Roman" w:eastAsia="Times New Roman" w:cs="Times New Roman"/>
      <w:sz w:val="24"/>
      <w:szCs w:val="24"/>
      <w:lang w:eastAsia="en-CA"/>
    </w:rPr>
  </w:style>
  <w:style w:type="paragraph" w:styleId="xl70" w:customStyle="1">
    <w:name w:val="xl70"/>
    <w:basedOn w:val="Normal"/>
    <w:rsid w:val="009B0503"/>
    <w:pPr>
      <w:pBdr>
        <w:bottom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en-CA"/>
    </w:rPr>
  </w:style>
  <w:style w:type="paragraph" w:styleId="xl71" w:customStyle="1">
    <w:name w:val="xl71"/>
    <w:basedOn w:val="Normal"/>
    <w:rsid w:val="009B0503"/>
    <w:pPr>
      <w:spacing w:before="100" w:beforeAutospacing="1" w:after="100" w:afterAutospacing="1" w:line="240" w:lineRule="auto"/>
      <w:jc w:val="center"/>
    </w:pPr>
    <w:rPr>
      <w:rFonts w:ascii="Calibri" w:hAnsi="Calibri" w:eastAsia="Times New Roman" w:cs="Times New Roman"/>
      <w:b/>
      <w:bCs/>
      <w:sz w:val="24"/>
      <w:szCs w:val="24"/>
      <w:lang w:eastAsia="en-CA"/>
    </w:rPr>
  </w:style>
  <w:style w:type="paragraph" w:styleId="xl72" w:customStyle="1">
    <w:name w:val="xl72"/>
    <w:basedOn w:val="Normal"/>
    <w:rsid w:val="009B0503"/>
    <w:pPr>
      <w:pBdr>
        <w:top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en-CA"/>
    </w:rPr>
  </w:style>
  <w:style w:type="character" w:styleId="Heading3Char" w:customStyle="1">
    <w:name w:val="Heading 3 Char"/>
    <w:basedOn w:val="DefaultParagraphFont"/>
    <w:link w:val="Heading3"/>
    <w:uiPriority w:val="9"/>
    <w:rsid w:val="00E7051E"/>
    <w:rPr>
      <w:rFonts w:asciiTheme="majorHAnsi" w:hAnsiTheme="majorHAnsi" w:eastAsiaTheme="majorEastAsia" w:cstheme="majorBidi"/>
      <w:color w:val="243F60" w:themeColor="accent1" w:themeShade="7F"/>
      <w:sz w:val="24"/>
      <w:szCs w:val="24"/>
    </w:rPr>
  </w:style>
  <w:style w:type="character" w:styleId="CommentReference">
    <w:name w:val="annotation reference"/>
    <w:basedOn w:val="DefaultParagraphFont"/>
    <w:uiPriority w:val="99"/>
    <w:semiHidden/>
    <w:unhideWhenUsed/>
    <w:rsid w:val="00F259D6"/>
    <w:rPr>
      <w:sz w:val="16"/>
      <w:szCs w:val="16"/>
    </w:rPr>
  </w:style>
  <w:style w:type="paragraph" w:styleId="CommentText">
    <w:name w:val="annotation text"/>
    <w:basedOn w:val="Normal"/>
    <w:link w:val="CommentTextChar"/>
    <w:uiPriority w:val="99"/>
    <w:semiHidden/>
    <w:unhideWhenUsed/>
    <w:rsid w:val="00F259D6"/>
    <w:pPr>
      <w:spacing w:line="240" w:lineRule="auto"/>
    </w:pPr>
    <w:rPr>
      <w:sz w:val="20"/>
      <w:szCs w:val="20"/>
    </w:rPr>
  </w:style>
  <w:style w:type="character" w:styleId="CommentTextChar" w:customStyle="1">
    <w:name w:val="Comment Text Char"/>
    <w:basedOn w:val="DefaultParagraphFont"/>
    <w:link w:val="CommentText"/>
    <w:uiPriority w:val="99"/>
    <w:semiHidden/>
    <w:rsid w:val="00F259D6"/>
    <w:rPr>
      <w:sz w:val="20"/>
      <w:szCs w:val="20"/>
    </w:rPr>
  </w:style>
  <w:style w:type="paragraph" w:styleId="CommentSubject">
    <w:name w:val="annotation subject"/>
    <w:basedOn w:val="CommentText"/>
    <w:next w:val="CommentText"/>
    <w:link w:val="CommentSubjectChar"/>
    <w:uiPriority w:val="99"/>
    <w:semiHidden/>
    <w:unhideWhenUsed/>
    <w:rsid w:val="00F259D6"/>
    <w:rPr>
      <w:b/>
      <w:bCs/>
    </w:rPr>
  </w:style>
  <w:style w:type="character" w:styleId="CommentSubjectChar" w:customStyle="1">
    <w:name w:val="Comment Subject Char"/>
    <w:basedOn w:val="CommentTextChar"/>
    <w:link w:val="CommentSubject"/>
    <w:uiPriority w:val="99"/>
    <w:semiHidden/>
    <w:rsid w:val="00F259D6"/>
    <w:rPr>
      <w:b/>
      <w:bCs/>
      <w:sz w:val="20"/>
      <w:szCs w:val="20"/>
    </w:rPr>
  </w:style>
  <w:style w:type="paragraph" w:styleId="BalloonText">
    <w:name w:val="Balloon Text"/>
    <w:basedOn w:val="Normal"/>
    <w:link w:val="BalloonTextChar"/>
    <w:uiPriority w:val="99"/>
    <w:semiHidden/>
    <w:unhideWhenUsed/>
    <w:rsid w:val="002F49B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F49B2"/>
    <w:rPr>
      <w:rFonts w:ascii="Segoe UI" w:hAnsi="Segoe UI" w:cs="Segoe UI"/>
      <w:sz w:val="18"/>
      <w:szCs w:val="18"/>
    </w:rPr>
  </w:style>
  <w:style w:type="character" w:styleId="UnresolvedMention">
    <w:name w:val="Unresolved Mention"/>
    <w:basedOn w:val="DefaultParagraphFont"/>
    <w:uiPriority w:val="99"/>
    <w:semiHidden/>
    <w:unhideWhenUsed/>
    <w:rsid w:val="00844BFD"/>
    <w:rPr>
      <w:color w:val="605E5C"/>
      <w:shd w:val="clear" w:color="auto" w:fill="E1DFDD"/>
    </w:rPr>
  </w:style>
  <w:style w:type="paragraph" w:styleId="xl73" w:customStyle="1">
    <w:name w:val="xl73"/>
    <w:basedOn w:val="Normal"/>
    <w:rsid w:val="00C62FA4"/>
    <w:pPr>
      <w:pBdr>
        <w:bottom w:val="single" w:color="auto" w:sz="8"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74" w:customStyle="1">
    <w:name w:val="xl74"/>
    <w:basedOn w:val="Normal"/>
    <w:rsid w:val="00C62FA4"/>
    <w:pPr>
      <w:pBdr>
        <w:bottom w:val="single" w:color="auto" w:sz="8"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75" w:customStyle="1">
    <w:name w:val="xl75"/>
    <w:basedOn w:val="Normal"/>
    <w:rsid w:val="00C62FA4"/>
    <w:pPr>
      <w:pBdr>
        <w:left w:val="single" w:color="auto" w:sz="4" w:space="0"/>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76" w:customStyle="1">
    <w:name w:val="xl76"/>
    <w:basedOn w:val="Normal"/>
    <w:rsid w:val="00C62FA4"/>
    <w:pPr>
      <w:pBdr>
        <w:top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77" w:customStyle="1">
    <w:name w:val="xl77"/>
    <w:basedOn w:val="Normal"/>
    <w:rsid w:val="00C62FA4"/>
    <w:pPr>
      <w:pBdr>
        <w:top w:val="single" w:color="auto" w:sz="4" w:space="0"/>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78" w:customStyle="1">
    <w:name w:val="xl78"/>
    <w:basedOn w:val="Normal"/>
    <w:rsid w:val="00C62FA4"/>
    <w:pPr>
      <w:pBdr>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79" w:customStyle="1">
    <w:name w:val="xl79"/>
    <w:basedOn w:val="Normal"/>
    <w:rsid w:val="00C62FA4"/>
    <w:pP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80" w:customStyle="1">
    <w:name w:val="xl80"/>
    <w:basedOn w:val="Normal"/>
    <w:rsid w:val="00C62FA4"/>
    <w:pPr>
      <w:spacing w:before="100" w:beforeAutospacing="1" w:after="100" w:afterAutospacing="1" w:line="240" w:lineRule="auto"/>
      <w:jc w:val="center"/>
      <w:textAlignment w:val="center"/>
    </w:pPr>
    <w:rPr>
      <w:rFonts w:ascii="Times New Roman" w:hAnsi="Times New Roman" w:eastAsia="Times New Roman" w:cs="Times New Roman"/>
      <w:color w:val="7030A0"/>
      <w:sz w:val="24"/>
      <w:szCs w:val="24"/>
      <w:lang w:val="en-US"/>
    </w:rPr>
  </w:style>
  <w:style w:type="paragraph" w:styleId="xl81" w:customStyle="1">
    <w:name w:val="xl81"/>
    <w:basedOn w:val="Normal"/>
    <w:rsid w:val="00C62FA4"/>
    <w:pP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82" w:customStyle="1">
    <w:name w:val="xl82"/>
    <w:basedOn w:val="Normal"/>
    <w:rsid w:val="00C62FA4"/>
    <w:pP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83" w:customStyle="1">
    <w:name w:val="xl83"/>
    <w:basedOn w:val="Normal"/>
    <w:rsid w:val="00C62FA4"/>
    <w:pP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84" w:customStyle="1">
    <w:name w:val="xl84"/>
    <w:basedOn w:val="Normal"/>
    <w:rsid w:val="00C62FA4"/>
    <w:pP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85" w:customStyle="1">
    <w:name w:val="xl85"/>
    <w:basedOn w:val="Normal"/>
    <w:rsid w:val="00C62FA4"/>
    <w:pP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86" w:customStyle="1">
    <w:name w:val="xl86"/>
    <w:basedOn w:val="Normal"/>
    <w:rsid w:val="00C62FA4"/>
    <w:pPr>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styleId="xl87" w:customStyle="1">
    <w:name w:val="xl87"/>
    <w:basedOn w:val="Normal"/>
    <w:rsid w:val="00C62FA4"/>
    <w:pPr>
      <w:pBdr>
        <w:bottom w:val="single" w:color="auto" w:sz="8" w:space="0"/>
      </w:pBdr>
      <w:spacing w:before="100" w:beforeAutospacing="1" w:after="100" w:afterAutospacing="1" w:line="240" w:lineRule="auto"/>
      <w:jc w:val="center"/>
      <w:textAlignment w:val="center"/>
    </w:pPr>
    <w:rPr>
      <w:rFonts w:ascii="Times New Roman" w:hAnsi="Times New Roman" w:eastAsia="Times New Roman" w:cs="Times New Roman"/>
      <w:b/>
      <w:bCs/>
      <w:sz w:val="24"/>
      <w:szCs w:val="24"/>
      <w:lang w:val="en-US"/>
    </w:rPr>
  </w:style>
  <w:style w:type="paragraph" w:styleId="xl88" w:customStyle="1">
    <w:name w:val="xl88"/>
    <w:basedOn w:val="Normal"/>
    <w:rsid w:val="00C62FA4"/>
    <w:pPr>
      <w:pBdr>
        <w:bottom w:val="single" w:color="auto" w:sz="8" w:space="0"/>
      </w:pBdr>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styleId="xl89" w:customStyle="1">
    <w:name w:val="xl89"/>
    <w:basedOn w:val="Normal"/>
    <w:rsid w:val="00C62FA4"/>
    <w:pPr>
      <w:pBdr>
        <w:bottom w:val="single" w:color="auto" w:sz="8" w:space="0"/>
      </w:pBdr>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styleId="xl90" w:customStyle="1">
    <w:name w:val="xl90"/>
    <w:basedOn w:val="Normal"/>
    <w:rsid w:val="00C62FA4"/>
    <w:pPr>
      <w:pBdr>
        <w:bottom w:val="single" w:color="auto" w:sz="8" w:space="0"/>
      </w:pBdr>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styleId="xl91" w:customStyle="1">
    <w:name w:val="xl91"/>
    <w:basedOn w:val="Normal"/>
    <w:rsid w:val="00C62FA4"/>
    <w:pPr>
      <w:pBdr>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92" w:customStyle="1">
    <w:name w:val="xl92"/>
    <w:basedOn w:val="Normal"/>
    <w:rsid w:val="00C62FA4"/>
    <w:pPr>
      <w:pBdr>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93" w:customStyle="1">
    <w:name w:val="xl93"/>
    <w:basedOn w:val="Normal"/>
    <w:rsid w:val="00C62FA4"/>
    <w:pPr>
      <w:pBdr>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94" w:customStyle="1">
    <w:name w:val="xl94"/>
    <w:basedOn w:val="Normal"/>
    <w:rsid w:val="00C62FA4"/>
    <w:pPr>
      <w:pBdr>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95" w:customStyle="1">
    <w:name w:val="xl95"/>
    <w:basedOn w:val="Normal"/>
    <w:rsid w:val="00C62FA4"/>
    <w:pPr>
      <w:pBdr>
        <w:top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96" w:customStyle="1">
    <w:name w:val="xl96"/>
    <w:basedOn w:val="Normal"/>
    <w:rsid w:val="00C62FA4"/>
    <w:pPr>
      <w:pBdr>
        <w:top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97" w:customStyle="1">
    <w:name w:val="xl97"/>
    <w:basedOn w:val="Normal"/>
    <w:rsid w:val="00C62FA4"/>
    <w:pPr>
      <w:pBdr>
        <w:top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98" w:customStyle="1">
    <w:name w:val="xl98"/>
    <w:basedOn w:val="Normal"/>
    <w:rsid w:val="00C62FA4"/>
    <w:pPr>
      <w:pBdr>
        <w:top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99" w:customStyle="1">
    <w:name w:val="xl99"/>
    <w:basedOn w:val="Normal"/>
    <w:rsid w:val="00C62FA4"/>
    <w:pPr>
      <w:pBdr>
        <w:top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00" w:customStyle="1">
    <w:name w:val="xl100"/>
    <w:basedOn w:val="Normal"/>
    <w:rsid w:val="00C62FA4"/>
    <w:pPr>
      <w:pBdr>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01" w:customStyle="1">
    <w:name w:val="xl101"/>
    <w:basedOn w:val="Normal"/>
    <w:rsid w:val="00C62FA4"/>
    <w:pPr>
      <w:pBdr>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02" w:customStyle="1">
    <w:name w:val="xl102"/>
    <w:basedOn w:val="Normal"/>
    <w:rsid w:val="00C62FA4"/>
    <w:pPr>
      <w:pBdr>
        <w:top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03" w:customStyle="1">
    <w:name w:val="xl103"/>
    <w:basedOn w:val="Normal"/>
    <w:rsid w:val="00C62FA4"/>
    <w:pPr>
      <w:pBdr>
        <w:top w:val="single" w:color="auto" w:sz="4" w:space="0"/>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04" w:customStyle="1">
    <w:name w:val="xl104"/>
    <w:basedOn w:val="Normal"/>
    <w:rsid w:val="00C62FA4"/>
    <w:pPr>
      <w:pBdr>
        <w:top w:val="single" w:color="auto" w:sz="4" w:space="0"/>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05" w:customStyle="1">
    <w:name w:val="xl105"/>
    <w:basedOn w:val="Normal"/>
    <w:rsid w:val="00C62FA4"/>
    <w:pPr>
      <w:pBdr>
        <w:top w:val="single" w:color="auto" w:sz="4" w:space="0"/>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06" w:customStyle="1">
    <w:name w:val="xl106"/>
    <w:basedOn w:val="Normal"/>
    <w:rsid w:val="00C62FA4"/>
    <w:pPr>
      <w:pBdr>
        <w:bottom w:val="dashed" w:color="auto" w:sz="8"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07" w:customStyle="1">
    <w:name w:val="xl107"/>
    <w:basedOn w:val="Normal"/>
    <w:rsid w:val="00C62FA4"/>
    <w:pPr>
      <w:pBdr>
        <w:bottom w:val="dashed" w:color="auto" w:sz="8"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08" w:customStyle="1">
    <w:name w:val="xl108"/>
    <w:basedOn w:val="Normal"/>
    <w:rsid w:val="00C62FA4"/>
    <w:pPr>
      <w:pBdr>
        <w:bottom w:val="dashed" w:color="auto" w:sz="8"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09" w:customStyle="1">
    <w:name w:val="xl109"/>
    <w:basedOn w:val="Normal"/>
    <w:rsid w:val="00C62FA4"/>
    <w:pPr>
      <w:pBdr>
        <w:bottom w:val="dashed" w:color="auto" w:sz="8"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10" w:customStyle="1">
    <w:name w:val="xl110"/>
    <w:basedOn w:val="Normal"/>
    <w:rsid w:val="00C62FA4"/>
    <w:pPr>
      <w:pBdr>
        <w:top w:val="single" w:color="auto" w:sz="8" w:space="0"/>
        <w:bottom w:val="single" w:color="auto" w:sz="8" w:space="0"/>
      </w:pBdr>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styleId="xl111" w:customStyle="1">
    <w:name w:val="xl111"/>
    <w:basedOn w:val="Normal"/>
    <w:rsid w:val="00C62FA4"/>
    <w:pPr>
      <w:pBdr>
        <w:top w:val="single" w:color="auto" w:sz="8" w:space="0"/>
        <w:bottom w:val="single" w:color="auto" w:sz="8" w:space="0"/>
        <w:right w:val="single" w:color="auto" w:sz="4" w:space="0"/>
      </w:pBdr>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styleId="xl112" w:customStyle="1">
    <w:name w:val="xl112"/>
    <w:basedOn w:val="Normal"/>
    <w:rsid w:val="00C62FA4"/>
    <w:pPr>
      <w:pBdr>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13" w:customStyle="1">
    <w:name w:val="xl113"/>
    <w:basedOn w:val="Normal"/>
    <w:rsid w:val="00C62FA4"/>
    <w:pPr>
      <w:pBdr>
        <w:top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14" w:customStyle="1">
    <w:name w:val="xl114"/>
    <w:basedOn w:val="Normal"/>
    <w:rsid w:val="00C62FA4"/>
    <w:pPr>
      <w:pBdr>
        <w:bottom w:val="dashed" w:color="auto" w:sz="8"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15" w:customStyle="1">
    <w:name w:val="xl115"/>
    <w:basedOn w:val="Normal"/>
    <w:rsid w:val="00C62FA4"/>
    <w:pPr>
      <w:pBdr>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16" w:customStyle="1">
    <w:name w:val="xl116"/>
    <w:basedOn w:val="Normal"/>
    <w:rsid w:val="00C62FA4"/>
    <w:pPr>
      <w:pBdr>
        <w:top w:val="single" w:color="auto" w:sz="8" w:space="0"/>
        <w:left w:val="single" w:color="auto" w:sz="4" w:space="0"/>
        <w:bottom w:val="single" w:color="auto" w:sz="8" w:space="0"/>
      </w:pBdr>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styleId="xl117" w:customStyle="1">
    <w:name w:val="xl117"/>
    <w:basedOn w:val="Normal"/>
    <w:rsid w:val="00C62FA4"/>
    <w:pPr>
      <w:pBdr>
        <w:lef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18" w:customStyle="1">
    <w:name w:val="xl118"/>
    <w:basedOn w:val="Normal"/>
    <w:rsid w:val="00C62FA4"/>
    <w:pPr>
      <w:pBdr>
        <w:top w:val="single" w:color="auto" w:sz="4" w:space="0"/>
        <w:lef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19" w:customStyle="1">
    <w:name w:val="xl119"/>
    <w:basedOn w:val="Normal"/>
    <w:rsid w:val="00C62FA4"/>
    <w:pPr>
      <w:pBdr>
        <w:left w:val="single" w:color="auto" w:sz="4" w:space="0"/>
        <w:bottom w:val="dashed" w:color="auto" w:sz="8"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20" w:customStyle="1">
    <w:name w:val="xl120"/>
    <w:basedOn w:val="Normal"/>
    <w:rsid w:val="00C62FA4"/>
    <w:pPr>
      <w:pBdr>
        <w:left w:val="single" w:color="auto" w:sz="4" w:space="0"/>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21" w:customStyle="1">
    <w:name w:val="xl121"/>
    <w:basedOn w:val="Normal"/>
    <w:rsid w:val="00C62FA4"/>
    <w:pPr>
      <w:pBdr>
        <w:left w:val="single" w:color="auto" w:sz="4" w:space="0"/>
        <w:bottom w:val="dashed" w:color="auto" w:sz="8"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22" w:customStyle="1">
    <w:name w:val="xl122"/>
    <w:basedOn w:val="Normal"/>
    <w:rsid w:val="00C62FA4"/>
    <w:pPr>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23" w:customStyle="1">
    <w:name w:val="xl123"/>
    <w:basedOn w:val="Normal"/>
    <w:rsid w:val="00C62FA4"/>
    <w:pPr>
      <w:pBdr>
        <w:top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24" w:customStyle="1">
    <w:name w:val="xl124"/>
    <w:basedOn w:val="Normal"/>
    <w:rsid w:val="00C62FA4"/>
    <w:pPr>
      <w:pBdr>
        <w:top w:val="single" w:color="auto" w:sz="4" w:space="0"/>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25" w:customStyle="1">
    <w:name w:val="xl125"/>
    <w:basedOn w:val="Normal"/>
    <w:rsid w:val="00C62FA4"/>
    <w:pPr>
      <w:pBdr>
        <w:bottom w:val="single" w:color="auto" w:sz="8"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26" w:customStyle="1">
    <w:name w:val="xl126"/>
    <w:basedOn w:val="Normal"/>
    <w:rsid w:val="00C62FA4"/>
    <w:pPr>
      <w:pBdr>
        <w:bottom w:val="single" w:color="auto" w:sz="8"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27" w:customStyle="1">
    <w:name w:val="xl127"/>
    <w:basedOn w:val="Normal"/>
    <w:rsid w:val="00C62FA4"/>
    <w:pPr>
      <w:pBdr>
        <w:bottom w:val="single" w:color="auto" w:sz="8"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28" w:customStyle="1">
    <w:name w:val="xl128"/>
    <w:basedOn w:val="Normal"/>
    <w:rsid w:val="00C62FA4"/>
    <w:pPr>
      <w:pBdr>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29" w:customStyle="1">
    <w:name w:val="xl129"/>
    <w:basedOn w:val="Normal"/>
    <w:rsid w:val="00C62FA4"/>
    <w:pPr>
      <w:pBdr>
        <w:top w:val="single" w:color="auto" w:sz="8"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val="en-US"/>
    </w:rPr>
  </w:style>
  <w:style w:type="paragraph" w:styleId="xl130" w:customStyle="1">
    <w:name w:val="xl130"/>
    <w:basedOn w:val="Normal"/>
    <w:rsid w:val="00C62FA4"/>
    <w:pPr>
      <w:pBdr>
        <w:left w:val="single" w:color="auto" w:sz="4" w:space="0"/>
        <w:bottom w:val="single" w:color="auto" w:sz="8" w:space="0"/>
      </w:pBdr>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styleId="xl131" w:customStyle="1">
    <w:name w:val="xl131"/>
    <w:basedOn w:val="Normal"/>
    <w:rsid w:val="00C62FA4"/>
    <w:pPr>
      <w:pBdr>
        <w:bottom w:val="single" w:color="auto" w:sz="8" w:space="0"/>
        <w:right w:val="single" w:color="auto" w:sz="4" w:space="0"/>
      </w:pBdr>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styleId="NoSpacing">
    <w:name w:val="No Spacing"/>
    <w:uiPriority w:val="1"/>
    <w:qFormat/>
    <w:rsid w:val="00446528"/>
    <w:pPr>
      <w:spacing w:after="0" w:line="240" w:lineRule="auto"/>
    </w:pPr>
  </w:style>
  <w:style w:type="table" w:styleId="TableGrid">
    <w:name w:val="Table Grid"/>
    <w:basedOn w:val="TableNormal"/>
    <w:uiPriority w:val="59"/>
    <w:rsid w:val="00C64C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C64CEB"/>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1Light">
    <w:name w:val="Grid Table 1 Light"/>
    <w:basedOn w:val="TableNormal"/>
    <w:uiPriority w:val="46"/>
    <w:rsid w:val="00E925E2"/>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Heading4Char" w:customStyle="1">
    <w:name w:val="Heading 4 Char"/>
    <w:basedOn w:val="DefaultParagraphFont"/>
    <w:link w:val="Heading4"/>
    <w:uiPriority w:val="9"/>
    <w:rsid w:val="00F14108"/>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uiPriority w:val="9"/>
    <w:rsid w:val="00F14108"/>
    <w:rPr>
      <w:rFonts w:asciiTheme="majorHAnsi" w:hAnsiTheme="majorHAnsi" w:eastAsiaTheme="majorEastAsia"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4352">
      <w:bodyDiv w:val="1"/>
      <w:marLeft w:val="0"/>
      <w:marRight w:val="0"/>
      <w:marTop w:val="0"/>
      <w:marBottom w:val="0"/>
      <w:divBdr>
        <w:top w:val="none" w:sz="0" w:space="0" w:color="auto"/>
        <w:left w:val="none" w:sz="0" w:space="0" w:color="auto"/>
        <w:bottom w:val="none" w:sz="0" w:space="0" w:color="auto"/>
        <w:right w:val="none" w:sz="0" w:space="0" w:color="auto"/>
      </w:divBdr>
    </w:div>
    <w:div w:id="77412927">
      <w:bodyDiv w:val="1"/>
      <w:marLeft w:val="0"/>
      <w:marRight w:val="0"/>
      <w:marTop w:val="0"/>
      <w:marBottom w:val="0"/>
      <w:divBdr>
        <w:top w:val="none" w:sz="0" w:space="0" w:color="auto"/>
        <w:left w:val="none" w:sz="0" w:space="0" w:color="auto"/>
        <w:bottom w:val="none" w:sz="0" w:space="0" w:color="auto"/>
        <w:right w:val="none" w:sz="0" w:space="0" w:color="auto"/>
      </w:divBdr>
    </w:div>
    <w:div w:id="156844325">
      <w:bodyDiv w:val="1"/>
      <w:marLeft w:val="0"/>
      <w:marRight w:val="0"/>
      <w:marTop w:val="0"/>
      <w:marBottom w:val="0"/>
      <w:divBdr>
        <w:top w:val="none" w:sz="0" w:space="0" w:color="auto"/>
        <w:left w:val="none" w:sz="0" w:space="0" w:color="auto"/>
        <w:bottom w:val="none" w:sz="0" w:space="0" w:color="auto"/>
        <w:right w:val="none" w:sz="0" w:space="0" w:color="auto"/>
      </w:divBdr>
    </w:div>
    <w:div w:id="198278293">
      <w:bodyDiv w:val="1"/>
      <w:marLeft w:val="0"/>
      <w:marRight w:val="0"/>
      <w:marTop w:val="0"/>
      <w:marBottom w:val="0"/>
      <w:divBdr>
        <w:top w:val="none" w:sz="0" w:space="0" w:color="auto"/>
        <w:left w:val="none" w:sz="0" w:space="0" w:color="auto"/>
        <w:bottom w:val="none" w:sz="0" w:space="0" w:color="auto"/>
        <w:right w:val="none" w:sz="0" w:space="0" w:color="auto"/>
      </w:divBdr>
    </w:div>
    <w:div w:id="223563367">
      <w:bodyDiv w:val="1"/>
      <w:marLeft w:val="0"/>
      <w:marRight w:val="0"/>
      <w:marTop w:val="0"/>
      <w:marBottom w:val="0"/>
      <w:divBdr>
        <w:top w:val="none" w:sz="0" w:space="0" w:color="auto"/>
        <w:left w:val="none" w:sz="0" w:space="0" w:color="auto"/>
        <w:bottom w:val="none" w:sz="0" w:space="0" w:color="auto"/>
        <w:right w:val="none" w:sz="0" w:space="0" w:color="auto"/>
      </w:divBdr>
    </w:div>
    <w:div w:id="254024496">
      <w:bodyDiv w:val="1"/>
      <w:marLeft w:val="0"/>
      <w:marRight w:val="0"/>
      <w:marTop w:val="0"/>
      <w:marBottom w:val="0"/>
      <w:divBdr>
        <w:top w:val="none" w:sz="0" w:space="0" w:color="auto"/>
        <w:left w:val="none" w:sz="0" w:space="0" w:color="auto"/>
        <w:bottom w:val="none" w:sz="0" w:space="0" w:color="auto"/>
        <w:right w:val="none" w:sz="0" w:space="0" w:color="auto"/>
      </w:divBdr>
    </w:div>
    <w:div w:id="416367388">
      <w:bodyDiv w:val="1"/>
      <w:marLeft w:val="0"/>
      <w:marRight w:val="0"/>
      <w:marTop w:val="0"/>
      <w:marBottom w:val="0"/>
      <w:divBdr>
        <w:top w:val="none" w:sz="0" w:space="0" w:color="auto"/>
        <w:left w:val="none" w:sz="0" w:space="0" w:color="auto"/>
        <w:bottom w:val="none" w:sz="0" w:space="0" w:color="auto"/>
        <w:right w:val="none" w:sz="0" w:space="0" w:color="auto"/>
      </w:divBdr>
    </w:div>
    <w:div w:id="435636551">
      <w:bodyDiv w:val="1"/>
      <w:marLeft w:val="0"/>
      <w:marRight w:val="0"/>
      <w:marTop w:val="0"/>
      <w:marBottom w:val="0"/>
      <w:divBdr>
        <w:top w:val="none" w:sz="0" w:space="0" w:color="auto"/>
        <w:left w:val="none" w:sz="0" w:space="0" w:color="auto"/>
        <w:bottom w:val="none" w:sz="0" w:space="0" w:color="auto"/>
        <w:right w:val="none" w:sz="0" w:space="0" w:color="auto"/>
      </w:divBdr>
    </w:div>
    <w:div w:id="490870674">
      <w:bodyDiv w:val="1"/>
      <w:marLeft w:val="0"/>
      <w:marRight w:val="0"/>
      <w:marTop w:val="0"/>
      <w:marBottom w:val="0"/>
      <w:divBdr>
        <w:top w:val="none" w:sz="0" w:space="0" w:color="auto"/>
        <w:left w:val="none" w:sz="0" w:space="0" w:color="auto"/>
        <w:bottom w:val="none" w:sz="0" w:space="0" w:color="auto"/>
        <w:right w:val="none" w:sz="0" w:space="0" w:color="auto"/>
      </w:divBdr>
    </w:div>
    <w:div w:id="582690084">
      <w:bodyDiv w:val="1"/>
      <w:marLeft w:val="0"/>
      <w:marRight w:val="0"/>
      <w:marTop w:val="0"/>
      <w:marBottom w:val="0"/>
      <w:divBdr>
        <w:top w:val="none" w:sz="0" w:space="0" w:color="auto"/>
        <w:left w:val="none" w:sz="0" w:space="0" w:color="auto"/>
        <w:bottom w:val="none" w:sz="0" w:space="0" w:color="auto"/>
        <w:right w:val="none" w:sz="0" w:space="0" w:color="auto"/>
      </w:divBdr>
    </w:div>
    <w:div w:id="996614056">
      <w:bodyDiv w:val="1"/>
      <w:marLeft w:val="0"/>
      <w:marRight w:val="0"/>
      <w:marTop w:val="0"/>
      <w:marBottom w:val="0"/>
      <w:divBdr>
        <w:top w:val="none" w:sz="0" w:space="0" w:color="auto"/>
        <w:left w:val="none" w:sz="0" w:space="0" w:color="auto"/>
        <w:bottom w:val="none" w:sz="0" w:space="0" w:color="auto"/>
        <w:right w:val="none" w:sz="0" w:space="0" w:color="auto"/>
      </w:divBdr>
    </w:div>
    <w:div w:id="1032848625">
      <w:bodyDiv w:val="1"/>
      <w:marLeft w:val="0"/>
      <w:marRight w:val="0"/>
      <w:marTop w:val="0"/>
      <w:marBottom w:val="0"/>
      <w:divBdr>
        <w:top w:val="none" w:sz="0" w:space="0" w:color="auto"/>
        <w:left w:val="none" w:sz="0" w:space="0" w:color="auto"/>
        <w:bottom w:val="none" w:sz="0" w:space="0" w:color="auto"/>
        <w:right w:val="none" w:sz="0" w:space="0" w:color="auto"/>
      </w:divBdr>
    </w:div>
    <w:div w:id="1101727680">
      <w:bodyDiv w:val="1"/>
      <w:marLeft w:val="0"/>
      <w:marRight w:val="0"/>
      <w:marTop w:val="0"/>
      <w:marBottom w:val="0"/>
      <w:divBdr>
        <w:top w:val="none" w:sz="0" w:space="0" w:color="auto"/>
        <w:left w:val="none" w:sz="0" w:space="0" w:color="auto"/>
        <w:bottom w:val="none" w:sz="0" w:space="0" w:color="auto"/>
        <w:right w:val="none" w:sz="0" w:space="0" w:color="auto"/>
      </w:divBdr>
    </w:div>
    <w:div w:id="1184780863">
      <w:bodyDiv w:val="1"/>
      <w:marLeft w:val="0"/>
      <w:marRight w:val="0"/>
      <w:marTop w:val="0"/>
      <w:marBottom w:val="0"/>
      <w:divBdr>
        <w:top w:val="none" w:sz="0" w:space="0" w:color="auto"/>
        <w:left w:val="none" w:sz="0" w:space="0" w:color="auto"/>
        <w:bottom w:val="none" w:sz="0" w:space="0" w:color="auto"/>
        <w:right w:val="none" w:sz="0" w:space="0" w:color="auto"/>
      </w:divBdr>
    </w:div>
    <w:div w:id="1258832105">
      <w:bodyDiv w:val="1"/>
      <w:marLeft w:val="0"/>
      <w:marRight w:val="0"/>
      <w:marTop w:val="0"/>
      <w:marBottom w:val="0"/>
      <w:divBdr>
        <w:top w:val="none" w:sz="0" w:space="0" w:color="auto"/>
        <w:left w:val="none" w:sz="0" w:space="0" w:color="auto"/>
        <w:bottom w:val="none" w:sz="0" w:space="0" w:color="auto"/>
        <w:right w:val="none" w:sz="0" w:space="0" w:color="auto"/>
      </w:divBdr>
    </w:div>
    <w:div w:id="1341199343">
      <w:bodyDiv w:val="1"/>
      <w:marLeft w:val="0"/>
      <w:marRight w:val="0"/>
      <w:marTop w:val="0"/>
      <w:marBottom w:val="0"/>
      <w:divBdr>
        <w:top w:val="none" w:sz="0" w:space="0" w:color="auto"/>
        <w:left w:val="none" w:sz="0" w:space="0" w:color="auto"/>
        <w:bottom w:val="none" w:sz="0" w:space="0" w:color="auto"/>
        <w:right w:val="none" w:sz="0" w:space="0" w:color="auto"/>
      </w:divBdr>
    </w:div>
    <w:div w:id="1356616039">
      <w:bodyDiv w:val="1"/>
      <w:marLeft w:val="0"/>
      <w:marRight w:val="0"/>
      <w:marTop w:val="0"/>
      <w:marBottom w:val="0"/>
      <w:divBdr>
        <w:top w:val="none" w:sz="0" w:space="0" w:color="auto"/>
        <w:left w:val="none" w:sz="0" w:space="0" w:color="auto"/>
        <w:bottom w:val="none" w:sz="0" w:space="0" w:color="auto"/>
        <w:right w:val="none" w:sz="0" w:space="0" w:color="auto"/>
      </w:divBdr>
    </w:div>
    <w:div w:id="1482577930">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 w:id="1678658233">
      <w:bodyDiv w:val="1"/>
      <w:marLeft w:val="0"/>
      <w:marRight w:val="0"/>
      <w:marTop w:val="0"/>
      <w:marBottom w:val="0"/>
      <w:divBdr>
        <w:top w:val="none" w:sz="0" w:space="0" w:color="auto"/>
        <w:left w:val="none" w:sz="0" w:space="0" w:color="auto"/>
        <w:bottom w:val="none" w:sz="0" w:space="0" w:color="auto"/>
        <w:right w:val="none" w:sz="0" w:space="0" w:color="auto"/>
      </w:divBdr>
    </w:div>
    <w:div w:id="1706637122">
      <w:bodyDiv w:val="1"/>
      <w:marLeft w:val="0"/>
      <w:marRight w:val="0"/>
      <w:marTop w:val="0"/>
      <w:marBottom w:val="0"/>
      <w:divBdr>
        <w:top w:val="none" w:sz="0" w:space="0" w:color="auto"/>
        <w:left w:val="none" w:sz="0" w:space="0" w:color="auto"/>
        <w:bottom w:val="none" w:sz="0" w:space="0" w:color="auto"/>
        <w:right w:val="none" w:sz="0" w:space="0" w:color="auto"/>
      </w:divBdr>
    </w:div>
    <w:div w:id="1767188088">
      <w:bodyDiv w:val="1"/>
      <w:marLeft w:val="0"/>
      <w:marRight w:val="0"/>
      <w:marTop w:val="0"/>
      <w:marBottom w:val="0"/>
      <w:divBdr>
        <w:top w:val="none" w:sz="0" w:space="0" w:color="auto"/>
        <w:left w:val="none" w:sz="0" w:space="0" w:color="auto"/>
        <w:bottom w:val="none" w:sz="0" w:space="0" w:color="auto"/>
        <w:right w:val="none" w:sz="0" w:space="0" w:color="auto"/>
      </w:divBdr>
    </w:div>
    <w:div w:id="1865514399">
      <w:bodyDiv w:val="1"/>
      <w:marLeft w:val="0"/>
      <w:marRight w:val="0"/>
      <w:marTop w:val="0"/>
      <w:marBottom w:val="0"/>
      <w:divBdr>
        <w:top w:val="none" w:sz="0" w:space="0" w:color="auto"/>
        <w:left w:val="none" w:sz="0" w:space="0" w:color="auto"/>
        <w:bottom w:val="none" w:sz="0" w:space="0" w:color="auto"/>
        <w:right w:val="none" w:sz="0" w:space="0" w:color="auto"/>
      </w:divBdr>
    </w:div>
    <w:div w:id="1968853527">
      <w:bodyDiv w:val="1"/>
      <w:marLeft w:val="0"/>
      <w:marRight w:val="0"/>
      <w:marTop w:val="0"/>
      <w:marBottom w:val="0"/>
      <w:divBdr>
        <w:top w:val="none" w:sz="0" w:space="0" w:color="auto"/>
        <w:left w:val="none" w:sz="0" w:space="0" w:color="auto"/>
        <w:bottom w:val="none" w:sz="0" w:space="0" w:color="auto"/>
        <w:right w:val="none" w:sz="0" w:space="0" w:color="auto"/>
      </w:divBdr>
    </w:div>
    <w:div w:id="200200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i.org/10.1016/j.jembe.2018.09.004" TargetMode="Externa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hyperlink" Target="https://doi.org/10.1139/cjz-2020-0145" TargetMode="External" Id="rId10" /><Relationship Type="http://schemas.openxmlformats.org/officeDocument/2006/relationships/settings" Target="settings.xml" Id="rId4" /><Relationship Type="http://schemas.openxmlformats.org/officeDocument/2006/relationships/hyperlink" Target="https://doi.org/10.1007/s12686-023-01302-w"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D6AAE0340A76546AEC815625A74F0D3" ma:contentTypeVersion="10" ma:contentTypeDescription="Create a new document." ma:contentTypeScope="" ma:versionID="37ce713dd9ea8860b41d5fa2c11a466e">
  <xsd:schema xmlns:xsd="http://www.w3.org/2001/XMLSchema" xmlns:xs="http://www.w3.org/2001/XMLSchema" xmlns:p="http://schemas.microsoft.com/office/2006/metadata/properties" xmlns:ns2="9c1447db-1895-44e3-90e5-6612ffa61a2c" targetNamespace="http://schemas.microsoft.com/office/2006/metadata/properties" ma:root="true" ma:fieldsID="2879ffd319974e0a205d8716a0fb19a4" ns2:_="">
    <xsd:import namespace="9c1447db-1895-44e3-90e5-6612ffa61a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447db-1895-44e3-90e5-6612ffa61a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c1447db-1895-44e3-90e5-6612ffa61a2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46851B-1414-44F8-8728-537B1C25B7D7}">
  <ds:schemaRefs>
    <ds:schemaRef ds:uri="http://schemas.openxmlformats.org/officeDocument/2006/bibliography"/>
  </ds:schemaRefs>
</ds:datastoreItem>
</file>

<file path=customXml/itemProps2.xml><?xml version="1.0" encoding="utf-8"?>
<ds:datastoreItem xmlns:ds="http://schemas.openxmlformats.org/officeDocument/2006/customXml" ds:itemID="{7671FF2A-B65C-46B8-895B-C64A3E50DEAF}"/>
</file>

<file path=customXml/itemProps3.xml><?xml version="1.0" encoding="utf-8"?>
<ds:datastoreItem xmlns:ds="http://schemas.openxmlformats.org/officeDocument/2006/customXml" ds:itemID="{295380ED-0C5F-48F2-B85F-A3D575BAB2C2}"/>
</file>

<file path=customXml/itemProps4.xml><?xml version="1.0" encoding="utf-8"?>
<ds:datastoreItem xmlns:ds="http://schemas.openxmlformats.org/officeDocument/2006/customXml" ds:itemID="{B821B08B-E52B-448D-9A3F-4582EDC77D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DFO-MPO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Meghan McBride</dc:creator>
  <keywords/>
  <dc:description/>
  <lastModifiedBy>Yaroshewski, Vicky (DFO/MPO)</lastModifiedBy>
  <revision>5</revision>
  <dcterms:created xsi:type="dcterms:W3CDTF">2025-03-04T17:09:00.0000000Z</dcterms:created>
  <dcterms:modified xsi:type="dcterms:W3CDTF">2025-03-04T20:42:20.1681844Z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2022-07-03T15:36:37Z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1844dda8-6f8b-46f2-99cc-7fddc4afe598</vt:lpwstr>
  </property>
  <property fmtid="{D5CDD505-2E9C-101B-9397-08002B2CF9AE}" pid="8" name="MSIP_Label_1bfb733f-faef-464c-9b6d-731b56f94973_ContentBits">
    <vt:lpwstr>0</vt:lpwstr>
  </property>
  <property fmtid="{D5CDD505-2E9C-101B-9397-08002B2CF9AE}" pid="9" name="ContentTypeId">
    <vt:lpwstr>0x0101004D6AAE0340A76546AEC815625A74F0D3</vt:lpwstr>
  </property>
  <property fmtid="{D5CDD505-2E9C-101B-9397-08002B2CF9AE}" pid="10" name="MediaServiceImageTags">
    <vt:lpwstr/>
  </property>
</Properties>
</file>