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160"/>
      </w:pPr>
      <w:r>
        <w:rPr>
          <w:rFonts w:ascii="Arial" w:cs="Arial" w:eastAsia="Arial" w:hAnsi="Arial"/>
          <w:b/>
          <w:bCs/>
          <w:color w:val="1F3864"/>
          <w:sz w:val="56"/>
          <w:szCs w:val="56"/>
        </w:rPr>
        <w:t xml:space="preserve">CIS AD GPO Hardening Script</w:t>
      </w:r>
    </w:p>
    <w:p>
      <w:pPr>
        <w:spacing w:before="0" w:after="80"/>
      </w:pPr>
      <w:r>
        <w:rPr>
          <w:rFonts w:ascii="Arial" w:cs="Arial" w:eastAsia="Arial" w:hAnsi="Arial"/>
          <w:color w:val="2E5FA3"/>
          <w:sz w:val="40"/>
          <w:szCs w:val="40"/>
        </w:rPr>
        <w:t xml:space="preserve">End User Impact Assessment</w:t>
      </w:r>
    </w:p>
    <w:p>
      <w:pPr>
        <w:pBdr>
          <w:bottom w:val="single" w:color="2E5FA3" w:sz="8" w:space="2"/>
        </w:pBdr>
        <w:spacing w:before="0" w:after="240"/>
      </w:pPr>
      <w:r>
        <w:t xml:space="preserve"/>
      </w:r>
    </w:p>
    <w:p>
      <w:pPr>
        <w:spacing w:before="80" w:after="0"/>
      </w:pPr>
      <w:r>
        <w:t xml:space="preserve"/>
      </w:r>
    </w:p>
    <w:p>
      <w:pPr>
        <w:spacing w:before="0" w:after="80"/>
      </w:pPr>
      <w:r>
        <w:rPr>
          <w:rFonts w:ascii="Arial" w:cs="Arial" w:eastAsia="Arial" w:hAnsi="Arial"/>
          <w:i/>
          <w:iCs/>
          <w:color w:val="888780"/>
          <w:sz w:val="22"/>
          <w:szCs w:val="22"/>
        </w:rPr>
        <w:t xml:space="preserve">Classification: Internal / Confidential</w:t>
      </w:r>
    </w:p>
    <w:p>
      <w:pPr>
        <w:spacing w:before="0" w:after="80"/>
      </w:pPr>
      <w:r>
        <w:rPr>
          <w:rFonts w:ascii="Arial" w:cs="Arial" w:eastAsia="Arial" w:hAnsi="Arial"/>
          <w:color w:val="888780"/>
          <w:sz w:val="22"/>
          <w:szCs w:val="22"/>
        </w:rPr>
        <w:t xml:space="preserve">Version: 1.0     |     Scope: All roles — DC, Member Server, Workstation</w:t>
      </w:r>
    </w:p>
    <w:p>
      <w:pPr>
        <w:spacing w:before="0" w:after="0"/>
      </w:pPr>
      <w:r>
        <w:rPr>
          <w:rFonts w:ascii="Arial" w:cs="Arial" w:eastAsia="Arial" w:hAnsi="Arial"/>
          <w:color w:val="888780"/>
          <w:sz w:val="22"/>
          <w:szCs w:val="22"/>
        </w:rPr>
        <w:t xml:space="preserve">Baselines: CIS Windows Server 2019, 2022, Windows 10, Windows 11 (L1 + L2)</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thick" w:color="185FA5" w:sz="12"/>
              <w:bottom w:val="single" w:color="185FA5" w:sz="4"/>
              <w:right w:val="single" w:color="185FA5" w:sz="4"/>
            </w:tcBorders>
            <w:shd w:fill="E6F1FB" w:val="clear"/>
            <w:tcMar>
              <w:top w:type="dxa" w:w="100"/>
              <w:left w:type="dxa" w:w="160"/>
              <w:bottom w:type="dxa" w:w="100"/>
              <w:right w:type="dxa" w:w="120"/>
            </w:tcMar>
          </w:tcPr>
          <w:p>
            <w:pPr>
              <w:spacing w:before="0" w:after="0"/>
            </w:pPr>
            <w:r>
              <w:rPr>
                <w:rFonts w:ascii="Arial" w:cs="Arial" w:eastAsia="Arial" w:hAnsi="Arial"/>
                <w:color w:val="2C2C2A"/>
                <w:sz w:val="20"/>
                <w:szCs w:val="20"/>
              </w:rPr>
              <w:t xml:space="preserve">PURPOSE: This document details every end-user-visible and operations-visible impact produced by the CIS hardening script. It is intended for use by IT operations, the helpdesk, change management, and communications teams prior to deployment. Each change is rated by blast radius and accompanied by the pre-work required to avoid unplanned outages.</w:t>
            </w:r>
          </w:p>
        </w:tc>
      </w:tr>
    </w:tbl>
    <w:p>
      <w:r>
        <w:br w:type="page"/>
      </w:r>
    </w:p>
    <w:p>
      <w:pPr>
        <w:pStyle w:val="Heading1"/>
        <w:pBdr>
          <w:bottom w:val="single" w:color="1F3864" w:sz="6" w:space="4"/>
        </w:pBdr>
        <w:spacing w:before="360" w:after="200"/>
      </w:pPr>
      <w:r>
        <w:rPr>
          <w:rFonts w:ascii="Arial" w:cs="Arial" w:eastAsia="Arial" w:hAnsi="Arial"/>
          <w:b/>
          <w:bCs/>
          <w:color w:val="1F3864"/>
          <w:sz w:val="32"/>
          <w:szCs w:val="32"/>
        </w:rPr>
        <w:t xml:space="preserve">1. Executive Summary</w:t>
      </w:r>
    </w:p>
    <w:p>
      <w:pPr>
        <w:spacing w:before="80" w:after="80"/>
        <w:jc w:val="both"/>
      </w:pPr>
      <w:r>
        <w:rPr>
          <w:rFonts w:ascii="Arial" w:cs="Arial" w:eastAsia="Arial" w:hAnsi="Arial"/>
          <w:color w:val="2C2C2A"/>
          <w:sz w:val="22"/>
          <w:szCs w:val="22"/>
        </w:rPr>
        <w:t xml:space="preserve">The CIS AD GPO Hardening Script applies 158+ security controls across Domain Controllers, Member Servers, and Workstations aligned to CIS Benchmark Levels 1 and 2. The majority of controls are invisible to end users. However, a subset of controls directly affects login flows, authentication protocols, application connectivity, and network communications in ways that will generate helpdesk tickets and potential outages if not managed proactively.</w:t>
      </w:r>
    </w:p>
    <w:p>
      <w:pPr>
        <w:spacing w:before="80" w:after="0"/>
      </w:pPr>
      <w:r>
        <w:t xml:space="preserve"/>
      </w:r>
    </w:p>
    <w:p>
      <w:pPr>
        <w:spacing w:before="80" w:after="80"/>
        <w:jc w:val="both"/>
      </w:pPr>
      <w:r>
        <w:rPr>
          <w:rFonts w:ascii="Arial" w:cs="Arial" w:eastAsia="Arial" w:hAnsi="Arial"/>
          <w:color w:val="2C2C2A"/>
          <w:sz w:val="22"/>
          <w:szCs w:val="22"/>
        </w:rPr>
        <w:t xml:space="preserve">This document categorises every impactful control into three tiers:</w:t>
      </w:r>
    </w:p>
    <w:p>
      <w:pPr>
        <w:pStyle w:val="ListParagraph"/>
        <w:numPr>
          <w:ilvl w:val="0"/>
          <w:numId w:val="2"/>
        </w:numPr>
        <w:spacing w:before="60" w:after="60"/>
      </w:pPr>
      <w:r>
        <w:rPr>
          <w:rFonts w:ascii="Arial" w:cs="Arial" w:eastAsia="Arial" w:hAnsi="Arial"/>
          <w:color w:val="2C2C2A"/>
          <w:sz w:val="22"/>
          <w:szCs w:val="22"/>
        </w:rPr>
        <w:t xml:space="preserve">Tier 1 — Will break things without pre-work (outage risk)</w:t>
      </w:r>
    </w:p>
    <w:p>
      <w:pPr>
        <w:pStyle w:val="ListParagraph"/>
        <w:numPr>
          <w:ilvl w:val="0"/>
          <w:numId w:val="2"/>
        </w:numPr>
        <w:spacing w:before="60" w:after="60"/>
      </w:pPr>
      <w:r>
        <w:rPr>
          <w:rFonts w:ascii="Arial" w:cs="Arial" w:eastAsia="Arial" w:hAnsi="Arial"/>
          <w:color w:val="2C2C2A"/>
          <w:sz w:val="22"/>
          <w:szCs w:val="22"/>
        </w:rPr>
        <w:t xml:space="preserve">Tier 2 — Affects daily workflows and admin tooling (helpdesk ticket risk)</w:t>
      </w:r>
    </w:p>
    <w:p>
      <w:pPr>
        <w:pStyle w:val="ListParagraph"/>
        <w:numPr>
          <w:ilvl w:val="0"/>
          <w:numId w:val="2"/>
        </w:numPr>
        <w:spacing w:before="60" w:after="60"/>
      </w:pPr>
      <w:r>
        <w:rPr>
          <w:rFonts w:ascii="Arial" w:cs="Arial" w:eastAsia="Arial" w:hAnsi="Arial"/>
          <w:color w:val="2C2C2A"/>
          <w:sz w:val="22"/>
          <w:szCs w:val="22"/>
        </w:rPr>
        <w:t xml:space="preserve">Tier 3 — Visible but low disruption (communication required)</w:t>
      </w:r>
    </w:p>
    <w:p>
      <w:pPr>
        <w:spacing w:before="80" w:after="0"/>
      </w:pPr>
      <w:r>
        <w:t xml:space="preserve"/>
      </w:r>
    </w:p>
    <w:p>
      <w:pPr>
        <w:spacing w:before="80" w:after="80"/>
        <w:jc w:val="both"/>
      </w:pPr>
      <w:r>
        <w:rPr>
          <w:rFonts w:ascii="Arial" w:cs="Arial" w:eastAsia="Arial" w:hAnsi="Arial"/>
          <w:color w:val="2C2C2A"/>
          <w:sz w:val="22"/>
          <w:szCs w:val="22"/>
        </w:rPr>
        <w:t xml:space="preserve">Controls not listed here are infrastructure-level changes (registry keys, audit policies, firewall rules) that are completely invisible to users and produce no operational change in normal usage.</w:t>
      </w:r>
    </w:p>
    <w:p>
      <w:pPr>
        <w:spacing w:before="120" w:after="0"/>
      </w:pPr>
      <w:r>
        <w:t xml:space="preserve"/>
      </w:r>
    </w:p>
    <w:p>
      <w:pPr>
        <w:pStyle w:val="Heading2"/>
        <w:spacing w:before="280" w:after="140"/>
      </w:pPr>
      <w:r>
        <w:rPr>
          <w:rFonts w:ascii="Arial" w:cs="Arial" w:eastAsia="Arial" w:hAnsi="Arial"/>
          <w:b/>
          <w:bCs/>
          <w:color w:val="2E5FA3"/>
          <w:sz w:val="26"/>
          <w:szCs w:val="26"/>
        </w:rPr>
        <w:t xml:space="preserve">1.1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760"/>
        <w:gridCol w:w="20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Control / Change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Affected Users</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Impact Description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TLS 1.0/1.1 disable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All users + apps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Legacy app connections fail silently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App audit required — 1 week lead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SMBv1 disable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Shared drives, printers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Older NAS/MFP devices stop responding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Device firmware audit before deploy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ASR Block mode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IT/Ops teams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RMM agents, SCCM may stop functioning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Audit mode 2+ weeks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Print Spooler off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LOB app 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Some ERP/reporting printing breaks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Survey active print queues on servers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Credential Guard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Legacy app users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NTLMv1 apps + some VPN clients break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Check VPN + legacy app auth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CTRL+ALT+DEL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All 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Login flow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Communication email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Account lockout: 5 attempts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All users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Mobile credential cache triggers lockout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Notify users, audit cached credentials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Password length 14 chars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All users on next reset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Forced password change at expiry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Helpdesk staffing on rollout day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WinRM basic auth off</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IT/Ops teams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PS remoting HTTP scripts break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Migrate scripts to HTTPS/Kerberos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RDP clipboard disabled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Admins, power 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Copy-paste between RDP sessions blocked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2C2C2A"/>
                <w:sz w:val="19"/>
                <w:szCs w:val="19"/>
              </w:rPr>
              <w:t xml:space="preserve">Establish alternative file transfer method</w:t>
            </w:r>
          </w:p>
        </w:tc>
      </w:tr>
    </w:tbl>
    <w:p>
      <w:r>
        <w:br w:type="page"/>
      </w:r>
    </w:p>
    <w:p>
      <w:pPr>
        <w:pStyle w:val="Heading1"/>
        <w:pBdr>
          <w:bottom w:val="single" w:color="1F3864" w:sz="6" w:space="4"/>
        </w:pBdr>
        <w:spacing w:before="360" w:after="200"/>
      </w:pPr>
      <w:r>
        <w:rPr>
          <w:rFonts w:ascii="Arial" w:cs="Arial" w:eastAsia="Arial" w:hAnsi="Arial"/>
          <w:b/>
          <w:bCs/>
          <w:color w:val="1F3864"/>
          <w:sz w:val="32"/>
          <w:szCs w:val="32"/>
        </w:rPr>
        <w:t xml:space="preserve">2. Tier 1 — Outage Risk (Pre-Work Required)</w:t>
      </w:r>
    </w:p>
    <w:p>
      <w:pPr>
        <w:spacing w:before="80" w:after="80"/>
        <w:jc w:val="both"/>
      </w:pPr>
      <w:r>
        <w:rPr>
          <w:rFonts w:ascii="Arial" w:cs="Arial" w:eastAsia="Arial" w:hAnsi="Arial"/>
          <w:color w:val="2C2C2A"/>
          <w:sz w:val="22"/>
          <w:szCs w:val="22"/>
        </w:rPr>
        <w:t xml:space="preserve">The following controls will cause application failures or connectivity outages if deployed without the prerequisite audit and remediation steps. Each must be treated as an individual change with its own change window and rollback plan.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4B4A" w:sz="4"/>
              <w:left w:val="thick" w:color="E24B4A" w:sz="12"/>
              <w:bottom w:val="single" w:color="E24B4A" w:sz="4"/>
              <w:right w:val="single" w:color="E24B4A" w:sz="4"/>
            </w:tcBorders>
            <w:shd w:fill="FCEBEB" w:val="clear"/>
            <w:tcMar>
              <w:top w:type="dxa" w:w="100"/>
              <w:left w:type="dxa" w:w="160"/>
              <w:bottom w:type="dxa" w:w="100"/>
              <w:right w:type="dxa" w:w="120"/>
            </w:tcMar>
          </w:tcPr>
          <w:p>
            <w:pPr>
              <w:spacing w:before="0" w:after="0"/>
            </w:pPr>
            <w:r>
              <w:rPr>
                <w:rFonts w:ascii="Arial" w:cs="Arial" w:eastAsia="Arial" w:hAnsi="Arial"/>
                <w:color w:val="2C2C2A"/>
                <w:sz w:val="20"/>
                <w:szCs w:val="20"/>
              </w:rPr>
              <w:t xml:space="preserve">REQUIREMENT: No Tier 1 control should be deployed in the same change window as any other Tier 1 control. Each requires its own audit period, stakeholder sign-off, and rollback window.</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0"/>
            </w:pPr>
            <w:r>
              <w:rPr>
                <w:rFonts w:ascii="Arial" w:cs="Arial" w:eastAsia="Arial" w:hAnsi="Arial"/>
                <w:b/>
                <w:bCs/>
                <w:color w:val="791F1F"/>
                <w:sz w:val="24"/>
                <w:szCs w:val="24"/>
              </w:rPr>
              <w:t xml:space="preserve">2.1  TLS 1.0 and TLS 1.1 — Disable</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Disables SSL 2.0, SSL 3.0, TLS 1.0, and TLS 1.1 in the Windows SChannel stack. Explicitly enables TLS 1.2 and TLS 1.3. Disables RC4, DES, 3DES, and NULL ciphers. Enforces AES-256-GCM cipher suite priority. Enforces minimum 2048-bit Diffie-Hellman key size. Changes take effect after reboot.</w:t>
      </w:r>
    </w:p>
    <w:p>
      <w:pPr>
        <w:pStyle w:val="Heading3"/>
        <w:spacing w:before="200" w:after="100"/>
      </w:pPr>
      <w:r>
        <w:rPr>
          <w:rFonts w:ascii="Arial" w:cs="Arial" w:eastAsia="Arial" w:hAnsi="Arial"/>
          <w:b/>
          <w:bCs/>
          <w:color w:val="2E75B6"/>
          <w:sz w:val="24"/>
          <w:szCs w:val="24"/>
        </w:rPr>
        <w:t xml:space="preserve">Who is affected</w:t>
      </w:r>
    </w:p>
    <w:p>
      <w:pPr>
        <w:pStyle w:val="ListParagraph"/>
        <w:numPr>
          <w:ilvl w:val="0"/>
          <w:numId w:val="2"/>
        </w:numPr>
        <w:spacing w:before="60" w:after="60"/>
      </w:pPr>
      <w:r>
        <w:rPr>
          <w:rFonts w:ascii="Arial" w:cs="Arial" w:eastAsia="Arial" w:hAnsi="Arial"/>
          <w:color w:val="2C2C2A"/>
          <w:sz w:val="22"/>
          <w:szCs w:val="22"/>
        </w:rPr>
        <w:t xml:space="preserve">Any user accessing a web application, API, or service hosted on or behind a server that still communicates over TLS 1.0 or 1.1</w:t>
      </w:r>
    </w:p>
    <w:p>
      <w:pPr>
        <w:pStyle w:val="ListParagraph"/>
        <w:numPr>
          <w:ilvl w:val="0"/>
          <w:numId w:val="2"/>
        </w:numPr>
        <w:spacing w:before="60" w:after="60"/>
      </w:pPr>
      <w:r>
        <w:rPr>
          <w:rFonts w:ascii="Arial" w:cs="Arial" w:eastAsia="Arial" w:hAnsi="Arial"/>
          <w:color w:val="2C2C2A"/>
          <w:sz w:val="22"/>
          <w:szCs w:val="22"/>
        </w:rPr>
        <w:t xml:space="preserve">IT staff using management tools or monitoring agents that have not been updated to TLS 1.2</w:t>
      </w:r>
    </w:p>
    <w:p>
      <w:pPr>
        <w:pStyle w:val="ListParagraph"/>
        <w:numPr>
          <w:ilvl w:val="0"/>
          <w:numId w:val="2"/>
        </w:numPr>
        <w:spacing w:before="60" w:after="60"/>
      </w:pPr>
      <w:r>
        <w:rPr>
          <w:rFonts w:ascii="Arial" w:cs="Arial" w:eastAsia="Arial" w:hAnsi="Arial"/>
          <w:color w:val="2C2C2A"/>
          <w:sz w:val="22"/>
          <w:szCs w:val="22"/>
        </w:rPr>
        <w:t xml:space="preserve">Users who print via HTTPS endpoints on older MFP devices</w:t>
      </w:r>
    </w:p>
    <w:p>
      <w:pPr>
        <w:pStyle w:val="Heading3"/>
        <w:spacing w:before="200" w:after="100"/>
      </w:pPr>
      <w:r>
        <w:rPr>
          <w:rFonts w:ascii="Arial" w:cs="Arial" w:eastAsia="Arial" w:hAnsi="Arial"/>
          <w:b/>
          <w:bCs/>
          <w:color w:val="2E75B6"/>
          <w:sz w:val="24"/>
          <w:szCs w:val="24"/>
        </w:rPr>
        <w:t xml:space="preserve">Common casualties</w:t>
      </w:r>
    </w:p>
    <w:p>
      <w:pPr>
        <w:pStyle w:val="ListParagraph"/>
        <w:numPr>
          <w:ilvl w:val="0"/>
          <w:numId w:val="3"/>
        </w:numPr>
        <w:spacing w:before="40" w:after="40"/>
      </w:pPr>
      <w:r>
        <w:rPr>
          <w:rFonts w:ascii="Arial" w:cs="Arial" w:eastAsia="Arial" w:hAnsi="Arial"/>
          <w:color w:val="444441"/>
          <w:sz w:val="20"/>
          <w:szCs w:val="20"/>
        </w:rPr>
        <w:t xml:space="preserve">Older versions of SQL Server Reporting Services (SSRS) — especially pre-2016 instances</w:t>
      </w:r>
    </w:p>
    <w:p>
      <w:pPr>
        <w:pStyle w:val="ListParagraph"/>
        <w:numPr>
          <w:ilvl w:val="0"/>
          <w:numId w:val="3"/>
        </w:numPr>
        <w:spacing w:before="40" w:after="40"/>
      </w:pPr>
      <w:r>
        <w:rPr>
          <w:rFonts w:ascii="Arial" w:cs="Arial" w:eastAsia="Arial" w:hAnsi="Arial"/>
          <w:color w:val="444441"/>
          <w:sz w:val="20"/>
          <w:szCs w:val="20"/>
        </w:rPr>
        <w:t xml:space="preserve">.NET Framework 3.5 and 4.0 applications compiled without explicit TLS 1.2 support</w:t>
      </w:r>
    </w:p>
    <w:p>
      <w:pPr>
        <w:pStyle w:val="ListParagraph"/>
        <w:numPr>
          <w:ilvl w:val="0"/>
          <w:numId w:val="3"/>
        </w:numPr>
        <w:spacing w:before="40" w:after="40"/>
      </w:pPr>
      <w:r>
        <w:rPr>
          <w:rFonts w:ascii="Arial" w:cs="Arial" w:eastAsia="Arial" w:hAnsi="Arial"/>
          <w:color w:val="444441"/>
          <w:sz w:val="20"/>
          <w:szCs w:val="20"/>
        </w:rPr>
        <w:t xml:space="preserve">Multifunction printers (Ricoh, Xerox, Konica Minolta) with outdated firmware using HTTPS scanning</w:t>
      </w:r>
    </w:p>
    <w:p>
      <w:pPr>
        <w:pStyle w:val="ListParagraph"/>
        <w:numPr>
          <w:ilvl w:val="0"/>
          <w:numId w:val="3"/>
        </w:numPr>
        <w:spacing w:before="40" w:after="40"/>
      </w:pPr>
      <w:r>
        <w:rPr>
          <w:rFonts w:ascii="Arial" w:cs="Arial" w:eastAsia="Arial" w:hAnsi="Arial"/>
          <w:color w:val="444441"/>
          <w:sz w:val="20"/>
          <w:szCs w:val="20"/>
        </w:rPr>
        <w:t xml:space="preserve">Legacy payment processing integrations and older POS terminal software</w:t>
      </w:r>
    </w:p>
    <w:p>
      <w:pPr>
        <w:pStyle w:val="ListParagraph"/>
        <w:numPr>
          <w:ilvl w:val="0"/>
          <w:numId w:val="3"/>
        </w:numPr>
        <w:spacing w:before="40" w:after="40"/>
      </w:pPr>
      <w:r>
        <w:rPr>
          <w:rFonts w:ascii="Arial" w:cs="Arial" w:eastAsia="Arial" w:hAnsi="Arial"/>
          <w:color w:val="444441"/>
          <w:sz w:val="20"/>
          <w:szCs w:val="20"/>
        </w:rPr>
        <w:t xml:space="preserve">Third-party monitoring and backup agents that use embedded TLS stacks</w:t>
      </w:r>
    </w:p>
    <w:p>
      <w:pPr>
        <w:pStyle w:val="ListParagraph"/>
        <w:numPr>
          <w:ilvl w:val="0"/>
          <w:numId w:val="3"/>
        </w:numPr>
        <w:spacing w:before="40" w:after="40"/>
      </w:pPr>
      <w:r>
        <w:rPr>
          <w:rFonts w:ascii="Arial" w:cs="Arial" w:eastAsia="Arial" w:hAnsi="Arial"/>
          <w:color w:val="444441"/>
          <w:sz w:val="20"/>
          <w:szCs w:val="20"/>
        </w:rPr>
        <w:t xml:space="preserve">Custom LOB applications with hardcoded SSL/TLS version negotiation</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4"/>
        </w:numPr>
        <w:spacing w:before="60" w:after="60"/>
      </w:pPr>
      <w:r>
        <w:rPr>
          <w:rFonts w:ascii="Arial" w:cs="Arial" w:eastAsia="Arial" w:hAnsi="Arial"/>
          <w:color w:val="2C2C2A"/>
          <w:sz w:val="22"/>
          <w:szCs w:val="22"/>
        </w:rPr>
        <w:t xml:space="preserve">Enable SChannel event logging: set HKLM\SYSTEM\CurrentControlSet\Control\SecurityProviders\SCHANNEL\EventLogging = 7 in audit mode and collect for a minimum of 7 days.</w:t>
      </w:r>
    </w:p>
    <w:p>
      <w:pPr>
        <w:pStyle w:val="ListParagraph"/>
        <w:numPr>
          <w:ilvl w:val="0"/>
          <w:numId w:val="4"/>
        </w:numPr>
        <w:spacing w:before="60" w:after="60"/>
      </w:pPr>
      <w:r>
        <w:rPr>
          <w:rFonts w:ascii="Arial" w:cs="Arial" w:eastAsia="Arial" w:hAnsi="Arial"/>
          <w:color w:val="2C2C2A"/>
          <w:sz w:val="22"/>
          <w:szCs w:val="22"/>
        </w:rPr>
        <w:t xml:space="preserve">Review Event IDs 36871 and 36874 in the System log to identify every application attempting a TLS 1.0/1.1 connection.</w:t>
      </w:r>
    </w:p>
    <w:p>
      <w:pPr>
        <w:pStyle w:val="ListParagraph"/>
        <w:numPr>
          <w:ilvl w:val="0"/>
          <w:numId w:val="4"/>
        </w:numPr>
        <w:spacing w:before="60" w:after="60"/>
      </w:pPr>
      <w:r>
        <w:rPr>
          <w:rFonts w:ascii="Arial" w:cs="Arial" w:eastAsia="Arial" w:hAnsi="Arial"/>
          <w:color w:val="2C2C2A"/>
          <w:sz w:val="22"/>
          <w:szCs w:val="22"/>
        </w:rPr>
        <w:t xml:space="preserve">For each identified application, either update it to TLS 1.2 or apply Microsoft's Easy Fix (KB3140245 for .NET, registry patch for older frameworks) before the cutover.</w:t>
      </w:r>
    </w:p>
    <w:p>
      <w:pPr>
        <w:pStyle w:val="ListParagraph"/>
        <w:numPr>
          <w:ilvl w:val="0"/>
          <w:numId w:val="4"/>
        </w:numPr>
        <w:spacing w:before="60" w:after="60"/>
      </w:pPr>
      <w:r>
        <w:rPr>
          <w:rFonts w:ascii="Arial" w:cs="Arial" w:eastAsia="Arial" w:hAnsi="Arial"/>
          <w:color w:val="2C2C2A"/>
          <w:sz w:val="22"/>
          <w:szCs w:val="22"/>
        </w:rPr>
        <w:t xml:space="preserve">Update MFP firmware or configure SMTP/HTTPS scanning to use TLS 1.2 endpoints before deploying.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thick" w:color="1D9E75" w:sz="12"/>
              <w:bottom w:val="single" w:color="1D9E75" w:sz="4"/>
              <w:right w:val="single" w:color="1D9E75" w:sz="4"/>
            </w:tcBorders>
            <w:shd w:fill="E1F5EE" w:val="clear"/>
            <w:tcMar>
              <w:top w:type="dxa" w:w="100"/>
              <w:left w:type="dxa" w:w="160"/>
              <w:bottom w:type="dxa" w:w="100"/>
              <w:right w:type="dxa" w:w="120"/>
            </w:tcMar>
          </w:tcPr>
          <w:p>
            <w:pPr>
              <w:spacing w:before="0" w:after="0"/>
            </w:pPr>
            <w:r>
              <w:rPr>
                <w:rFonts w:ascii="Arial" w:cs="Arial" w:eastAsia="Arial" w:hAnsi="Arial"/>
                <w:color w:val="2C2C2A"/>
                <w:sz w:val="20"/>
                <w:szCs w:val="20"/>
              </w:rPr>
              <w:t xml:space="preserve">SCRIPT FLAG: Use -TLSAudit before -Apply to generate a pre-deployment readiness report listing every SChannel negotiation failure in the last 7 days.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0"/>
            </w:pPr>
            <w:r>
              <w:rPr>
                <w:rFonts w:ascii="Arial" w:cs="Arial" w:eastAsia="Arial" w:hAnsi="Arial"/>
                <w:b/>
                <w:bCs/>
                <w:color w:val="791F1F"/>
                <w:sz w:val="24"/>
                <w:szCs w:val="24"/>
              </w:rPr>
              <w:t xml:space="preserve">2.2  SMBv1 — Hard Disable</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Calls Set-SmbServerConfiguration -EnableSMB1Protocol $false and sets the SMB1 feature to disabled state. This is separate from and in addition to the SecurityOptions SMB signing requirement.</w:t>
      </w:r>
    </w:p>
    <w:p>
      <w:pPr>
        <w:pStyle w:val="Heading3"/>
        <w:spacing w:before="200" w:after="100"/>
      </w:pPr>
      <w:r>
        <w:rPr>
          <w:rFonts w:ascii="Arial" w:cs="Arial" w:eastAsia="Arial" w:hAnsi="Arial"/>
          <w:b/>
          <w:bCs/>
          <w:color w:val="2E75B6"/>
          <w:sz w:val="24"/>
          <w:szCs w:val="24"/>
        </w:rPr>
        <w:t xml:space="preserve">Who is affected</w:t>
      </w:r>
    </w:p>
    <w:p>
      <w:pPr>
        <w:pStyle w:val="ListParagraph"/>
        <w:numPr>
          <w:ilvl w:val="0"/>
          <w:numId w:val="2"/>
        </w:numPr>
        <w:spacing w:before="60" w:after="60"/>
      </w:pPr>
      <w:r>
        <w:rPr>
          <w:rFonts w:ascii="Arial" w:cs="Arial" w:eastAsia="Arial" w:hAnsi="Arial"/>
          <w:color w:val="2C2C2A"/>
          <w:sz w:val="22"/>
          <w:szCs w:val="22"/>
        </w:rPr>
        <w:t xml:space="preserve">Users accessing file shares or scan-to-folder workflows from older NAS or MFP devices</w:t>
      </w:r>
    </w:p>
    <w:p>
      <w:pPr>
        <w:pStyle w:val="ListParagraph"/>
        <w:numPr>
          <w:ilvl w:val="0"/>
          <w:numId w:val="2"/>
        </w:numPr>
        <w:spacing w:before="60" w:after="60"/>
      </w:pPr>
      <w:r>
        <w:rPr>
          <w:rFonts w:ascii="Arial" w:cs="Arial" w:eastAsia="Arial" w:hAnsi="Arial"/>
          <w:color w:val="2C2C2A"/>
          <w:sz w:val="22"/>
          <w:szCs w:val="22"/>
        </w:rPr>
        <w:t xml:space="preserve">Backup operators using agents that communicate over SMBv1</w:t>
      </w:r>
    </w:p>
    <w:p>
      <w:pPr>
        <w:pStyle w:val="ListParagraph"/>
        <w:numPr>
          <w:ilvl w:val="0"/>
          <w:numId w:val="2"/>
        </w:numPr>
        <w:spacing w:before="60" w:after="60"/>
      </w:pPr>
      <w:r>
        <w:rPr>
          <w:rFonts w:ascii="Arial" w:cs="Arial" w:eastAsia="Arial" w:hAnsi="Arial"/>
          <w:color w:val="2C2C2A"/>
          <w:sz w:val="22"/>
          <w:szCs w:val="22"/>
        </w:rPr>
        <w:t xml:space="preserve">Any automated workflow that maps drives to or from a device running SMBv1-only firmware</w:t>
      </w:r>
    </w:p>
    <w:p>
      <w:pPr>
        <w:pStyle w:val="Heading3"/>
        <w:spacing w:before="200" w:after="100"/>
      </w:pPr>
      <w:r>
        <w:rPr>
          <w:rFonts w:ascii="Arial" w:cs="Arial" w:eastAsia="Arial" w:hAnsi="Arial"/>
          <w:b/>
          <w:bCs/>
          <w:color w:val="2E75B6"/>
          <w:sz w:val="24"/>
          <w:szCs w:val="24"/>
        </w:rPr>
        <w:t xml:space="preserve">Common casualties</w:t>
      </w:r>
    </w:p>
    <w:p>
      <w:pPr>
        <w:pStyle w:val="ListParagraph"/>
        <w:numPr>
          <w:ilvl w:val="0"/>
          <w:numId w:val="3"/>
        </w:numPr>
        <w:spacing w:before="40" w:after="40"/>
      </w:pPr>
      <w:r>
        <w:rPr>
          <w:rFonts w:ascii="Arial" w:cs="Arial" w:eastAsia="Arial" w:hAnsi="Arial"/>
          <w:color w:val="444441"/>
          <w:sz w:val="20"/>
          <w:szCs w:val="20"/>
        </w:rPr>
        <w:t xml:space="preserve">Synology and QNAP NAS devices on firmware older than DSM 6.x / QTS 4.1</w:t>
      </w:r>
    </w:p>
    <w:p>
      <w:pPr>
        <w:pStyle w:val="ListParagraph"/>
        <w:numPr>
          <w:ilvl w:val="0"/>
          <w:numId w:val="3"/>
        </w:numPr>
        <w:spacing w:before="40" w:after="40"/>
      </w:pPr>
      <w:r>
        <w:rPr>
          <w:rFonts w:ascii="Arial" w:cs="Arial" w:eastAsia="Arial" w:hAnsi="Arial"/>
          <w:color w:val="444441"/>
          <w:sz w:val="20"/>
          <w:szCs w:val="20"/>
        </w:rPr>
        <w:t xml:space="preserve">Ricoh, Xerox, and Konica Minolta MFPs from pre-2016 with no firmware update available</w:t>
      </w:r>
    </w:p>
    <w:p>
      <w:pPr>
        <w:pStyle w:val="ListParagraph"/>
        <w:numPr>
          <w:ilvl w:val="0"/>
          <w:numId w:val="3"/>
        </w:numPr>
        <w:spacing w:before="40" w:after="40"/>
      </w:pPr>
      <w:r>
        <w:rPr>
          <w:rFonts w:ascii="Arial" w:cs="Arial" w:eastAsia="Arial" w:hAnsi="Arial"/>
          <w:color w:val="444441"/>
          <w:sz w:val="20"/>
          <w:szCs w:val="20"/>
        </w:rPr>
        <w:t xml:space="preserve">Windows XP and Windows Server 2003 machines (should not be present, but often are)</w:t>
      </w:r>
    </w:p>
    <w:p>
      <w:pPr>
        <w:pStyle w:val="ListParagraph"/>
        <w:numPr>
          <w:ilvl w:val="0"/>
          <w:numId w:val="3"/>
        </w:numPr>
        <w:spacing w:before="40" w:after="40"/>
      </w:pPr>
      <w:r>
        <w:rPr>
          <w:rFonts w:ascii="Arial" w:cs="Arial" w:eastAsia="Arial" w:hAnsi="Arial"/>
          <w:color w:val="444441"/>
          <w:sz w:val="20"/>
          <w:szCs w:val="20"/>
        </w:rPr>
        <w:t xml:space="preserve">Some older backup agents (Backup Exec pre-2014, older Veeam versions)</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Run Get-SmbSession on all servers to identify active SMBv1 connections by source IP and map those to devices</w:t>
      </w:r>
    </w:p>
    <w:p>
      <w:pPr>
        <w:pStyle w:val="ListParagraph"/>
        <w:numPr>
          <w:ilvl w:val="0"/>
          <w:numId w:val="2"/>
        </w:numPr>
        <w:spacing w:before="60" w:after="60"/>
      </w:pPr>
      <w:r>
        <w:rPr>
          <w:rFonts w:ascii="Arial" w:cs="Arial" w:eastAsia="Arial" w:hAnsi="Arial"/>
          <w:color w:val="2C2C2A"/>
          <w:sz w:val="22"/>
          <w:szCs w:val="22"/>
        </w:rPr>
        <w:t xml:space="preserve">Check NAS and MFP firmware versions and schedule updates before the change window</w:t>
      </w:r>
    </w:p>
    <w:p>
      <w:pPr>
        <w:pStyle w:val="ListParagraph"/>
        <w:numPr>
          <w:ilvl w:val="0"/>
          <w:numId w:val="2"/>
        </w:numPr>
        <w:spacing w:before="60" w:after="60"/>
      </w:pPr>
      <w:r>
        <w:rPr>
          <w:rFonts w:ascii="Arial" w:cs="Arial" w:eastAsia="Arial" w:hAnsi="Arial"/>
          <w:color w:val="2C2C2A"/>
          <w:sz w:val="22"/>
          <w:szCs w:val="22"/>
        </w:rPr>
        <w:t xml:space="preserve">For devices with no TLS 1.2 or SMBv2 upgrade path, isolate them to a separate VLAN or decommission before deploying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0"/>
            </w:pPr>
            <w:r>
              <w:rPr>
                <w:rFonts w:ascii="Arial" w:cs="Arial" w:eastAsia="Arial" w:hAnsi="Arial"/>
                <w:b/>
                <w:bCs/>
                <w:color w:val="791F1F"/>
                <w:sz w:val="24"/>
                <w:szCs w:val="24"/>
              </w:rPr>
              <w:t xml:space="preserve">2.3  ASR Rules — Block Mode</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Applies 16 Attack Surface Reduction rules via Defender Policy GPO. The script accepts a -ASRMode Audit|Block parameter. Block mode is the hardened final state but must be preceded by an Audit mode period.</w:t>
      </w:r>
    </w:p>
    <w:p>
      <w:pPr>
        <w:pStyle w:val="Heading3"/>
        <w:spacing w:before="200" w:after="100"/>
      </w:pPr>
      <w:r>
        <w:rPr>
          <w:rFonts w:ascii="Arial" w:cs="Arial" w:eastAsia="Arial" w:hAnsi="Arial"/>
          <w:b/>
          <w:bCs/>
          <w:color w:val="2E75B6"/>
          <w:sz w:val="24"/>
          <w:szCs w:val="24"/>
        </w:rPr>
        <w:t xml:space="preserve">Who is affected</w:t>
      </w:r>
    </w:p>
    <w:p>
      <w:pPr>
        <w:pStyle w:val="ListParagraph"/>
        <w:numPr>
          <w:ilvl w:val="0"/>
          <w:numId w:val="2"/>
        </w:numPr>
        <w:spacing w:before="60" w:after="60"/>
      </w:pPr>
      <w:r>
        <w:rPr>
          <w:rFonts w:ascii="Arial" w:cs="Arial" w:eastAsia="Arial" w:hAnsi="Arial"/>
          <w:color w:val="2C2C2A"/>
          <w:sz w:val="22"/>
          <w:szCs w:val="22"/>
        </w:rPr>
        <w:t xml:space="preserve">IT and operations staff whose management tooling uses WMI subscriptions, PSExec-style execution, or Office macro automation</w:t>
      </w:r>
    </w:p>
    <w:p>
      <w:pPr>
        <w:pStyle w:val="ListParagraph"/>
        <w:numPr>
          <w:ilvl w:val="0"/>
          <w:numId w:val="2"/>
        </w:numPr>
        <w:spacing w:before="60" w:after="60"/>
      </w:pPr>
      <w:r>
        <w:rPr>
          <w:rFonts w:ascii="Arial" w:cs="Arial" w:eastAsia="Arial" w:hAnsi="Arial"/>
          <w:color w:val="2C2C2A"/>
          <w:sz w:val="22"/>
          <w:szCs w:val="22"/>
        </w:rPr>
        <w:t xml:space="preserve">Software deployment engineers using SCCM, Intune, or third-party deployment tools</w:t>
      </w:r>
    </w:p>
    <w:p>
      <w:pPr>
        <w:pStyle w:val="ListParagraph"/>
        <w:numPr>
          <w:ilvl w:val="0"/>
          <w:numId w:val="2"/>
        </w:numPr>
        <w:spacing w:before="60" w:after="60"/>
      </w:pPr>
      <w:r>
        <w:rPr>
          <w:rFonts w:ascii="Arial" w:cs="Arial" w:eastAsia="Arial" w:hAnsi="Arial"/>
          <w:color w:val="2C2C2A"/>
          <w:sz w:val="22"/>
          <w:szCs w:val="22"/>
        </w:rPr>
        <w:t xml:space="preserve">Developers who test or build automation using Office VBA with Win32 API calls</w:t>
      </w:r>
    </w:p>
    <w:p>
      <w:pPr>
        <w:pStyle w:val="Heading3"/>
        <w:spacing w:before="200" w:after="100"/>
      </w:pPr>
      <w:r>
        <w:rPr>
          <w:rFonts w:ascii="Arial" w:cs="Arial" w:eastAsia="Arial" w:hAnsi="Arial"/>
          <w:b/>
          <w:bCs/>
          <w:color w:val="2E75B6"/>
          <w:sz w:val="24"/>
          <w:szCs w:val="24"/>
        </w:rPr>
        <w:t xml:space="preserve">Rules with highest operational blast radius</w:t>
      </w:r>
    </w:p>
    <w:p>
      <w:pPr>
        <w:pStyle w:val="ListParagraph"/>
        <w:numPr>
          <w:ilvl w:val="0"/>
          <w:numId w:val="3"/>
        </w:numPr>
        <w:spacing w:before="40" w:after="40"/>
      </w:pPr>
      <w:r>
        <w:rPr>
          <w:rFonts w:ascii="Arial" w:cs="Arial" w:eastAsia="Arial" w:hAnsi="Arial"/>
          <w:color w:val="444441"/>
          <w:sz w:val="20"/>
          <w:szCs w:val="20"/>
        </w:rPr>
        <w:t xml:space="preserve">d1e49aac (Block process creation from PSExec/WMI) — will disable ConnectWise, Kaseya, NinjaRMM, and similar RMM agents if not excluded</w:t>
      </w:r>
    </w:p>
    <w:p>
      <w:pPr>
        <w:pStyle w:val="ListParagraph"/>
        <w:numPr>
          <w:ilvl w:val="0"/>
          <w:numId w:val="3"/>
        </w:numPr>
        <w:spacing w:before="40" w:after="40"/>
      </w:pPr>
      <w:r>
        <w:rPr>
          <w:rFonts w:ascii="Arial" w:cs="Arial" w:eastAsia="Arial" w:hAnsi="Arial"/>
          <w:color w:val="444441"/>
          <w:sz w:val="20"/>
          <w:szCs w:val="20"/>
        </w:rPr>
        <w:t xml:space="preserve">e6db77e5 (Block WMI event subscription persistence) — will break monitoring agents that register WMI event consumers</w:t>
      </w:r>
    </w:p>
    <w:p>
      <w:pPr>
        <w:pStyle w:val="ListParagraph"/>
        <w:numPr>
          <w:ilvl w:val="0"/>
          <w:numId w:val="3"/>
        </w:numPr>
        <w:spacing w:before="40" w:after="40"/>
      </w:pPr>
      <w:r>
        <w:rPr>
          <w:rFonts w:ascii="Arial" w:cs="Arial" w:eastAsia="Arial" w:hAnsi="Arial"/>
          <w:color w:val="444441"/>
          <w:sz w:val="20"/>
          <w:szCs w:val="20"/>
        </w:rPr>
        <w:t xml:space="preserve">92e97fa1 (Block Win32 API calls from Office macros) — will break Excel and Access automations in finance and operations workflows</w:t>
      </w:r>
    </w:p>
    <w:p>
      <w:pPr>
        <w:pStyle w:val="ListParagraph"/>
        <w:numPr>
          <w:ilvl w:val="0"/>
          <w:numId w:val="3"/>
        </w:numPr>
        <w:spacing w:before="40" w:after="40"/>
      </w:pPr>
      <w:r>
        <w:rPr>
          <w:rFonts w:ascii="Arial" w:cs="Arial" w:eastAsia="Arial" w:hAnsi="Arial"/>
          <w:color w:val="444441"/>
          <w:sz w:val="20"/>
          <w:szCs w:val="20"/>
        </w:rPr>
        <w:t xml:space="preserve">56a863a9 (Block vulnerable signed driver abuse) — may conflict with legitimate signed drivers from hardware vendors</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Deploy all rules in Audit mode for a minimum of 14 days before switching to Block</w:t>
      </w:r>
    </w:p>
    <w:p>
      <w:pPr>
        <w:pStyle w:val="ListParagraph"/>
        <w:numPr>
          <w:ilvl w:val="0"/>
          <w:numId w:val="2"/>
        </w:numPr>
        <w:spacing w:before="60" w:after="60"/>
      </w:pPr>
      <w:r>
        <w:rPr>
          <w:rFonts w:ascii="Arial" w:cs="Arial" w:eastAsia="Arial" w:hAnsi="Arial"/>
          <w:color w:val="2C2C2A"/>
          <w:sz w:val="22"/>
          <w:szCs w:val="22"/>
        </w:rPr>
        <w:t xml:space="preserve">Review MDE Advanced Hunting or Event Viewer for ASR audit events (Event ID 1121/1122) across that period</w:t>
      </w:r>
    </w:p>
    <w:p>
      <w:pPr>
        <w:pStyle w:val="ListParagraph"/>
        <w:numPr>
          <w:ilvl w:val="0"/>
          <w:numId w:val="2"/>
        </w:numPr>
        <w:spacing w:before="60" w:after="60"/>
      </w:pPr>
      <w:r>
        <w:rPr>
          <w:rFonts w:ascii="Arial" w:cs="Arial" w:eastAsia="Arial" w:hAnsi="Arial"/>
          <w:color w:val="2C2C2A"/>
          <w:sz w:val="22"/>
          <w:szCs w:val="22"/>
        </w:rPr>
        <w:t xml:space="preserve">Build an exclusion list for legitimate processes triggering rules before flipping to Block mode</w:t>
      </w:r>
    </w:p>
    <w:p>
      <w:pPr>
        <w:pStyle w:val="ListParagraph"/>
        <w:numPr>
          <w:ilvl w:val="0"/>
          <w:numId w:val="2"/>
        </w:numPr>
        <w:spacing w:before="60" w:after="60"/>
      </w:pPr>
      <w:r>
        <w:rPr>
          <w:rFonts w:ascii="Arial" w:cs="Arial" w:eastAsia="Arial" w:hAnsi="Arial"/>
          <w:color w:val="2C2C2A"/>
          <w:sz w:val="22"/>
          <w:szCs w:val="22"/>
        </w:rPr>
        <w:t xml:space="preserve">Coordinate with RMM vendor for approved exclusion paths before deployment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0"/>
            </w:pPr>
            <w:r>
              <w:rPr>
                <w:rFonts w:ascii="Arial" w:cs="Arial" w:eastAsia="Arial" w:hAnsi="Arial"/>
                <w:b/>
                <w:bCs/>
                <w:color w:val="791F1F"/>
                <w:sz w:val="24"/>
                <w:szCs w:val="24"/>
              </w:rPr>
              <w:t xml:space="preserve">2.4  Print Spooler — Disabled on DC and Member Servers</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Sets the Print Spooler (Spooler) service to Disabled and stopped on Domain Controllers and Member Servers, per CIS L1. The script performs a pre-check for active print queues and warns before disabling.</w:t>
      </w:r>
    </w:p>
    <w:p>
      <w:pPr>
        <w:pStyle w:val="Heading3"/>
        <w:spacing w:before="200" w:after="100"/>
      </w:pPr>
      <w:r>
        <w:rPr>
          <w:rFonts w:ascii="Arial" w:cs="Arial" w:eastAsia="Arial" w:hAnsi="Arial"/>
          <w:b/>
          <w:bCs/>
          <w:color w:val="2E75B6"/>
          <w:sz w:val="24"/>
          <w:szCs w:val="24"/>
        </w:rPr>
        <w:t xml:space="preserve">Who is affected</w:t>
      </w:r>
    </w:p>
    <w:p>
      <w:pPr>
        <w:pStyle w:val="ListParagraph"/>
        <w:numPr>
          <w:ilvl w:val="0"/>
          <w:numId w:val="2"/>
        </w:numPr>
        <w:spacing w:before="60" w:after="60"/>
      </w:pPr>
      <w:r>
        <w:rPr>
          <w:rFonts w:ascii="Arial" w:cs="Arial" w:eastAsia="Arial" w:hAnsi="Arial"/>
          <w:color w:val="2C2C2A"/>
          <w:sz w:val="22"/>
          <w:szCs w:val="22"/>
        </w:rPr>
        <w:t xml:space="preserve">Users printing from line-of-business applications that render via server-side Spooler</w:t>
      </w:r>
    </w:p>
    <w:p>
      <w:pPr>
        <w:pStyle w:val="ListParagraph"/>
        <w:numPr>
          <w:ilvl w:val="0"/>
          <w:numId w:val="2"/>
        </w:numPr>
        <w:spacing w:before="60" w:after="60"/>
      </w:pPr>
      <w:r>
        <w:rPr>
          <w:rFonts w:ascii="Arial" w:cs="Arial" w:eastAsia="Arial" w:hAnsi="Arial"/>
          <w:color w:val="2C2C2A"/>
          <w:sz w:val="22"/>
          <w:szCs w:val="22"/>
        </w:rPr>
        <w:t xml:space="preserve">Finance and operations users who print reports from ERP systems hosted on member servers</w:t>
      </w:r>
    </w:p>
    <w:p>
      <w:pPr>
        <w:pStyle w:val="ListParagraph"/>
        <w:numPr>
          <w:ilvl w:val="0"/>
          <w:numId w:val="2"/>
        </w:numPr>
        <w:spacing w:before="60" w:after="60"/>
      </w:pPr>
      <w:r>
        <w:rPr>
          <w:rFonts w:ascii="Arial" w:cs="Arial" w:eastAsia="Arial" w:hAnsi="Arial"/>
          <w:color w:val="2C2C2A"/>
          <w:sz w:val="22"/>
          <w:szCs w:val="22"/>
        </w:rPr>
        <w:t xml:space="preserve">Label printing workflows in manufacturing or warehouse environments</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Run Get-PrinterQueue on all target servers before deployment to enumerate active queues</w:t>
      </w:r>
    </w:p>
    <w:p>
      <w:pPr>
        <w:pStyle w:val="ListParagraph"/>
        <w:numPr>
          <w:ilvl w:val="0"/>
          <w:numId w:val="2"/>
        </w:numPr>
        <w:spacing w:before="60" w:after="60"/>
      </w:pPr>
      <w:r>
        <w:rPr>
          <w:rFonts w:ascii="Arial" w:cs="Arial" w:eastAsia="Arial" w:hAnsi="Arial"/>
          <w:color w:val="2C2C2A"/>
          <w:sz w:val="22"/>
          <w:szCs w:val="22"/>
        </w:rPr>
        <w:t xml:space="preserve">Identify any LOB application that uses the Spooler service on the server rather than printing client-side</w:t>
      </w:r>
    </w:p>
    <w:p>
      <w:pPr>
        <w:pStyle w:val="ListParagraph"/>
        <w:numPr>
          <w:ilvl w:val="0"/>
          <w:numId w:val="2"/>
        </w:numPr>
        <w:spacing w:before="60" w:after="60"/>
      </w:pPr>
      <w:r>
        <w:rPr>
          <w:rFonts w:ascii="Arial" w:cs="Arial" w:eastAsia="Arial" w:hAnsi="Arial"/>
          <w:color w:val="2C2C2A"/>
          <w:sz w:val="22"/>
          <w:szCs w:val="22"/>
        </w:rPr>
        <w:t xml:space="preserve">Migrate print queues to a dedicated print server before deploying the hardening change to that server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before="0" w:after="0"/>
            </w:pPr>
            <w:r>
              <w:rPr>
                <w:rFonts w:ascii="Arial" w:cs="Arial" w:eastAsia="Arial" w:hAnsi="Arial"/>
                <w:b/>
                <w:bCs/>
                <w:color w:val="791F1F"/>
                <w:sz w:val="24"/>
                <w:szCs w:val="24"/>
              </w:rPr>
              <w:t xml:space="preserve">2.5  Credential Guard</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Enables Credential Guard via LsaCfgFlags = 1 in the Virtualization Based Security registry key. Requires UEFI Secure Boot and Virtualization Based Security hardware support. Isolates LSASS credential material in a hardware-protected enclave.</w:t>
      </w:r>
    </w:p>
    <w:p>
      <w:pPr>
        <w:pStyle w:val="Heading3"/>
        <w:spacing w:before="200" w:after="100"/>
      </w:pPr>
      <w:r>
        <w:rPr>
          <w:rFonts w:ascii="Arial" w:cs="Arial" w:eastAsia="Arial" w:hAnsi="Arial"/>
          <w:b/>
          <w:bCs/>
          <w:color w:val="2E75B6"/>
          <w:sz w:val="24"/>
          <w:szCs w:val="24"/>
        </w:rPr>
        <w:t xml:space="preserve">Who is affected</w:t>
      </w:r>
    </w:p>
    <w:p>
      <w:pPr>
        <w:pStyle w:val="ListParagraph"/>
        <w:numPr>
          <w:ilvl w:val="0"/>
          <w:numId w:val="2"/>
        </w:numPr>
        <w:spacing w:before="60" w:after="60"/>
      </w:pPr>
      <w:r>
        <w:rPr>
          <w:rFonts w:ascii="Arial" w:cs="Arial" w:eastAsia="Arial" w:hAnsi="Arial"/>
          <w:color w:val="2C2C2A"/>
          <w:sz w:val="22"/>
          <w:szCs w:val="22"/>
        </w:rPr>
        <w:t xml:space="preserve">Users of VPN clients that rely on MSCHAPv2 authentication — several major enterprise VPN clients break with Credential Guard enabled</w:t>
      </w:r>
    </w:p>
    <w:p>
      <w:pPr>
        <w:pStyle w:val="ListParagraph"/>
        <w:numPr>
          <w:ilvl w:val="0"/>
          <w:numId w:val="2"/>
        </w:numPr>
        <w:spacing w:before="60" w:after="60"/>
      </w:pPr>
      <w:r>
        <w:rPr>
          <w:rFonts w:ascii="Arial" w:cs="Arial" w:eastAsia="Arial" w:hAnsi="Arial"/>
          <w:color w:val="2C2C2A"/>
          <w:sz w:val="22"/>
          <w:szCs w:val="22"/>
        </w:rPr>
        <w:t xml:space="preserve">Applications using NTLMv1 authentication (any application that breaks on the LM auth level change will also break here)</w:t>
      </w:r>
    </w:p>
    <w:p>
      <w:pPr>
        <w:pStyle w:val="ListParagraph"/>
        <w:numPr>
          <w:ilvl w:val="0"/>
          <w:numId w:val="2"/>
        </w:numPr>
        <w:spacing w:before="60" w:after="60"/>
      </w:pPr>
      <w:r>
        <w:rPr>
          <w:rFonts w:ascii="Arial" w:cs="Arial" w:eastAsia="Arial" w:hAnsi="Arial"/>
          <w:color w:val="2C2C2A"/>
          <w:sz w:val="22"/>
          <w:szCs w:val="22"/>
        </w:rPr>
        <w:t xml:space="preserve">Hyper-V environments with specific guest configurations that conflict with VBS</w:t>
      </w:r>
    </w:p>
    <w:p>
      <w:pPr>
        <w:pStyle w:val="ListParagraph"/>
        <w:numPr>
          <w:ilvl w:val="0"/>
          <w:numId w:val="2"/>
        </w:numPr>
        <w:spacing w:before="60" w:after="60"/>
      </w:pPr>
      <w:r>
        <w:rPr>
          <w:rFonts w:ascii="Arial" w:cs="Arial" w:eastAsia="Arial" w:hAnsi="Arial"/>
          <w:color w:val="2C2C2A"/>
          <w:sz w:val="22"/>
          <w:szCs w:val="22"/>
        </w:rPr>
        <w:t xml:space="preserve">Some biometric authentication integrations</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Verify hardware supports UEFI Secure Boot and VT-x/AMD-V before deploying — the script will silently no-op on unsupported hardware</w:t>
      </w:r>
    </w:p>
    <w:p>
      <w:pPr>
        <w:pStyle w:val="ListParagraph"/>
        <w:numPr>
          <w:ilvl w:val="0"/>
          <w:numId w:val="2"/>
        </w:numPr>
        <w:spacing w:before="60" w:after="60"/>
      </w:pPr>
      <w:r>
        <w:rPr>
          <w:rFonts w:ascii="Arial" w:cs="Arial" w:eastAsia="Arial" w:hAnsi="Arial"/>
          <w:color w:val="2C2C2A"/>
          <w:sz w:val="22"/>
          <w:szCs w:val="22"/>
        </w:rPr>
        <w:t xml:space="preserve">Test VPN client compatibility on a pilot machine before broad rollout</w:t>
      </w:r>
    </w:p>
    <w:p>
      <w:pPr>
        <w:pStyle w:val="ListParagraph"/>
        <w:numPr>
          <w:ilvl w:val="0"/>
          <w:numId w:val="2"/>
        </w:numPr>
        <w:spacing w:before="60" w:after="60"/>
      </w:pPr>
      <w:r>
        <w:rPr>
          <w:rFonts w:ascii="Arial" w:cs="Arial" w:eastAsia="Arial" w:hAnsi="Arial"/>
          <w:color w:val="2C2C2A"/>
          <w:sz w:val="22"/>
          <w:szCs w:val="22"/>
        </w:rPr>
        <w:t xml:space="preserve">Confirm no applications rely on NTLMv1 — this is a hard prerequisite, not just a recommendation</w:t>
      </w:r>
    </w:p>
    <w:p>
      <w:r>
        <w:br w:type="page"/>
      </w:r>
    </w:p>
    <w:p>
      <w:pPr>
        <w:pStyle w:val="Heading1"/>
        <w:pBdr>
          <w:bottom w:val="single" w:color="1F3864" w:sz="6" w:space="4"/>
        </w:pBdr>
        <w:spacing w:before="360" w:after="200"/>
      </w:pPr>
      <w:r>
        <w:rPr>
          <w:rFonts w:ascii="Arial" w:cs="Arial" w:eastAsia="Arial" w:hAnsi="Arial"/>
          <w:b/>
          <w:bCs/>
          <w:color w:val="1F3864"/>
          <w:sz w:val="32"/>
          <w:szCs w:val="32"/>
        </w:rPr>
        <w:t xml:space="preserve">3. Tier 2 — Workflow and Admin Tooling Impact</w:t>
      </w:r>
    </w:p>
    <w:p>
      <w:pPr>
        <w:spacing w:before="80" w:after="80"/>
        <w:jc w:val="both"/>
      </w:pPr>
      <w:r>
        <w:rPr>
          <w:rFonts w:ascii="Arial" w:cs="Arial" w:eastAsia="Arial" w:hAnsi="Arial"/>
          <w:color w:val="2C2C2A"/>
          <w:sz w:val="22"/>
          <w:szCs w:val="22"/>
        </w:rPr>
        <w:t xml:space="preserve">These controls change how IT staff and power users perform daily tasks. They are unlikely to cause outages in the traditional sense but will generate helpdesk tickets and process changes if not communicated and prepared for in advance.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rFonts w:ascii="Arial" w:cs="Arial" w:eastAsia="Arial" w:hAnsi="Arial"/>
                <w:b/>
                <w:bCs/>
                <w:color w:val="FFC107"/>
                <w:sz w:val="24"/>
                <w:szCs w:val="24"/>
              </w:rPr>
              <w:t xml:space="preserve">3.1  LLMNR and NetBIOS Disable</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Disables Link-Local Multicast Name Resolution (LLMNR) via GPO and disables NetBIOS over TCP/IP per-adapter via WMI on all interfaces. This eliminates the two most commonly abused name resolution protocols for credential poisoning attacks (Responder, Inveigh).</w:t>
      </w:r>
    </w:p>
    <w:p>
      <w:pPr>
        <w:pStyle w:val="Heading3"/>
        <w:spacing w:before="200" w:after="100"/>
      </w:pPr>
      <w:r>
        <w:rPr>
          <w:rFonts w:ascii="Arial" w:cs="Arial" w:eastAsia="Arial" w:hAnsi="Arial"/>
          <w:b/>
          <w:bCs/>
          <w:color w:val="2E75B6"/>
          <w:sz w:val="24"/>
          <w:szCs w:val="24"/>
        </w:rPr>
        <w:t xml:space="preserve">User impact</w:t>
      </w:r>
    </w:p>
    <w:p>
      <w:pPr>
        <w:spacing w:before="80" w:after="80"/>
        <w:jc w:val="both"/>
      </w:pPr>
      <w:r>
        <w:rPr>
          <w:rFonts w:ascii="Arial" w:cs="Arial" w:eastAsia="Arial" w:hAnsi="Arial"/>
          <w:color w:val="2C2C2A"/>
          <w:sz w:val="22"/>
          <w:szCs w:val="22"/>
        </w:rPr>
        <w:t xml:space="preserve">Users will experience this as an inability to connect to network resources using short names or NetBIOS names that are not registered in DNS. This is most visible as:</w:t>
      </w:r>
    </w:p>
    <w:p>
      <w:pPr>
        <w:pStyle w:val="ListParagraph"/>
        <w:numPr>
          <w:ilvl w:val="0"/>
          <w:numId w:val="2"/>
        </w:numPr>
        <w:spacing w:before="60" w:after="60"/>
      </w:pPr>
      <w:r>
        <w:rPr>
          <w:rFonts w:ascii="Arial" w:cs="Arial" w:eastAsia="Arial" w:hAnsi="Arial"/>
          <w:color w:val="2C2C2A"/>
          <w:sz w:val="22"/>
          <w:szCs w:val="22"/>
        </w:rPr>
        <w:t xml:space="preserve">\\servername browsing failures if the server is not in DNS</w:t>
      </w:r>
    </w:p>
    <w:p>
      <w:pPr>
        <w:pStyle w:val="ListParagraph"/>
        <w:numPr>
          <w:ilvl w:val="0"/>
          <w:numId w:val="2"/>
        </w:numPr>
        <w:spacing w:before="60" w:after="60"/>
      </w:pPr>
      <w:r>
        <w:rPr>
          <w:rFonts w:ascii="Arial" w:cs="Arial" w:eastAsia="Arial" w:hAnsi="Arial"/>
          <w:color w:val="2C2C2A"/>
          <w:sz w:val="22"/>
          <w:szCs w:val="22"/>
        </w:rPr>
        <w:t xml:space="preserve">Scan-to-folder workflows on MFPs that use NetBIOS names for the destination share</w:t>
      </w:r>
    </w:p>
    <w:p>
      <w:pPr>
        <w:pStyle w:val="ListParagraph"/>
        <w:numPr>
          <w:ilvl w:val="0"/>
          <w:numId w:val="2"/>
        </w:numPr>
        <w:spacing w:before="60" w:after="60"/>
      </w:pPr>
      <w:r>
        <w:rPr>
          <w:rFonts w:ascii="Arial" w:cs="Arial" w:eastAsia="Arial" w:hAnsi="Arial"/>
          <w:color w:val="2C2C2A"/>
          <w:sz w:val="22"/>
          <w:szCs w:val="22"/>
        </w:rPr>
        <w:t xml:space="preserve">Legacy application connection strings using NetBIOS hostnames</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Audit DNS to confirm every server, printer, NAS, and network device has a proper A record before deploying</w:t>
      </w:r>
    </w:p>
    <w:p>
      <w:pPr>
        <w:pStyle w:val="ListParagraph"/>
        <w:numPr>
          <w:ilvl w:val="0"/>
          <w:numId w:val="2"/>
        </w:numPr>
        <w:spacing w:before="60" w:after="60"/>
      </w:pPr>
      <w:r>
        <w:rPr>
          <w:rFonts w:ascii="Arial" w:cs="Arial" w:eastAsia="Arial" w:hAnsi="Arial"/>
          <w:color w:val="2C2C2A"/>
          <w:sz w:val="22"/>
          <w:szCs w:val="22"/>
        </w:rPr>
        <w:t xml:space="preserve">Run a packet capture on representative subnets with Wireshark filtering for LLMNR and NBT-NS traffic to identify devices relying on broadcast resolution</w:t>
      </w:r>
    </w:p>
    <w:p>
      <w:pPr>
        <w:pStyle w:val="ListParagraph"/>
        <w:numPr>
          <w:ilvl w:val="0"/>
          <w:numId w:val="2"/>
        </w:numPr>
        <w:spacing w:before="60" w:after="60"/>
      </w:pPr>
      <w:r>
        <w:rPr>
          <w:rFonts w:ascii="Arial" w:cs="Arial" w:eastAsia="Arial" w:hAnsi="Arial"/>
          <w:color w:val="2C2C2A"/>
          <w:sz w:val="22"/>
          <w:szCs w:val="22"/>
        </w:rPr>
        <w:t xml:space="preserve">Update MFP and scanner destination profiles to use FQDN or IP before disabling NetBIOS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rFonts w:ascii="Arial" w:cs="Arial" w:eastAsia="Arial" w:hAnsi="Arial"/>
                <w:b/>
                <w:bCs/>
                <w:color w:val="FFC107"/>
                <w:sz w:val="24"/>
                <w:szCs w:val="24"/>
              </w:rPr>
              <w:t xml:space="preserve">3.2  WinRM Basic Auth and Unencrypted Traffic — Disabled</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Disables WinRM basic authentication on both client and service, disables unencrypted WinRM traffic, disables Windows Remote Shell access, and disables WinRM digest authentication. Requires Kerberos or certificate-based auth over HTTPS.</w:t>
      </w:r>
    </w:p>
    <w:p>
      <w:pPr>
        <w:pStyle w:val="Heading3"/>
        <w:spacing w:before="200" w:after="100"/>
      </w:pPr>
      <w:r>
        <w:rPr>
          <w:rFonts w:ascii="Arial" w:cs="Arial" w:eastAsia="Arial" w:hAnsi="Arial"/>
          <w:b/>
          <w:bCs/>
          <w:color w:val="2E75B6"/>
          <w:sz w:val="24"/>
          <w:szCs w:val="24"/>
        </w:rPr>
        <w:t xml:space="preserve">User impact</w:t>
      </w:r>
    </w:p>
    <w:p>
      <w:pPr>
        <w:pStyle w:val="ListParagraph"/>
        <w:numPr>
          <w:ilvl w:val="0"/>
          <w:numId w:val="2"/>
        </w:numPr>
        <w:spacing w:before="60" w:after="60"/>
      </w:pPr>
      <w:r>
        <w:rPr>
          <w:rFonts w:ascii="Arial" w:cs="Arial" w:eastAsia="Arial" w:hAnsi="Arial"/>
          <w:color w:val="2C2C2A"/>
          <w:sz w:val="22"/>
          <w:szCs w:val="22"/>
        </w:rPr>
        <w:t xml:space="preserve">Any PowerShell remoting script using HTTP transport or basic credentials will fail</w:t>
      </w:r>
    </w:p>
    <w:p>
      <w:pPr>
        <w:pStyle w:val="ListParagraph"/>
        <w:numPr>
          <w:ilvl w:val="0"/>
          <w:numId w:val="2"/>
        </w:numPr>
        <w:spacing w:before="60" w:after="60"/>
      </w:pPr>
      <w:r>
        <w:rPr>
          <w:rFonts w:ascii="Arial" w:cs="Arial" w:eastAsia="Arial" w:hAnsi="Arial"/>
          <w:color w:val="2C2C2A"/>
          <w:sz w:val="22"/>
          <w:szCs w:val="22"/>
        </w:rPr>
        <w:t xml:space="preserve">Automation built with Invoke-Command, New-PSSession or Enter-PSSession to HTTP endpoints breaks</w:t>
      </w:r>
    </w:p>
    <w:p>
      <w:pPr>
        <w:pStyle w:val="ListParagraph"/>
        <w:numPr>
          <w:ilvl w:val="0"/>
          <w:numId w:val="2"/>
        </w:numPr>
        <w:spacing w:before="60" w:after="60"/>
      </w:pPr>
      <w:r>
        <w:rPr>
          <w:rFonts w:ascii="Arial" w:cs="Arial" w:eastAsia="Arial" w:hAnsi="Arial"/>
          <w:color w:val="2C2C2A"/>
          <w:sz w:val="22"/>
          <w:szCs w:val="22"/>
        </w:rPr>
        <w:t xml:space="preserve">Ansible and other orchestration tools configured to use WinRM over HTTP will need reconfiguration</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Audit all existing PS remoting scripts for HTTP transport and basic credential usage</w:t>
      </w:r>
    </w:p>
    <w:p>
      <w:pPr>
        <w:pStyle w:val="ListParagraph"/>
        <w:numPr>
          <w:ilvl w:val="0"/>
          <w:numId w:val="2"/>
        </w:numPr>
        <w:spacing w:before="60" w:after="60"/>
      </w:pPr>
      <w:r>
        <w:rPr>
          <w:rFonts w:ascii="Arial" w:cs="Arial" w:eastAsia="Arial" w:hAnsi="Arial"/>
          <w:color w:val="2C2C2A"/>
          <w:sz w:val="22"/>
          <w:szCs w:val="22"/>
        </w:rPr>
        <w:t xml:space="preserve">Configure HTTPS WinRM listeners with valid certificates on all servers before deploying</w:t>
      </w:r>
    </w:p>
    <w:p>
      <w:pPr>
        <w:pStyle w:val="ListParagraph"/>
        <w:numPr>
          <w:ilvl w:val="0"/>
          <w:numId w:val="2"/>
        </w:numPr>
        <w:spacing w:before="60" w:after="60"/>
      </w:pPr>
      <w:r>
        <w:rPr>
          <w:rFonts w:ascii="Arial" w:cs="Arial" w:eastAsia="Arial" w:hAnsi="Arial"/>
          <w:color w:val="2C2C2A"/>
          <w:sz w:val="22"/>
          <w:szCs w:val="22"/>
        </w:rPr>
        <w:t xml:space="preserve">Update Ansible inventory or equivalent orchestration configs to use HTTPS and Kerberos auth before deployment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rFonts w:ascii="Arial" w:cs="Arial" w:eastAsia="Arial" w:hAnsi="Arial"/>
                <w:b/>
                <w:bCs/>
                <w:color w:val="FFC107"/>
                <w:sz w:val="24"/>
                <w:szCs w:val="24"/>
              </w:rPr>
              <w:t xml:space="preserve">3.3  RDP Clipboard and Drive Redirection — Disabled on Servers</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Sets fDisableClip = 1 and fDisableCdm = 1 on Member Servers and Domain Controllers via RDP GPO settings. Copy-paste between local and remote sessions is blocked, as is drive redirection.</w:t>
      </w:r>
    </w:p>
    <w:p>
      <w:pPr>
        <w:pStyle w:val="Heading3"/>
        <w:spacing w:before="200" w:after="100"/>
      </w:pPr>
      <w:r>
        <w:rPr>
          <w:rFonts w:ascii="Arial" w:cs="Arial" w:eastAsia="Arial" w:hAnsi="Arial"/>
          <w:b/>
          <w:bCs/>
          <w:color w:val="2E75B6"/>
          <w:sz w:val="24"/>
          <w:szCs w:val="24"/>
        </w:rPr>
        <w:t xml:space="preserve">User impact</w:t>
      </w:r>
    </w:p>
    <w:p>
      <w:pPr>
        <w:spacing w:before="80" w:after="80"/>
        <w:jc w:val="both"/>
      </w:pPr>
      <w:r>
        <w:rPr>
          <w:rFonts w:ascii="Arial" w:cs="Arial" w:eastAsia="Arial" w:hAnsi="Arial"/>
          <w:color w:val="2C2C2A"/>
          <w:sz w:val="22"/>
          <w:szCs w:val="22"/>
        </w:rPr>
        <w:t xml:space="preserve">Administrators and power users who use RDP as their primary management interface will immediately notice:</w:t>
      </w:r>
    </w:p>
    <w:p>
      <w:pPr>
        <w:pStyle w:val="ListParagraph"/>
        <w:numPr>
          <w:ilvl w:val="0"/>
          <w:numId w:val="2"/>
        </w:numPr>
        <w:spacing w:before="60" w:after="60"/>
      </w:pPr>
      <w:r>
        <w:rPr>
          <w:rFonts w:ascii="Arial" w:cs="Arial" w:eastAsia="Arial" w:hAnsi="Arial"/>
          <w:color w:val="2C2C2A"/>
          <w:sz w:val="22"/>
          <w:szCs w:val="22"/>
        </w:rPr>
        <w:t xml:space="preserve">Copy-paste between local machine and RDP session stops working</w:t>
      </w:r>
    </w:p>
    <w:p>
      <w:pPr>
        <w:pStyle w:val="ListParagraph"/>
        <w:numPr>
          <w:ilvl w:val="0"/>
          <w:numId w:val="2"/>
        </w:numPr>
        <w:spacing w:before="60" w:after="60"/>
      </w:pPr>
      <w:r>
        <w:rPr>
          <w:rFonts w:ascii="Arial" w:cs="Arial" w:eastAsia="Arial" w:hAnsi="Arial"/>
          <w:color w:val="2C2C2A"/>
          <w:sz w:val="22"/>
          <w:szCs w:val="22"/>
        </w:rPr>
        <w:t xml:space="preserve">Drag-and-drop or drive mapping for file transfers via RDP is blocked</w:t>
      </w:r>
    </w:p>
    <w:p>
      <w:pPr>
        <w:pStyle w:val="ListParagraph"/>
        <w:numPr>
          <w:ilvl w:val="0"/>
          <w:numId w:val="2"/>
        </w:numPr>
        <w:spacing w:before="60" w:after="60"/>
      </w:pPr>
      <w:r>
        <w:rPr>
          <w:rFonts w:ascii="Arial" w:cs="Arial" w:eastAsia="Arial" w:hAnsi="Arial"/>
          <w:color w:val="2C2C2A"/>
          <w:sz w:val="22"/>
          <w:szCs w:val="22"/>
        </w:rPr>
        <w:t xml:space="preserve">Admins who paste commands, scripts, or credentials between sessions will need an alternative workflow</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Establish and communicate an approved file transfer mechanism — SFTP, a dedicated jump server with controlled file drop, or a network share</w:t>
      </w:r>
    </w:p>
    <w:p>
      <w:pPr>
        <w:pStyle w:val="ListParagraph"/>
        <w:numPr>
          <w:ilvl w:val="0"/>
          <w:numId w:val="2"/>
        </w:numPr>
        <w:spacing w:before="60" w:after="60"/>
      </w:pPr>
      <w:r>
        <w:rPr>
          <w:rFonts w:ascii="Arial" w:cs="Arial" w:eastAsia="Arial" w:hAnsi="Arial"/>
          <w:color w:val="2C2C2A"/>
          <w:sz w:val="22"/>
          <w:szCs w:val="22"/>
        </w:rPr>
        <w:t xml:space="preserve">Brief all admin staff on the change before deployment and provide the alternative transfer method</w:t>
      </w:r>
    </w:p>
    <w:p>
      <w:pPr>
        <w:pStyle w:val="ListParagraph"/>
        <w:numPr>
          <w:ilvl w:val="0"/>
          <w:numId w:val="2"/>
        </w:numPr>
        <w:spacing w:before="60" w:after="60"/>
      </w:pPr>
      <w:r>
        <w:rPr>
          <w:rFonts w:ascii="Arial" w:cs="Arial" w:eastAsia="Arial" w:hAnsi="Arial"/>
          <w:color w:val="2C2C2A"/>
          <w:sz w:val="22"/>
          <w:szCs w:val="22"/>
        </w:rPr>
        <w:t xml:space="preserve">Consider whether a jump server or PAM solution provides a better long-term architecture than raw RDP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rFonts w:ascii="Arial" w:cs="Arial" w:eastAsia="Arial" w:hAnsi="Arial"/>
                <w:b/>
                <w:bCs/>
                <w:color w:val="FFC107"/>
                <w:sz w:val="24"/>
                <w:szCs w:val="24"/>
              </w:rPr>
              <w:t xml:space="preserve">3.4  RDP Network Level Authentication — Required</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Sets UserAuthenticationRequired = 1 via the Remote Desktop Session Host GPO. NLA forces credential verification before a full RDP session is established, preventing pre-auth session creation.</w:t>
      </w:r>
    </w:p>
    <w:p>
      <w:pPr>
        <w:pStyle w:val="Heading3"/>
        <w:spacing w:before="200" w:after="100"/>
      </w:pPr>
      <w:r>
        <w:rPr>
          <w:rFonts w:ascii="Arial" w:cs="Arial" w:eastAsia="Arial" w:hAnsi="Arial"/>
          <w:b/>
          <w:bCs/>
          <w:color w:val="2E75B6"/>
          <w:sz w:val="24"/>
          <w:szCs w:val="24"/>
        </w:rPr>
        <w:t xml:space="preserve">User impact</w:t>
      </w:r>
    </w:p>
    <w:p>
      <w:pPr>
        <w:pStyle w:val="ListParagraph"/>
        <w:numPr>
          <w:ilvl w:val="0"/>
          <w:numId w:val="2"/>
        </w:numPr>
        <w:spacing w:before="60" w:after="60"/>
      </w:pPr>
      <w:r>
        <w:rPr>
          <w:rFonts w:ascii="Arial" w:cs="Arial" w:eastAsia="Arial" w:hAnsi="Arial"/>
          <w:color w:val="2C2C2A"/>
          <w:sz w:val="22"/>
          <w:szCs w:val="22"/>
        </w:rPr>
        <w:t xml:space="preserve">Any RDP client or tool that does not support NLA will be refused at connection</w:t>
      </w:r>
    </w:p>
    <w:p>
      <w:pPr>
        <w:pStyle w:val="ListParagraph"/>
        <w:numPr>
          <w:ilvl w:val="0"/>
          <w:numId w:val="2"/>
        </w:numPr>
        <w:spacing w:before="60" w:after="60"/>
      </w:pPr>
      <w:r>
        <w:rPr>
          <w:rFonts w:ascii="Arial" w:cs="Arial" w:eastAsia="Arial" w:hAnsi="Arial"/>
          <w:color w:val="2C2C2A"/>
          <w:sz w:val="22"/>
          <w:szCs w:val="22"/>
        </w:rPr>
        <w:t xml:space="preserve">Programmatic RDP connections in scripts that do not pass NLA-compatible credentials will fail</w:t>
      </w:r>
    </w:p>
    <w:p>
      <w:pPr>
        <w:pStyle w:val="ListParagraph"/>
        <w:numPr>
          <w:ilvl w:val="0"/>
          <w:numId w:val="2"/>
        </w:numPr>
        <w:spacing w:before="60" w:after="60"/>
      </w:pPr>
      <w:r>
        <w:rPr>
          <w:rFonts w:ascii="Arial" w:cs="Arial" w:eastAsia="Arial" w:hAnsi="Arial"/>
          <w:color w:val="2C2C2A"/>
          <w:sz w:val="22"/>
          <w:szCs w:val="22"/>
        </w:rPr>
        <w:t xml:space="preserve">Users connecting from very old client versions (Windows XP SP2 or earlier native RDP client) will be blocked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rFonts w:ascii="Arial" w:cs="Arial" w:eastAsia="Arial" w:hAnsi="Arial"/>
                <w:b/>
                <w:bCs/>
                <w:color w:val="FFC107"/>
                <w:sz w:val="24"/>
                <w:szCs w:val="24"/>
              </w:rPr>
              <w:t xml:space="preserve">3.5  Protected Users Security Group Enforcement</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Places all privileged accounts (Domain Admins, Enterprise Admins, Schema Admins, tier-0 service accounts) into the Protected Users security group via GPO Restricted Groups. Members of Protected Users cannot use NTLM authentication, RC4 Kerberos encryption, or unconstrained delegation.</w:t>
      </w:r>
    </w:p>
    <w:p>
      <w:pPr>
        <w:pStyle w:val="Heading3"/>
        <w:spacing w:before="200" w:after="100"/>
      </w:pPr>
      <w:r>
        <w:rPr>
          <w:rFonts w:ascii="Arial" w:cs="Arial" w:eastAsia="Arial" w:hAnsi="Arial"/>
          <w:b/>
          <w:bCs/>
          <w:color w:val="2E75B6"/>
          <w:sz w:val="24"/>
          <w:szCs w:val="24"/>
        </w:rPr>
        <w:t xml:space="preserve">User impact</w:t>
      </w:r>
    </w:p>
    <w:p>
      <w:pPr>
        <w:pStyle w:val="ListParagraph"/>
        <w:numPr>
          <w:ilvl w:val="0"/>
          <w:numId w:val="2"/>
        </w:numPr>
        <w:spacing w:before="60" w:after="60"/>
      </w:pPr>
      <w:r>
        <w:rPr>
          <w:rFonts w:ascii="Arial" w:cs="Arial" w:eastAsia="Arial" w:hAnsi="Arial"/>
          <w:color w:val="2C2C2A"/>
          <w:sz w:val="22"/>
          <w:szCs w:val="22"/>
        </w:rPr>
        <w:t xml:space="preserve">Service accounts running as Domain Admin or equivalent will fail to authenticate if they rely on NTLM or RC4</w:t>
      </w:r>
    </w:p>
    <w:p>
      <w:pPr>
        <w:pStyle w:val="ListParagraph"/>
        <w:numPr>
          <w:ilvl w:val="0"/>
          <w:numId w:val="2"/>
        </w:numPr>
        <w:spacing w:before="60" w:after="60"/>
      </w:pPr>
      <w:r>
        <w:rPr>
          <w:rFonts w:ascii="Arial" w:cs="Arial" w:eastAsia="Arial" w:hAnsi="Arial"/>
          <w:color w:val="2C2C2A"/>
          <w:sz w:val="22"/>
          <w:szCs w:val="22"/>
        </w:rPr>
        <w:t xml:space="preserve">SQL Server service accounts, backup agents, and scheduled tasks with high-privilege stored credentials must be audited</w:t>
      </w:r>
    </w:p>
    <w:p>
      <w:pPr>
        <w:pStyle w:val="ListParagraph"/>
        <w:numPr>
          <w:ilvl w:val="0"/>
          <w:numId w:val="2"/>
        </w:numPr>
        <w:spacing w:before="60" w:after="60"/>
      </w:pPr>
      <w:r>
        <w:rPr>
          <w:rFonts w:ascii="Arial" w:cs="Arial" w:eastAsia="Arial" w:hAnsi="Arial"/>
          <w:color w:val="2C2C2A"/>
          <w:sz w:val="22"/>
          <w:szCs w:val="22"/>
        </w:rPr>
        <w:t xml:space="preserve">Any admin who uses their privileged account for day-to-day tasks that touch NTLM-only systems will be blocked</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Map all service accounts and their authentication methods before adding any account to Protected Users</w:t>
      </w:r>
    </w:p>
    <w:p>
      <w:pPr>
        <w:pStyle w:val="ListParagraph"/>
        <w:numPr>
          <w:ilvl w:val="0"/>
          <w:numId w:val="2"/>
        </w:numPr>
        <w:spacing w:before="60" w:after="60"/>
      </w:pPr>
      <w:r>
        <w:rPr>
          <w:rFonts w:ascii="Arial" w:cs="Arial" w:eastAsia="Arial" w:hAnsi="Arial"/>
          <w:color w:val="2C2C2A"/>
          <w:sz w:val="22"/>
          <w:szCs w:val="22"/>
        </w:rPr>
        <w:t xml:space="preserve">Convert service accounts to Group Managed Service Accounts (gMSA) where possible</w:t>
      </w:r>
    </w:p>
    <w:p>
      <w:pPr>
        <w:pStyle w:val="ListParagraph"/>
        <w:numPr>
          <w:ilvl w:val="0"/>
          <w:numId w:val="2"/>
        </w:numPr>
        <w:spacing w:before="60" w:after="60"/>
      </w:pPr>
      <w:r>
        <w:rPr>
          <w:rFonts w:ascii="Arial" w:cs="Arial" w:eastAsia="Arial" w:hAnsi="Arial"/>
          <w:color w:val="2C2C2A"/>
          <w:sz w:val="22"/>
          <w:szCs w:val="22"/>
        </w:rPr>
        <w:t xml:space="preserve">Stage the group membership change in a test OU before broad rollout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rFonts w:ascii="Arial" w:cs="Arial" w:eastAsia="Arial" w:hAnsi="Arial"/>
                <w:b/>
                <w:bCs/>
                <w:color w:val="FFC107"/>
                <w:sz w:val="24"/>
                <w:szCs w:val="24"/>
              </w:rPr>
              <w:t xml:space="preserve">3.6  NTLM Restrictions</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Sets RestrictSendingNTLMTraffic = 2 (deny all) on member servers after an audit period. Sets AuditReceivingNTLMTraffic = 2 on DCs. Combined with the LM authentication level (NTLMv2 only) and Protected Users enforcement, this significantly constrains NTLM usage.</w:t>
      </w:r>
    </w:p>
    <w:p>
      <w:pPr>
        <w:pStyle w:val="Heading3"/>
        <w:spacing w:before="200" w:after="100"/>
      </w:pPr>
      <w:r>
        <w:rPr>
          <w:rFonts w:ascii="Arial" w:cs="Arial" w:eastAsia="Arial" w:hAnsi="Arial"/>
          <w:b/>
          <w:bCs/>
          <w:color w:val="2E75B6"/>
          <w:sz w:val="24"/>
          <w:szCs w:val="24"/>
        </w:rPr>
        <w:t xml:space="preserve">User impact</w:t>
      </w:r>
    </w:p>
    <w:p>
      <w:pPr>
        <w:pStyle w:val="ListParagraph"/>
        <w:numPr>
          <w:ilvl w:val="0"/>
          <w:numId w:val="2"/>
        </w:numPr>
        <w:spacing w:before="60" w:after="60"/>
      </w:pPr>
      <w:r>
        <w:rPr>
          <w:rFonts w:ascii="Arial" w:cs="Arial" w:eastAsia="Arial" w:hAnsi="Arial"/>
          <w:color w:val="2C2C2A"/>
          <w:sz w:val="22"/>
          <w:szCs w:val="22"/>
        </w:rPr>
        <w:t xml:space="preserve">Applications connecting to resources in other domains or forests using NTLM will fail</w:t>
      </w:r>
    </w:p>
    <w:p>
      <w:pPr>
        <w:pStyle w:val="ListParagraph"/>
        <w:numPr>
          <w:ilvl w:val="0"/>
          <w:numId w:val="2"/>
        </w:numPr>
        <w:spacing w:before="60" w:after="60"/>
      </w:pPr>
      <w:r>
        <w:rPr>
          <w:rFonts w:ascii="Arial" w:cs="Arial" w:eastAsia="Arial" w:hAnsi="Arial"/>
          <w:color w:val="2C2C2A"/>
          <w:sz w:val="22"/>
          <w:szCs w:val="22"/>
        </w:rPr>
        <w:t xml:space="preserve">Cross-domain file share access that relies on NTLM pass-through will break</w:t>
      </w:r>
    </w:p>
    <w:p>
      <w:pPr>
        <w:pStyle w:val="ListParagraph"/>
        <w:numPr>
          <w:ilvl w:val="0"/>
          <w:numId w:val="2"/>
        </w:numPr>
        <w:spacing w:before="60" w:after="60"/>
      </w:pPr>
      <w:r>
        <w:rPr>
          <w:rFonts w:ascii="Arial" w:cs="Arial" w:eastAsia="Arial" w:hAnsi="Arial"/>
          <w:color w:val="2C2C2A"/>
          <w:sz w:val="22"/>
          <w:szCs w:val="22"/>
        </w:rPr>
        <w:t xml:space="preserve">Any resource that cannot negotiate Kerberos (misconfigured SPNs, IP-only connections) will be affected</w:t>
      </w:r>
    </w:p>
    <w:p>
      <w:pPr>
        <w:pStyle w:val="Heading3"/>
        <w:spacing w:before="200" w:after="100"/>
      </w:pPr>
      <w:r>
        <w:rPr>
          <w:rFonts w:ascii="Arial" w:cs="Arial" w:eastAsia="Arial" w:hAnsi="Arial"/>
          <w:b/>
          <w:bCs/>
          <w:color w:val="2E75B6"/>
          <w:sz w:val="24"/>
          <w:szCs w:val="24"/>
        </w:rPr>
        <w:t xml:space="preserve">Pre-deployment requirements</w:t>
      </w:r>
    </w:p>
    <w:p>
      <w:pPr>
        <w:pStyle w:val="ListParagraph"/>
        <w:numPr>
          <w:ilvl w:val="0"/>
          <w:numId w:val="2"/>
        </w:numPr>
        <w:spacing w:before="60" w:after="60"/>
      </w:pPr>
      <w:r>
        <w:rPr>
          <w:rFonts w:ascii="Arial" w:cs="Arial" w:eastAsia="Arial" w:hAnsi="Arial"/>
          <w:color w:val="2C2C2A"/>
          <w:sz w:val="22"/>
          <w:szCs w:val="22"/>
        </w:rPr>
        <w:t xml:space="preserve">Run NTLM audit mode (AuditNTLMInDomain = 1 on DC) for at minimum 14 days and review Event ID 8004 in the Security log</w:t>
      </w:r>
    </w:p>
    <w:p>
      <w:pPr>
        <w:pStyle w:val="ListParagraph"/>
        <w:numPr>
          <w:ilvl w:val="0"/>
          <w:numId w:val="2"/>
        </w:numPr>
        <w:spacing w:before="60" w:after="60"/>
      </w:pPr>
      <w:r>
        <w:rPr>
          <w:rFonts w:ascii="Arial" w:cs="Arial" w:eastAsia="Arial" w:hAnsi="Arial"/>
          <w:color w:val="2C2C2A"/>
          <w:sz w:val="22"/>
          <w:szCs w:val="22"/>
        </w:rPr>
        <w:t xml:space="preserve">Fix missing or duplicate SPNs before restricting NTLM — this is the most common source of Kerberos fallback to NTLM</w:t>
      </w:r>
    </w:p>
    <w:p>
      <w:pPr>
        <w:pStyle w:val="ListParagraph"/>
        <w:numPr>
          <w:ilvl w:val="0"/>
          <w:numId w:val="2"/>
        </w:numPr>
        <w:spacing w:before="60" w:after="60"/>
      </w:pPr>
      <w:r>
        <w:rPr>
          <w:rFonts w:ascii="Arial" w:cs="Arial" w:eastAsia="Arial" w:hAnsi="Arial"/>
          <w:color w:val="2C2C2A"/>
          <w:sz w:val="22"/>
          <w:szCs w:val="22"/>
        </w:rPr>
        <w:t xml:space="preserve">Use setspn -X to find duplicate SPNs in the domain before deploying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0"/>
            </w:pPr>
            <w:r>
              <w:rPr>
                <w:rFonts w:ascii="Arial" w:cs="Arial" w:eastAsia="Arial" w:hAnsi="Arial"/>
                <w:b/>
                <w:bCs/>
                <w:color w:val="FFC107"/>
                <w:sz w:val="24"/>
                <w:szCs w:val="24"/>
              </w:rPr>
              <w:t xml:space="preserve">3.7  TLS Hardening — SChannel Cipher Changes</w:t>
            </w:r>
          </w:p>
        </w:tc>
      </w:tr>
    </w:tbl>
    <w:p>
      <w:pPr>
        <w:spacing w:before="80" w:after="0"/>
      </w:pPr>
      <w:r>
        <w:t xml:space="preserve"/>
      </w:r>
    </w:p>
    <w:p>
      <w:pPr>
        <w:pStyle w:val="Heading3"/>
        <w:spacing w:before="200" w:after="100"/>
      </w:pPr>
      <w:r>
        <w:rPr>
          <w:rFonts w:ascii="Arial" w:cs="Arial" w:eastAsia="Arial" w:hAnsi="Arial"/>
          <w:b/>
          <w:bCs/>
          <w:color w:val="2E75B6"/>
          <w:sz w:val="24"/>
          <w:szCs w:val="24"/>
        </w:rPr>
        <w:t xml:space="preserve">What the script does</w:t>
      </w:r>
    </w:p>
    <w:p>
      <w:pPr>
        <w:spacing w:before="80" w:after="80"/>
        <w:jc w:val="both"/>
      </w:pPr>
      <w:r>
        <w:rPr>
          <w:rFonts w:ascii="Arial" w:cs="Arial" w:eastAsia="Arial" w:hAnsi="Arial"/>
          <w:color w:val="2C2C2A"/>
          <w:sz w:val="22"/>
          <w:szCs w:val="22"/>
        </w:rPr>
        <w:t xml:space="preserve">In addition to disabling legacy TLS versions (covered in Tier 1), the script enforces strict cipher suite ordering and disables MD5 hashing in SChannel. This affects the negotiated cipher suite for all TLS connections on affected machines.</w:t>
      </w:r>
    </w:p>
    <w:p>
      <w:pPr>
        <w:pStyle w:val="Heading3"/>
        <w:spacing w:before="200" w:after="100"/>
      </w:pPr>
      <w:r>
        <w:rPr>
          <w:rFonts w:ascii="Arial" w:cs="Arial" w:eastAsia="Arial" w:hAnsi="Arial"/>
          <w:b/>
          <w:bCs/>
          <w:color w:val="2E75B6"/>
          <w:sz w:val="24"/>
          <w:szCs w:val="24"/>
        </w:rPr>
        <w:t xml:space="preserve">User impact</w:t>
      </w:r>
    </w:p>
    <w:p>
      <w:pPr>
        <w:pStyle w:val="ListParagraph"/>
        <w:numPr>
          <w:ilvl w:val="0"/>
          <w:numId w:val="2"/>
        </w:numPr>
        <w:spacing w:before="60" w:after="60"/>
      </w:pPr>
      <w:r>
        <w:rPr>
          <w:rFonts w:ascii="Arial" w:cs="Arial" w:eastAsia="Arial" w:hAnsi="Arial"/>
          <w:color w:val="2C2C2A"/>
          <w:sz w:val="22"/>
          <w:szCs w:val="22"/>
        </w:rPr>
        <w:t xml:space="preserve">Monitoring and network scanning tools that perform TLS inspection may report changed cipher suites</w:t>
      </w:r>
    </w:p>
    <w:p>
      <w:pPr>
        <w:pStyle w:val="ListParagraph"/>
        <w:numPr>
          <w:ilvl w:val="0"/>
          <w:numId w:val="2"/>
        </w:numPr>
        <w:spacing w:before="60" w:after="60"/>
      </w:pPr>
      <w:r>
        <w:rPr>
          <w:rFonts w:ascii="Arial" w:cs="Arial" w:eastAsia="Arial" w:hAnsi="Arial"/>
          <w:color w:val="2C2C2A"/>
          <w:sz w:val="22"/>
          <w:szCs w:val="22"/>
        </w:rPr>
        <w:t xml:space="preserve">Load balancers and reverse proxies in the path must support TLS 1.2+ with the enforced cipher list</w:t>
      </w:r>
    </w:p>
    <w:p>
      <w:pPr>
        <w:pStyle w:val="ListParagraph"/>
        <w:numPr>
          <w:ilvl w:val="0"/>
          <w:numId w:val="2"/>
        </w:numPr>
        <w:spacing w:before="60" w:after="60"/>
      </w:pPr>
      <w:r>
        <w:rPr>
          <w:rFonts w:ascii="Arial" w:cs="Arial" w:eastAsia="Arial" w:hAnsi="Arial"/>
          <w:color w:val="2C2C2A"/>
          <w:sz w:val="22"/>
          <w:szCs w:val="22"/>
        </w:rPr>
        <w:t xml:space="preserve">WAF and SSL offload appliances that terminate TLS must be compatible with the enforced suite list</w:t>
      </w:r>
    </w:p>
    <w:p>
      <w:r>
        <w:br w:type="page"/>
      </w:r>
    </w:p>
    <w:p>
      <w:pPr>
        <w:pStyle w:val="Heading1"/>
        <w:pBdr>
          <w:bottom w:val="single" w:color="1F3864" w:sz="6" w:space="4"/>
        </w:pBdr>
        <w:spacing w:before="360" w:after="200"/>
      </w:pPr>
      <w:r>
        <w:rPr>
          <w:rFonts w:ascii="Arial" w:cs="Arial" w:eastAsia="Arial" w:hAnsi="Arial"/>
          <w:b/>
          <w:bCs/>
          <w:color w:val="1F3864"/>
          <w:sz w:val="32"/>
          <w:szCs w:val="32"/>
        </w:rPr>
        <w:t xml:space="preserve">4. Tier 3 — Visible but Low Disruption</w:t>
      </w:r>
    </w:p>
    <w:p>
      <w:pPr>
        <w:spacing w:before="80" w:after="80"/>
        <w:jc w:val="both"/>
      </w:pPr>
      <w:r>
        <w:rPr>
          <w:rFonts w:ascii="Arial" w:cs="Arial" w:eastAsia="Arial" w:hAnsi="Arial"/>
          <w:color w:val="2C2C2A"/>
          <w:sz w:val="22"/>
          <w:szCs w:val="22"/>
        </w:rPr>
        <w:t xml:space="preserve">These changes are visible to end users but produce minimal disruption with adequate communication. They primarily affect the login experience, password requirements, and desktop behaviour. A single targeted communication email to affected user populations resolves most of the anticipated helpdesk volume.</w:t>
      </w:r>
    </w:p>
    <w:p>
      <w:pPr>
        <w:spacing w:before="120" w:after="0"/>
      </w:pPr>
      <w:r>
        <w:t xml:space="preserve"/>
      </w:r>
    </w:p>
    <w:p>
      <w:pPr>
        <w:pStyle w:val="Heading2"/>
        <w:spacing w:before="280" w:after="140"/>
      </w:pPr>
      <w:r>
        <w:rPr>
          <w:rFonts w:ascii="Arial" w:cs="Arial" w:eastAsia="Arial" w:hAnsi="Arial"/>
          <w:b/>
          <w:bCs/>
          <w:color w:val="2E5FA3"/>
          <w:sz w:val="26"/>
          <w:szCs w:val="26"/>
        </w:rPr>
        <w:t xml:space="preserve">4.1 Login and Authentication Experience Changes</w:t>
      </w:r>
    </w:p>
    <w:p>
      <w:pPr>
        <w:pStyle w:val="Heading3"/>
        <w:spacing w:before="200" w:after="100"/>
      </w:pPr>
      <w:r>
        <w:rPr>
          <w:rFonts w:ascii="Arial" w:cs="Arial" w:eastAsia="Arial" w:hAnsi="Arial"/>
          <w:b/>
          <w:bCs/>
          <w:color w:val="2E75B6"/>
          <w:sz w:val="24"/>
          <w:szCs w:val="24"/>
        </w:rPr>
        <w:t xml:space="preserve">CTRL+ALT+DEL required (DisableCAD = 0)</w:t>
      </w:r>
    </w:p>
    <w:p>
      <w:pPr>
        <w:spacing w:before="80" w:after="80"/>
        <w:jc w:val="both"/>
      </w:pPr>
      <w:r>
        <w:rPr>
          <w:rFonts w:ascii="Arial" w:cs="Arial" w:eastAsia="Arial" w:hAnsi="Arial"/>
          <w:color w:val="2C2C2A"/>
          <w:sz w:val="22"/>
          <w:szCs w:val="22"/>
        </w:rPr>
        <w:t xml:space="preserve">Users who previously clicked directly onto the lock screen to enter credentials will now be required to press CTRL+ALT+DEL first. This is standard in regulated environments and most corporate users are already familiar with it. Impact: low. Action: one-line mention in the deployment communication email.</w:t>
      </w:r>
    </w:p>
    <w:p>
      <w:pPr>
        <w:spacing w:before="80" w:after="0"/>
      </w:pPr>
      <w:r>
        <w:t xml:space="preserve"/>
      </w:r>
    </w:p>
    <w:p>
      <w:pPr>
        <w:pStyle w:val="Heading3"/>
        <w:spacing w:before="200" w:after="100"/>
      </w:pPr>
      <w:r>
        <w:rPr>
          <w:rFonts w:ascii="Arial" w:cs="Arial" w:eastAsia="Arial" w:hAnsi="Arial"/>
          <w:b/>
          <w:bCs/>
          <w:color w:val="2E75B6"/>
          <w:sz w:val="24"/>
          <w:szCs w:val="24"/>
        </w:rPr>
        <w:t xml:space="preserve">Legal notice banner</w:t>
      </w:r>
    </w:p>
    <w:p>
      <w:pPr>
        <w:spacing w:before="80" w:after="80"/>
        <w:jc w:val="both"/>
      </w:pPr>
      <w:r>
        <w:rPr>
          <w:rFonts w:ascii="Arial" w:cs="Arial" w:eastAsia="Arial" w:hAnsi="Arial"/>
          <w:color w:val="2C2C2A"/>
          <w:sz w:val="22"/>
          <w:szCs w:val="22"/>
        </w:rPr>
        <w:t xml:space="preserve">A legal notice banner will appear at login before the username/password prompt. This is commonly required by policy and regulation. Users will notice it and some will ask about it. Action: include text of the banner in the deployment communication so users are not surprised.</w:t>
      </w:r>
    </w:p>
    <w:p>
      <w:pPr>
        <w:spacing w:before="80" w:after="0"/>
      </w:pPr>
      <w:r>
        <w:t xml:space="preserve"/>
      </w:r>
    </w:p>
    <w:p>
      <w:pPr>
        <w:pStyle w:val="Heading3"/>
        <w:spacing w:before="200" w:after="100"/>
      </w:pPr>
      <w:r>
        <w:rPr>
          <w:rFonts w:ascii="Arial" w:cs="Arial" w:eastAsia="Arial" w:hAnsi="Arial"/>
          <w:b/>
          <w:bCs/>
          <w:color w:val="2E75B6"/>
          <w:sz w:val="24"/>
          <w:szCs w:val="24"/>
        </w:rPr>
        <w:t xml:space="preserve">Do not display last signed-in username</w:t>
      </w:r>
    </w:p>
    <w:p>
      <w:pPr>
        <w:spacing w:before="80" w:after="80"/>
        <w:jc w:val="both"/>
      </w:pPr>
      <w:r>
        <w:rPr>
          <w:rFonts w:ascii="Arial" w:cs="Arial" w:eastAsia="Arial" w:hAnsi="Arial"/>
          <w:color w:val="2C2C2A"/>
          <w:sz w:val="22"/>
          <w:szCs w:val="22"/>
        </w:rPr>
        <w:t xml:space="preserve">The login screen will no longer pre-populate the username field with the last user. Users who do not know their full UPN format (user@domain.com) will be confused. Particularly affects users who share workstations or who rarely log in from the console. Action: include the UPN format in the communication email.</w:t>
      </w:r>
    </w:p>
    <w:p>
      <w:pPr>
        <w:spacing w:before="80" w:after="0"/>
      </w:pPr>
      <w:r>
        <w:t xml:space="preserve"/>
      </w:r>
    </w:p>
    <w:p>
      <w:pPr>
        <w:pStyle w:val="Heading3"/>
        <w:spacing w:before="200" w:after="100"/>
      </w:pPr>
      <w:r>
        <w:rPr>
          <w:rFonts w:ascii="Arial" w:cs="Arial" w:eastAsia="Arial" w:hAnsi="Arial"/>
          <w:b/>
          <w:bCs/>
          <w:color w:val="2E75B6"/>
          <w:sz w:val="24"/>
          <w:szCs w:val="24"/>
        </w:rPr>
        <w:t xml:space="preserve">Machine inactivity lock at 900 seconds (15 minutes)</w:t>
      </w:r>
    </w:p>
    <w:p>
      <w:pPr>
        <w:spacing w:before="80" w:after="80"/>
        <w:jc w:val="both"/>
      </w:pPr>
      <w:r>
        <w:rPr>
          <w:rFonts w:ascii="Arial" w:cs="Arial" w:eastAsia="Arial" w:hAnsi="Arial"/>
          <w:color w:val="2C2C2A"/>
          <w:sz w:val="22"/>
          <w:szCs w:val="22"/>
        </w:rPr>
        <w:t xml:space="preserve">Screens will lock after 15 minutes of inactivity. In operations centres, manufacturing floors, and any environment where screens are monitored passively without keyboard/mouse activity, this will generate complaints. Review whether 900 seconds is appropriate for all OUs or whether certain machine groups need a GPO exception (e.g., digital signage, kiosk machines, dedicated monitoring consoles). Action: OU-level exception process for legitimate non-standard machines.</w:t>
      </w:r>
    </w:p>
    <w:p>
      <w:pPr>
        <w:spacing w:before="80" w:after="0"/>
      </w:pPr>
      <w:r>
        <w:t xml:space="preserve"/>
      </w:r>
    </w:p>
    <w:p>
      <w:pPr>
        <w:pStyle w:val="Heading3"/>
        <w:spacing w:before="200" w:after="100"/>
      </w:pPr>
      <w:r>
        <w:rPr>
          <w:rFonts w:ascii="Arial" w:cs="Arial" w:eastAsia="Arial" w:hAnsi="Arial"/>
          <w:b/>
          <w:bCs/>
          <w:color w:val="2E75B6"/>
          <w:sz w:val="24"/>
          <w:szCs w:val="24"/>
        </w:rPr>
        <w:t xml:space="preserve">Smart card removal — lock workstation</w:t>
      </w:r>
    </w:p>
    <w:p>
      <w:pPr>
        <w:spacing w:before="80" w:after="80"/>
        <w:jc w:val="both"/>
      </w:pPr>
      <w:r>
        <w:rPr>
          <w:rFonts w:ascii="Arial" w:cs="Arial" w:eastAsia="Arial" w:hAnsi="Arial"/>
          <w:color w:val="2C2C2A"/>
          <w:sz w:val="22"/>
          <w:szCs w:val="22"/>
        </w:rPr>
        <w:t xml:space="preserve">In environments where smart cards or PIV tokens are in use, removing the card from the reader will immediately lock the workstation. Users who are accustomed to removing their card while continuing to work will find this disruptive initially. Action: include in communication to smart card users.</w:t>
      </w:r>
    </w:p>
    <w:p>
      <w:pPr>
        <w:spacing w:before="120" w:after="0"/>
      </w:pPr>
      <w:r>
        <w:t xml:space="preserve"/>
      </w:r>
    </w:p>
    <w:p>
      <w:pPr>
        <w:pStyle w:val="Heading2"/>
        <w:spacing w:before="280" w:after="140"/>
      </w:pPr>
      <w:r>
        <w:rPr>
          <w:rFonts w:ascii="Arial" w:cs="Arial" w:eastAsia="Arial" w:hAnsi="Arial"/>
          <w:b/>
          <w:bCs/>
          <w:color w:val="2E5FA3"/>
          <w:sz w:val="26"/>
          <w:szCs w:val="26"/>
        </w:rPr>
        <w:t xml:space="preserve">4.2 Password Policy Changes</w:t>
      </w:r>
    </w:p>
    <w:p>
      <w:pPr>
        <w:pStyle w:val="Heading3"/>
        <w:spacing w:before="200" w:after="100"/>
      </w:pPr>
      <w:r>
        <w:rPr>
          <w:rFonts w:ascii="Arial" w:cs="Arial" w:eastAsia="Arial" w:hAnsi="Arial"/>
          <w:b/>
          <w:bCs/>
          <w:color w:val="2E75B6"/>
          <w:sz w:val="24"/>
          <w:szCs w:val="24"/>
        </w:rPr>
        <w:t xml:space="preserve">Minimum password length increased to 14 characters</w:t>
      </w:r>
    </w:p>
    <w:p>
      <w:pPr>
        <w:spacing w:before="80" w:after="80"/>
        <w:jc w:val="both"/>
      </w:pPr>
      <w:r>
        <w:rPr>
          <w:rFonts w:ascii="Arial" w:cs="Arial" w:eastAsia="Arial" w:hAnsi="Arial"/>
          <w:color w:val="2C2C2A"/>
          <w:sz w:val="22"/>
          <w:szCs w:val="22"/>
        </w:rPr>
        <w:t xml:space="preserve">If the current policy enforces fewer than 14 characters, every user in scope will be forced to create a new password at their next password change (or immediately if -ForcePasswordChange is set). This is the single highest helpdesk volume event in the deployment cycle. Coordinate helpdesk staffing levels on rollout day. Communicate the change to users at least two weeks in advance. Provide a simple guide to creating a memorable 14-character passphrase.</w:t>
      </w:r>
    </w:p>
    <w:p>
      <w:pPr>
        <w:spacing w:before="80" w:after="0"/>
      </w:pPr>
      <w:r>
        <w:t xml:space="preserve"/>
      </w:r>
    </w:p>
    <w:p>
      <w:pPr>
        <w:pStyle w:val="Heading3"/>
        <w:spacing w:before="200" w:after="100"/>
      </w:pPr>
      <w:r>
        <w:rPr>
          <w:rFonts w:ascii="Arial" w:cs="Arial" w:eastAsia="Arial" w:hAnsi="Arial"/>
          <w:b/>
          <w:bCs/>
          <w:color w:val="2E75B6"/>
          <w:sz w:val="24"/>
          <w:szCs w:val="24"/>
        </w:rPr>
        <w:t xml:space="preserve">Account lockout threshold reduced to 5 invalid attempts</w:t>
      </w:r>
    </w:p>
    <w:p>
      <w:pPr>
        <w:spacing w:before="80" w:after="80"/>
        <w:jc w:val="both"/>
      </w:pPr>
      <w:r>
        <w:rPr>
          <w:rFonts w:ascii="Arial" w:cs="Arial" w:eastAsia="Arial" w:hAnsi="Arial"/>
          <w:color w:val="2C2C2A"/>
          <w:sz w:val="22"/>
          <w:szCs w:val="22"/>
        </w:rPr>
        <w:t xml:space="preserve">If the current threshold is higher (or unlimited), users with stale credentials cached on mobile devices, tablets, or secondary computers will lock themselves out within their first session after a password change. The most common scenario: a user changes their password, unlocks their workstation successfully, but their phone has the old password cached for email and triggers 5 rapid authentication failures against Exchange, locking the account before they even notice. Action: publish a guide for updating cached credentials on mobile devices. Temporarily increase helpdesk staffing for the first 48 hours post-deployment.</w:t>
      </w:r>
    </w:p>
    <w:p>
      <w:pPr>
        <w:spacing w:before="80" w:after="0"/>
      </w:pPr>
      <w:r>
        <w:t xml:space="preserve"/>
      </w:r>
    </w:p>
    <w:p>
      <w:pPr>
        <w:pStyle w:val="Heading3"/>
        <w:spacing w:before="200" w:after="100"/>
      </w:pPr>
      <w:r>
        <w:rPr>
          <w:rFonts w:ascii="Arial" w:cs="Arial" w:eastAsia="Arial" w:hAnsi="Arial"/>
          <w:b/>
          <w:bCs/>
          <w:color w:val="2E75B6"/>
          <w:sz w:val="24"/>
          <w:szCs w:val="24"/>
        </w:rPr>
        <w:t xml:space="preserve">Password history (24 previous passwords)</w:t>
      </w:r>
    </w:p>
    <w:p>
      <w:pPr>
        <w:spacing w:before="80" w:after="80"/>
        <w:jc w:val="both"/>
      </w:pPr>
      <w:r>
        <w:rPr>
          <w:rFonts w:ascii="Arial" w:cs="Arial" w:eastAsia="Arial" w:hAnsi="Arial"/>
          <w:color w:val="2C2C2A"/>
          <w:sz w:val="22"/>
          <w:szCs w:val="22"/>
        </w:rPr>
        <w:t xml:space="preserve">Users who cycle through a small set of passwords will find they cannot reuse recent passwords. Combined with minimum password age (1 day), this prevents rapid cycling but generates complaints from users who rotate between 2 or 3 passwords. Action: include in communication with guidance on passphrases as an easier alternative to complex short passwords.</w:t>
      </w:r>
    </w:p>
    <w:p>
      <w:pPr>
        <w:spacing w:before="120" w:after="0"/>
      </w:pPr>
      <w:r>
        <w:t xml:space="preserve"/>
      </w:r>
    </w:p>
    <w:p>
      <w:pPr>
        <w:pStyle w:val="Heading2"/>
        <w:spacing w:before="280" w:after="140"/>
      </w:pPr>
      <w:r>
        <w:rPr>
          <w:rFonts w:ascii="Arial" w:cs="Arial" w:eastAsia="Arial" w:hAnsi="Arial"/>
          <w:b/>
          <w:bCs/>
          <w:color w:val="2E5FA3"/>
          <w:sz w:val="26"/>
          <w:szCs w:val="26"/>
        </w:rPr>
        <w:t xml:space="preserve">4.3 UAC Behaviour Changes</w:t>
      </w:r>
    </w:p>
    <w:p>
      <w:pPr>
        <w:pStyle w:val="Heading3"/>
        <w:spacing w:before="200" w:after="100"/>
      </w:pPr>
      <w:r>
        <w:rPr>
          <w:rFonts w:ascii="Arial" w:cs="Arial" w:eastAsia="Arial" w:hAnsi="Arial"/>
          <w:b/>
          <w:bCs/>
          <w:color w:val="2E75B6"/>
          <w:sz w:val="24"/>
          <w:szCs w:val="24"/>
        </w:rPr>
        <w:t xml:space="preserve">Elevation prompt on secure desktop</w:t>
      </w:r>
    </w:p>
    <w:p>
      <w:pPr>
        <w:spacing w:before="80" w:after="80"/>
        <w:jc w:val="both"/>
      </w:pPr>
      <w:r>
        <w:rPr>
          <w:rFonts w:ascii="Arial" w:cs="Arial" w:eastAsia="Arial" w:hAnsi="Arial"/>
          <w:color w:val="2C2C2A"/>
          <w:sz w:val="22"/>
          <w:szCs w:val="22"/>
        </w:rPr>
        <w:t xml:space="preserve">Every UAC elevation prompt now switches to a dimmed secure desktop before displaying the prompt. For IT staff accustomed to rapidly clicking through UAC prompts, this adds a small but noticeable delay. For automated installation scripts that expect to interact with a UAC prompt programmatically, this will break them — the secure desktop prevents automated interaction. Action: review any automated installer or deployment script that handles UAC prompts programmatically.</w:t>
      </w:r>
    </w:p>
    <w:p>
      <w:pPr>
        <w:spacing w:before="80" w:after="0"/>
      </w:pPr>
      <w:r>
        <w:t xml:space="preserve"/>
      </w:r>
    </w:p>
    <w:p>
      <w:pPr>
        <w:pStyle w:val="Heading3"/>
        <w:spacing w:before="200" w:after="100"/>
      </w:pPr>
      <w:r>
        <w:rPr>
          <w:rFonts w:ascii="Arial" w:cs="Arial" w:eastAsia="Arial" w:hAnsi="Arial"/>
          <w:b/>
          <w:bCs/>
          <w:color w:val="2E75B6"/>
          <w:sz w:val="24"/>
          <w:szCs w:val="24"/>
        </w:rPr>
        <w:t xml:space="preserve">Admin approval mode for built-in Administrator</w:t>
      </w:r>
    </w:p>
    <w:p>
      <w:pPr>
        <w:spacing w:before="80" w:after="80"/>
        <w:jc w:val="both"/>
      </w:pPr>
      <w:r>
        <w:rPr>
          <w:rFonts w:ascii="Arial" w:cs="Arial" w:eastAsia="Arial" w:hAnsi="Arial"/>
          <w:color w:val="2C2C2A"/>
          <w:sz w:val="22"/>
          <w:szCs w:val="22"/>
        </w:rPr>
        <w:t xml:space="preserve">On machines where the built-in Administrator account is used directly (not a named admin account), UAC admin approval mode is now enforced. The built-in Administrator will now see UAC prompts. If any automated task or script runs as the built-in Administrator and expects no UAC prompts, it will hang waiting for elevation. Action: convert automated tasks to run as a service account with the minimum required privileges rather than as built-in Administrator.</w:t>
      </w:r>
    </w:p>
    <w:p>
      <w:r>
        <w:br w:type="page"/>
      </w:r>
    </w:p>
    <w:p>
      <w:pPr>
        <w:pStyle w:val="Heading1"/>
        <w:pBdr>
          <w:bottom w:val="single" w:color="1F3864" w:sz="6" w:space="4"/>
        </w:pBdr>
        <w:spacing w:before="360" w:after="200"/>
      </w:pPr>
      <w:r>
        <w:rPr>
          <w:rFonts w:ascii="Arial" w:cs="Arial" w:eastAsia="Arial" w:hAnsi="Arial"/>
          <w:b/>
          <w:bCs/>
          <w:color w:val="1F3864"/>
          <w:sz w:val="32"/>
          <w:szCs w:val="32"/>
        </w:rPr>
        <w:t xml:space="preserve">5. Recommended Deployment Sequence</w:t>
      </w:r>
    </w:p>
    <w:p>
      <w:pPr>
        <w:spacing w:before="80" w:after="80"/>
        <w:jc w:val="both"/>
      </w:pPr>
      <w:r>
        <w:rPr>
          <w:rFonts w:ascii="Arial" w:cs="Arial" w:eastAsia="Arial" w:hAnsi="Arial"/>
          <w:color w:val="2C2C2A"/>
          <w:sz w:val="22"/>
          <w:szCs w:val="22"/>
        </w:rPr>
        <w:t xml:space="preserve">The following sequence minimises user disruption by staggering high-impact changes with appropriate lead times and communication windows. No Tier 1 change should share a maintenance window with any other Tier 1 change.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000"/>
        <w:gridCol w:w="216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Module</w:t>
            </w:r>
          </w:p>
        </w:tc>
        <w:tc>
          <w:tcPr>
            <w:tcW w:type="dxa" w:w="1600"/>
            <w:tcBorders>
              <w:top w:val="single" w:color="2E5FA3" w:sz="1"/>
              <w:left w:val="single" w:color="2E5FA3" w:sz="1"/>
              <w:bottom w:val="single" w:color="2E5FA3" w:sz="1"/>
              <w:right w:val="single" w:color="2E5FA3" w:sz="1"/>
            </w:tcBorders>
            <w:shd w:fill="2E5FA3"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Deploy Phase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Audit Period</w:t>
            </w:r>
          </w:p>
        </w:tc>
        <w:tc>
          <w:tcPr>
            <w:tcW w:type="dxa" w:w="2000"/>
            <w:tcBorders>
              <w:top w:val="single" w:color="2E5FA3" w:sz="1"/>
              <w:left w:val="single" w:color="2E5FA3" w:sz="1"/>
              <w:bottom w:val="single" w:color="2E5FA3" w:sz="1"/>
              <w:right w:val="single" w:color="2E5FA3" w:sz="1"/>
            </w:tcBorders>
            <w:shd w:fill="2E5FA3"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Who to Notify</w:t>
            </w:r>
          </w:p>
        </w:tc>
        <w:tc>
          <w:tcPr>
            <w:tcW w:type="dxa" w:w="2160"/>
            <w:tcBorders>
              <w:top w:val="single" w:color="2E5FA3" w:sz="1"/>
              <w:left w:val="single" w:color="2E5FA3" w:sz="1"/>
              <w:bottom w:val="single" w:color="2E5FA3" w:sz="1"/>
              <w:right w:val="single" w:color="2E5FA3" w:sz="1"/>
            </w:tcBorders>
            <w:shd w:fill="2E5FA3"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Rollback Risk</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Logging + AuditPolicy</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1</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None required</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None</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FirewallPolicy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None required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IT team only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Low</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RegistryHardening (partial)</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1</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None required</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None</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AccountPolicy (lockout only)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Notify mobile users 2 weeks prior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users + helpdesk</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Password length change</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2</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2 week user notice</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users + helpdesk</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SecurityOptions (non-auth)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None required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IT team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Low</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UserRights</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2</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None required</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IT team</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LLMNR + NetBIOS disable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DNS audit complete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IT + network team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WinRM hardening</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3</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Script audit complete</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IT/ops team</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ServicesHardening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Spooler survey done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App owners, ops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ASR Audit mode (14 days)</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4</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14 day audit mandatory</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Security team</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ASR Block mode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Post-audit, exclusion list built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teams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High</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SMBv1 disable</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5 (standalone)</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Device firmware audit done</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IT + device owners</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TLS 1.0/1.1 disable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5 (standalone)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SChannel audit 7+ days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App owners, IT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High</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Credential Guard</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6 (standalone)</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VPN + app compat verified</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Security + app teams</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Protected Users group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6 (standalone)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Service account mapping done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IAM team, app owners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High</w:t>
            </w:r>
          </w:p>
        </w:tc>
      </w:tr>
      <w:tr>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Print Spooler (DC/MS)</w:t>
            </w:r>
          </w:p>
        </w:tc>
        <w:tc>
          <w:tcPr>
            <w:tcW w:type="dxa" w:w="16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Phase 6 (standalone)</w:t>
            </w:r>
          </w:p>
        </w:tc>
        <w:tc>
          <w:tcPr>
            <w:tcW w:type="dxa" w:w="18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Queue survey complete</w:t>
            </w:r>
          </w:p>
        </w:tc>
        <w:tc>
          <w:tcPr>
            <w:tcW w:type="dxa" w:w="200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App owners</w:t>
            </w:r>
          </w:p>
        </w:tc>
        <w:tc>
          <w:tcPr>
            <w:tcW w:type="dxa" w:w="2160"/>
            <w:tcBorders>
              <w:top w:val="single" w:color="CCCCCC" w:sz="1"/>
              <w:left w:val="single" w:color="CCCCCC" w:sz="1"/>
              <w:bottom w:val="single" w:color="CCCCCC" w:sz="1"/>
              <w:right w:val="single" w:color="CCCCCC" w:sz="1"/>
            </w:tcBorders>
            <w:shd w:fill="EBF2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High</w:t>
            </w:r>
          </w:p>
        </w:tc>
      </w:tr>
    </w:tbl>
    <w:p>
      <w:pPr>
        <w:spacing w:before="160" w:after="0"/>
      </w:pPr>
      <w:r>
        <w:t xml:space="preserve"/>
      </w:r>
    </w:p>
    <w:p>
      <w:pPr>
        <w:pStyle w:val="Heading2"/>
        <w:spacing w:before="280" w:after="140"/>
      </w:pPr>
      <w:r>
        <w:rPr>
          <w:rFonts w:ascii="Arial" w:cs="Arial" w:eastAsia="Arial" w:hAnsi="Arial"/>
          <w:b/>
          <w:bCs/>
          <w:color w:val="2E5FA3"/>
          <w:sz w:val="26"/>
          <w:szCs w:val="26"/>
        </w:rPr>
        <w:t xml:space="preserve">5.1 Audit Mode Deployment (-AuditMode flag)</w:t>
      </w:r>
    </w:p>
    <w:p>
      <w:pPr>
        <w:spacing w:before="80" w:after="80"/>
        <w:jc w:val="both"/>
      </w:pPr>
      <w:r>
        <w:rPr>
          <w:rFonts w:ascii="Arial" w:cs="Arial" w:eastAsia="Arial" w:hAnsi="Arial"/>
          <w:color w:val="2C2C2A"/>
          <w:sz w:val="22"/>
          <w:szCs w:val="22"/>
        </w:rPr>
        <w:t xml:space="preserve">The hardening script supports a -AuditMode flag that performs all pre-deployment checks and produces a readiness report without making any changes. This report includes:</w:t>
      </w:r>
    </w:p>
    <w:p>
      <w:pPr>
        <w:pStyle w:val="ListParagraph"/>
        <w:numPr>
          <w:ilvl w:val="0"/>
          <w:numId w:val="2"/>
        </w:numPr>
        <w:spacing w:before="60" w:after="60"/>
      </w:pPr>
      <w:r>
        <w:rPr>
          <w:rFonts w:ascii="Arial" w:cs="Arial" w:eastAsia="Arial" w:hAnsi="Arial"/>
          <w:color w:val="2C2C2A"/>
          <w:sz w:val="22"/>
          <w:szCs w:val="22"/>
        </w:rPr>
        <w:t xml:space="preserve">SChannel negotiation failures logged in the last 7 days</w:t>
      </w:r>
    </w:p>
    <w:p>
      <w:pPr>
        <w:pStyle w:val="ListParagraph"/>
        <w:numPr>
          <w:ilvl w:val="0"/>
          <w:numId w:val="2"/>
        </w:numPr>
        <w:spacing w:before="60" w:after="60"/>
      </w:pPr>
      <w:r>
        <w:rPr>
          <w:rFonts w:ascii="Arial" w:cs="Arial" w:eastAsia="Arial" w:hAnsi="Arial"/>
          <w:color w:val="2C2C2A"/>
          <w:sz w:val="22"/>
          <w:szCs w:val="22"/>
        </w:rPr>
        <w:t xml:space="preserve">Active SMBv1 sessions by source IP</w:t>
      </w:r>
    </w:p>
    <w:p>
      <w:pPr>
        <w:pStyle w:val="ListParagraph"/>
        <w:numPr>
          <w:ilvl w:val="0"/>
          <w:numId w:val="2"/>
        </w:numPr>
        <w:spacing w:before="60" w:after="60"/>
      </w:pPr>
      <w:r>
        <w:rPr>
          <w:rFonts w:ascii="Arial" w:cs="Arial" w:eastAsia="Arial" w:hAnsi="Arial"/>
          <w:color w:val="2C2C2A"/>
          <w:sz w:val="22"/>
          <w:szCs w:val="22"/>
        </w:rPr>
        <w:t xml:space="preserve">Services currently running that the script will disable</w:t>
      </w:r>
    </w:p>
    <w:p>
      <w:pPr>
        <w:pStyle w:val="ListParagraph"/>
        <w:numPr>
          <w:ilvl w:val="0"/>
          <w:numId w:val="2"/>
        </w:numPr>
        <w:spacing w:before="60" w:after="60"/>
      </w:pPr>
      <w:r>
        <w:rPr>
          <w:rFonts w:ascii="Arial" w:cs="Arial" w:eastAsia="Arial" w:hAnsi="Arial"/>
          <w:color w:val="2C2C2A"/>
          <w:sz w:val="22"/>
          <w:szCs w:val="22"/>
        </w:rPr>
        <w:t xml:space="preserve">Print queues active on target servers</w:t>
      </w:r>
    </w:p>
    <w:p>
      <w:pPr>
        <w:pStyle w:val="ListParagraph"/>
        <w:numPr>
          <w:ilvl w:val="0"/>
          <w:numId w:val="2"/>
        </w:numPr>
        <w:spacing w:before="60" w:after="60"/>
      </w:pPr>
      <w:r>
        <w:rPr>
          <w:rFonts w:ascii="Arial" w:cs="Arial" w:eastAsia="Arial" w:hAnsi="Arial"/>
          <w:color w:val="2C2C2A"/>
          <w:sz w:val="22"/>
          <w:szCs w:val="22"/>
        </w:rPr>
        <w:t xml:space="preserve">DNS coverage gaps (hosts resolving via LLMNR/NBT-NS rather than DNS)</w:t>
      </w:r>
    </w:p>
    <w:p>
      <w:pPr>
        <w:pStyle w:val="ListParagraph"/>
        <w:numPr>
          <w:ilvl w:val="0"/>
          <w:numId w:val="2"/>
        </w:numPr>
        <w:spacing w:before="60" w:after="60"/>
      </w:pPr>
      <w:r>
        <w:rPr>
          <w:rFonts w:ascii="Arial" w:cs="Arial" w:eastAsia="Arial" w:hAnsi="Arial"/>
          <w:color w:val="2C2C2A"/>
          <w:sz w:val="22"/>
          <w:szCs w:val="22"/>
        </w:rPr>
        <w:t xml:space="preserve">ASR audit events fired in the last 14 days</w:t>
      </w:r>
    </w:p>
    <w:p>
      <w:pPr>
        <w:pStyle w:val="ListParagraph"/>
        <w:numPr>
          <w:ilvl w:val="0"/>
          <w:numId w:val="2"/>
        </w:numPr>
        <w:spacing w:before="60" w:after="60"/>
      </w:pPr>
      <w:r>
        <w:rPr>
          <w:rFonts w:ascii="Arial" w:cs="Arial" w:eastAsia="Arial" w:hAnsi="Arial"/>
          <w:color w:val="2C2C2A"/>
          <w:sz w:val="22"/>
          <w:szCs w:val="22"/>
        </w:rPr>
        <w:t xml:space="preserve">Accounts in privileged groups that rely on NTLM or RC4</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thick" w:color="1D9E75" w:sz="12"/>
              <w:bottom w:val="single" w:color="1D9E75" w:sz="4"/>
              <w:right w:val="single" w:color="1D9E75" w:sz="4"/>
            </w:tcBorders>
            <w:shd w:fill="E1F5EE" w:val="clear"/>
            <w:tcMar>
              <w:top w:type="dxa" w:w="100"/>
              <w:left w:type="dxa" w:w="160"/>
              <w:bottom w:type="dxa" w:w="100"/>
              <w:right w:type="dxa" w:w="120"/>
            </w:tcMar>
          </w:tcPr>
          <w:p>
            <w:pPr>
              <w:spacing w:before="0" w:after="0"/>
            </w:pPr>
            <w:r>
              <w:rPr>
                <w:rFonts w:ascii="Arial" w:cs="Arial" w:eastAsia="Arial" w:hAnsi="Arial"/>
                <w:color w:val="2C2C2A"/>
                <w:sz w:val="20"/>
                <w:szCs w:val="20"/>
              </w:rPr>
              <w:t xml:space="preserve">RECOMMENDATION: Run Invoke-CISHardening.ps1 -AuditMode -ReportPath .\Reports on all target machines at least 14 days before Phase 3 begins. The readiness report will identify the majority of compatibility issues before any change is applied.</w:t>
            </w:r>
          </w:p>
        </w:tc>
      </w:tr>
    </w:tbl>
    <w:p>
      <w:r>
        <w:br w:type="page"/>
      </w:r>
    </w:p>
    <w:p>
      <w:pPr>
        <w:pStyle w:val="Heading1"/>
        <w:pBdr>
          <w:bottom w:val="single" w:color="1F3864" w:sz="6" w:space="4"/>
        </w:pBdr>
        <w:spacing w:before="360" w:after="200"/>
      </w:pPr>
      <w:r>
        <w:rPr>
          <w:rFonts w:ascii="Arial" w:cs="Arial" w:eastAsia="Arial" w:hAnsi="Arial"/>
          <w:b/>
          <w:bCs/>
          <w:color w:val="1F3864"/>
          <w:sz w:val="32"/>
          <w:szCs w:val="32"/>
        </w:rPr>
        <w:t xml:space="preserve">6. Rollback and Emergency Recovery</w:t>
      </w:r>
    </w:p>
    <w:p>
      <w:pPr>
        <w:spacing w:before="80" w:after="80"/>
        <w:jc w:val="both"/>
      </w:pPr>
      <w:r>
        <w:rPr>
          <w:rFonts w:ascii="Arial" w:cs="Arial" w:eastAsia="Arial" w:hAnsi="Arial"/>
          <w:color w:val="2C2C2A"/>
          <w:sz w:val="22"/>
          <w:szCs w:val="22"/>
        </w:rPr>
        <w:t xml:space="preserve">The script's three-layer rollback mechanism ensures that every change can be reversed cleanly. Understanding the rollback process is critical for the helpdesk and change management teams.</w:t>
      </w:r>
    </w:p>
    <w:p>
      <w:pPr>
        <w:spacing w:before="80" w:after="0"/>
      </w:pPr>
      <w:r>
        <w:t xml:space="preserve"/>
      </w:r>
    </w:p>
    <w:p>
      <w:pPr>
        <w:pStyle w:val="Heading2"/>
        <w:spacing w:before="280" w:after="140"/>
      </w:pPr>
      <w:r>
        <w:rPr>
          <w:rFonts w:ascii="Arial" w:cs="Arial" w:eastAsia="Arial" w:hAnsi="Arial"/>
          <w:b/>
          <w:bCs/>
          <w:color w:val="2E5FA3"/>
          <w:sz w:val="26"/>
          <w:szCs w:val="26"/>
        </w:rPr>
        <w:t xml:space="preserve">6.1 What the rollback covers</w:t>
      </w:r>
    </w:p>
    <w:p>
      <w:pPr>
        <w:pStyle w:val="ListParagraph"/>
        <w:numPr>
          <w:ilvl w:val="0"/>
          <w:numId w:val="2"/>
        </w:numPr>
        <w:spacing w:before="60" w:after="60"/>
      </w:pPr>
      <w:r>
        <w:rPr>
          <w:rFonts w:ascii="Arial" w:cs="Arial" w:eastAsia="Arial" w:hAnsi="Arial"/>
          <w:color w:val="2C2C2A"/>
          <w:sz w:val="22"/>
          <w:szCs w:val="22"/>
        </w:rPr>
        <w:t xml:space="preserve">GPO objects: Every GPO created by the script is tracked by GUID in the rollback manifest. Invoke-Rollback removes them individually via Remove-GPLink + Remove-GPO.</w:t>
      </w:r>
    </w:p>
    <w:p>
      <w:pPr>
        <w:pStyle w:val="ListParagraph"/>
        <w:numPr>
          <w:ilvl w:val="0"/>
          <w:numId w:val="2"/>
        </w:numPr>
        <w:spacing w:before="60" w:after="60"/>
      </w:pPr>
      <w:r>
        <w:rPr>
          <w:rFonts w:ascii="Arial" w:cs="Arial" w:eastAsia="Arial" w:hAnsi="Arial"/>
          <w:color w:val="2C2C2A"/>
          <w:sz w:val="22"/>
          <w:szCs w:val="22"/>
        </w:rPr>
        <w:t xml:space="preserve">Local security database: secedit /configure restores from the pre-flight .inf snapshot, reversing all account policy and security options changes.</w:t>
      </w:r>
    </w:p>
    <w:p>
      <w:pPr>
        <w:pStyle w:val="ListParagraph"/>
        <w:numPr>
          <w:ilvl w:val="0"/>
          <w:numId w:val="2"/>
        </w:numPr>
        <w:spacing w:before="60" w:after="60"/>
      </w:pPr>
      <w:r>
        <w:rPr>
          <w:rFonts w:ascii="Arial" w:cs="Arial" w:eastAsia="Arial" w:hAnsi="Arial"/>
          <w:color w:val="2C2C2A"/>
          <w:sz w:val="22"/>
          <w:szCs w:val="22"/>
        </w:rPr>
        <w:t xml:space="preserve">Audit policy: auditpol /restore replays the pre-flight CSV snapshot, restoring all audit subcategory settings.</w:t>
      </w:r>
    </w:p>
    <w:p>
      <w:pPr>
        <w:pStyle w:val="ListParagraph"/>
        <w:numPr>
          <w:ilvl w:val="0"/>
          <w:numId w:val="2"/>
        </w:numPr>
        <w:spacing w:before="60" w:after="60"/>
      </w:pPr>
      <w:r>
        <w:rPr>
          <w:rFonts w:ascii="Arial" w:cs="Arial" w:eastAsia="Arial" w:hAnsi="Arial"/>
          <w:color w:val="2C2C2A"/>
          <w:sz w:val="22"/>
          <w:szCs w:val="22"/>
        </w:rPr>
        <w:t xml:space="preserve">TLS/SChannel: Registry restore from the pre-flight .reg export, followed by reboot.</w:t>
      </w:r>
    </w:p>
    <w:p>
      <w:pPr>
        <w:pStyle w:val="ListParagraph"/>
        <w:numPr>
          <w:ilvl w:val="0"/>
          <w:numId w:val="2"/>
        </w:numPr>
        <w:spacing w:before="60" w:after="60"/>
      </w:pPr>
      <w:r>
        <w:rPr>
          <w:rFonts w:ascii="Arial" w:cs="Arial" w:eastAsia="Arial" w:hAnsi="Arial"/>
          <w:color w:val="2C2C2A"/>
          <w:sz w:val="22"/>
          <w:szCs w:val="22"/>
        </w:rPr>
        <w:t xml:space="preserve">Services: Service start type is recorded in the manifest before disabling. Rollback re-enables services to their original start type.</w:t>
      </w:r>
    </w:p>
    <w:p>
      <w:pPr>
        <w:spacing w:before="80" w:after="0"/>
      </w:pPr>
      <w:r>
        <w:t xml:space="preserve"/>
      </w:r>
    </w:p>
    <w:p>
      <w:pPr>
        <w:pStyle w:val="Heading2"/>
        <w:spacing w:before="280" w:after="140"/>
      </w:pPr>
      <w:r>
        <w:rPr>
          <w:rFonts w:ascii="Arial" w:cs="Arial" w:eastAsia="Arial" w:hAnsi="Arial"/>
          <w:b/>
          <w:bCs/>
          <w:color w:val="2E5FA3"/>
          <w:sz w:val="26"/>
          <w:szCs w:val="26"/>
        </w:rPr>
        <w:t xml:space="preserve">6.2 What rollback does NOT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thick" w:color="FFC107" w:sz="12"/>
              <w:bottom w:val="single" w:color="FFC107" w:sz="4"/>
              <w:right w:val="single" w:color="FFC107" w:sz="4"/>
            </w:tcBorders>
            <w:shd w:fill="FFF3CD" w:val="clear"/>
            <w:tcMar>
              <w:top w:type="dxa" w:w="100"/>
              <w:left w:type="dxa" w:w="160"/>
              <w:bottom w:type="dxa" w:w="100"/>
              <w:right w:type="dxa" w:w="120"/>
            </w:tcMar>
          </w:tcPr>
          <w:p>
            <w:pPr>
              <w:spacing w:before="0" w:after="0"/>
            </w:pPr>
            <w:r>
              <w:rPr>
                <w:rFonts w:ascii="Arial" w:cs="Arial" w:eastAsia="Arial" w:hAnsi="Arial"/>
                <w:color w:val="2C2C2A"/>
                <w:sz w:val="20"/>
                <w:szCs w:val="20"/>
              </w:rPr>
              <w:t xml:space="preserve">IMPORTANT: Rollback does not reverse changes to Active Directory objects (Protected Users group membership, Restricted Groups entries, DSRM password changes). These must be reversed manually. Document the current state of these objects before deploying Phase 6 controls.</w:t>
            </w:r>
          </w:p>
        </w:tc>
      </w:tr>
    </w:tbl>
    <w:p>
      <w:pPr>
        <w:spacing w:before="80" w:after="0"/>
      </w:pPr>
      <w:r>
        <w:t xml:space="preserve"/>
      </w:r>
    </w:p>
    <w:p>
      <w:pPr>
        <w:pStyle w:val="Heading2"/>
        <w:spacing w:before="280" w:after="140"/>
      </w:pPr>
      <w:r>
        <w:rPr>
          <w:rFonts w:ascii="Arial" w:cs="Arial" w:eastAsia="Arial" w:hAnsi="Arial"/>
          <w:b/>
          <w:bCs/>
          <w:color w:val="2E5FA3"/>
          <w:sz w:val="26"/>
          <w:szCs w:val="26"/>
        </w:rPr>
        <w:t xml:space="preserve">6.3 Rollback invocation</w:t>
      </w:r>
    </w:p>
    <w:p>
      <w:pPr>
        <w:spacing w:before="80" w:after="80"/>
        <w:jc w:val="both"/>
      </w:pPr>
      <w:r>
        <w:rPr>
          <w:rFonts w:ascii="Arial" w:cs="Arial" w:eastAsia="Arial" w:hAnsi="Arial"/>
          <w:color w:val="2C2C2A"/>
          <w:sz w:val="22"/>
          <w:szCs w:val="22"/>
        </w:rPr>
        <w:t xml:space="preserve">To invoke a full rollback to the pre-deployment snapshot:</w:t>
      </w:r>
    </w:p>
    <w:p>
      <w:pPr>
        <w:spacing w:before="80" w:after="80"/>
        <w:ind w:left="720"/>
      </w:pPr>
      <w:r>
        <w:rPr>
          <w:rFonts w:ascii="Courier New" w:cs="Courier New" w:eastAsia="Courier New" w:hAnsi="Courier New"/>
          <w:color w:val="1F3864"/>
          <w:sz w:val="20"/>
          <w:szCs w:val="20"/>
          <w:shd w:fill="F1EFE8" w:val="clear"/>
        </w:rPr>
        <w:t xml:space="preserve">Invoke-CISHardening.ps1 -Rollback -RollbackPath .\Rollback\&lt;timestamp&gt;</w:t>
      </w:r>
    </w:p>
    <w:p>
      <w:pPr>
        <w:spacing w:before="80" w:after="80"/>
        <w:jc w:val="both"/>
      </w:pPr>
      <w:r>
        <w:rPr>
          <w:rFonts w:ascii="Arial" w:cs="Arial" w:eastAsia="Arial" w:hAnsi="Arial"/>
          <w:color w:val="2C2C2A"/>
          <w:sz w:val="22"/>
          <w:szCs w:val="22"/>
        </w:rPr>
        <w:t xml:space="preserve">To rollback a specific module only:</w:t>
      </w:r>
    </w:p>
    <w:p>
      <w:pPr>
        <w:spacing w:before="80" w:after="80"/>
        <w:ind w:left="720"/>
      </w:pPr>
      <w:r>
        <w:rPr>
          <w:rFonts w:ascii="Courier New" w:cs="Courier New" w:eastAsia="Courier New" w:hAnsi="Courier New"/>
          <w:color w:val="1F3864"/>
          <w:sz w:val="20"/>
          <w:szCs w:val="20"/>
          <w:shd w:fill="F1EFE8" w:val="clear"/>
        </w:rPr>
        <w:t xml:space="preserve">Invoke-CISHardening.ps1 -Rollback -RollbackPath .\Rollback\&lt;timestamp&gt; -Module TLSHardening</w:t>
      </w:r>
    </w:p>
    <w:p>
      <w:pPr>
        <w:spacing w:before="80" w:after="80"/>
        <w:jc w:val="both"/>
      </w:pPr>
      <w:r>
        <w:rPr>
          <w:rFonts w:ascii="Arial" w:cs="Arial" w:eastAsia="Arial" w:hAnsi="Arial"/>
          <w:color w:val="2C2C2A"/>
          <w:sz w:val="22"/>
          <w:szCs w:val="22"/>
        </w:rPr>
        <w:t xml:space="preserve">TLS rollback requires a reboot to take effect. All other rollbacks take effect immediately via gpupdate /force.</w:t>
      </w:r>
    </w:p>
    <w:p>
      <w:r>
        <w:br w:type="page"/>
      </w:r>
    </w:p>
    <w:p>
      <w:pPr>
        <w:pStyle w:val="Heading1"/>
        <w:pBdr>
          <w:bottom w:val="single" w:color="1F3864" w:sz="6" w:space="4"/>
        </w:pBdr>
        <w:spacing w:before="360" w:after="200"/>
      </w:pPr>
      <w:r>
        <w:rPr>
          <w:rFonts w:ascii="Arial" w:cs="Arial" w:eastAsia="Arial" w:hAnsi="Arial"/>
          <w:b/>
          <w:bCs/>
          <w:color w:val="1F3864"/>
          <w:sz w:val="32"/>
          <w:szCs w:val="32"/>
        </w:rPr>
        <w:t xml:space="preserve">7. Communication Templates</w:t>
      </w:r>
    </w:p>
    <w:p>
      <w:pPr>
        <w:spacing w:before="80" w:after="80"/>
        <w:jc w:val="both"/>
      </w:pPr>
      <w:r>
        <w:rPr>
          <w:rFonts w:ascii="Arial" w:cs="Arial" w:eastAsia="Arial" w:hAnsi="Arial"/>
          <w:color w:val="2C2C2A"/>
          <w:sz w:val="22"/>
          <w:szCs w:val="22"/>
        </w:rPr>
        <w:t xml:space="preserve">The following templates are provided for adaptation. All communications should be sent from IT management, not the security team, to reduce alarm and ensure they are read.</w:t>
      </w:r>
    </w:p>
    <w:p>
      <w:pPr>
        <w:spacing w:before="80" w:after="0"/>
      </w:pPr>
      <w:r>
        <w:t xml:space="preserve"/>
      </w:r>
    </w:p>
    <w:p>
      <w:pPr>
        <w:pStyle w:val="Heading2"/>
        <w:spacing w:before="280" w:after="140"/>
      </w:pPr>
      <w:r>
        <w:rPr>
          <w:rFonts w:ascii="Arial" w:cs="Arial" w:eastAsia="Arial" w:hAnsi="Arial"/>
          <w:b/>
          <w:bCs/>
          <w:color w:val="2E5FA3"/>
          <w:sz w:val="26"/>
          <w:szCs w:val="26"/>
        </w:rPr>
        <w:t xml:space="preserve">7.1 User communication — Phase 2 (Password and Lockout Policy)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4"/>
              <w:left w:val="thick" w:color="888780" w:sz="12"/>
              <w:bottom w:val="single" w:color="888780" w:sz="4"/>
              <w:right w:val="single" w:color="888780" w:sz="4"/>
            </w:tcBorders>
            <w:shd w:fill="F8F9FA" w:val="clear"/>
            <w:tcMar>
              <w:top w:type="dxa" w:w="100"/>
              <w:left w:type="dxa" w:w="160"/>
              <w:bottom w:type="dxa" w:w="100"/>
              <w:right w:type="dxa" w:w="120"/>
            </w:tcMar>
          </w:tcPr>
          <w:p>
            <w:pPr>
              <w:spacing w:before="0" w:after="0"/>
            </w:pPr>
            <w:r>
              <w:rPr>
                <w:rFonts w:ascii="Arial" w:cs="Arial" w:eastAsia="Arial" w:hAnsi="Arial"/>
                <w:color w:val="2C2C2A"/>
                <w:sz w:val="20"/>
                <w:szCs w:val="20"/>
              </w:rPr>
              <w:t xml:space="preserve">Subject: Upcoming changes to your Windows login — action required
We are updating our password security policy in line with current best practices. Here is what is changing and what you need to do:
WHAT IS CHANGING:
  - Your password must now be at least 14 characters long
  - After 5 incorrect login attempts your account will be locked for 15 minutes
  - You will need to press CTRL+ALT+DEL before entering your login
  - Your screen will lock after 15 minutes of inactivity
WHAT YOU NEED TO DO:
  - Update your password on all devices (phone, tablet, laptop) at the same time when you next change it
  - Use a passphrase — a sentence you can remember — rather than a complex short password
If you get locked out, contact the helpdesk at [number]. We have additional staff available on [date].</w:t>
            </w:r>
          </w:p>
        </w:tc>
      </w:tr>
    </w:tbl>
    <w:p>
      <w:pPr>
        <w:spacing w:before="120" w:after="0"/>
      </w:pPr>
      <w:r>
        <w:t xml:space="preserve"/>
      </w:r>
    </w:p>
    <w:p>
      <w:pPr>
        <w:pStyle w:val="Heading2"/>
        <w:spacing w:before="280" w:after="140"/>
      </w:pPr>
      <w:r>
        <w:rPr>
          <w:rFonts w:ascii="Arial" w:cs="Arial" w:eastAsia="Arial" w:hAnsi="Arial"/>
          <w:b/>
          <w:bCs/>
          <w:color w:val="2E5FA3"/>
          <w:sz w:val="26"/>
          <w:szCs w:val="26"/>
        </w:rPr>
        <w:t xml:space="preserve">7.2 IT staff communication — Phase 3 (WinRM and RDP changes)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4"/>
              <w:left w:val="thick" w:color="888780" w:sz="12"/>
              <w:bottom w:val="single" w:color="888780" w:sz="4"/>
              <w:right w:val="single" w:color="888780" w:sz="4"/>
            </w:tcBorders>
            <w:shd w:fill="F8F9FA" w:val="clear"/>
            <w:tcMar>
              <w:top w:type="dxa" w:w="100"/>
              <w:left w:type="dxa" w:w="160"/>
              <w:bottom w:type="dxa" w:w="100"/>
              <w:right w:type="dxa" w:w="120"/>
            </w:tcMar>
          </w:tcPr>
          <w:p>
            <w:pPr>
              <w:spacing w:before="0" w:after="0"/>
            </w:pPr>
            <w:r>
              <w:rPr>
                <w:rFonts w:ascii="Arial" w:cs="Arial" w:eastAsia="Arial" w:hAnsi="Arial"/>
                <w:color w:val="2C2C2A"/>
                <w:sz w:val="20"/>
                <w:szCs w:val="20"/>
              </w:rPr>
              <w:t xml:space="preserve">Subject: Changes to remote management — PS remoting and RDP clipboard
The following changes to remote management tooling take effect on [date]:
WINRM: HTTP-based PowerShell remoting will be disabled. All PS remoting sessions must use HTTPS with Kerberos authentication. If you have scripts using Invoke-Command or New-PSSession over HTTP or with basic credentials, you will need to update them. Contact [name] for assistance migrating to HTTPS WinRM.
RDP CLIPBOARD: Copy-paste between your local machine and RDP sessions to servers will be disabled. For file transfers, use [approved method]. For pasting commands, pre-stage your scripts on the target server in advance.
These changes take effect on [date]. Testing in the pilot OU begins [date-2weeks].</w:t>
            </w:r>
          </w:p>
        </w:tc>
      </w:tr>
    </w:tbl>
    <w:p>
      <w:r>
        <w:br w:type="page"/>
      </w:r>
    </w:p>
    <w:p>
      <w:pPr>
        <w:pStyle w:val="Heading1"/>
        <w:pBdr>
          <w:bottom w:val="single" w:color="1F3864" w:sz="6" w:space="4"/>
        </w:pBdr>
        <w:spacing w:before="360" w:after="200"/>
      </w:pPr>
      <w:r>
        <w:rPr>
          <w:rFonts w:ascii="Arial" w:cs="Arial" w:eastAsia="Arial" w:hAnsi="Arial"/>
          <w:b/>
          <w:bCs/>
          <w:color w:val="1F3864"/>
          <w:sz w:val="32"/>
          <w:szCs w:val="32"/>
        </w:rPr>
        <w:t xml:space="preserve">8. Appendix — CIS Benchmark Reference</w:t>
      </w:r>
    </w:p>
    <w:p>
      <w:pPr>
        <w:spacing w:before="80" w:after="80"/>
        <w:jc w:val="both"/>
      </w:pPr>
      <w:r>
        <w:rPr>
          <w:rFonts w:ascii="Arial" w:cs="Arial" w:eastAsia="Arial" w:hAnsi="Arial"/>
          <w:color w:val="2C2C2A"/>
          <w:sz w:val="22"/>
          <w:szCs w:val="22"/>
        </w:rPr>
        <w:t xml:space="preserve">The following table maps each high-impact control to its CIS Benchmark section for audit and compliance documentation purposes.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Control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CIS Section</w:t>
            </w:r>
          </w:p>
        </w:tc>
        <w:tc>
          <w:tcPr>
            <w:tcW w:type="dxa" w:w="14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Level</w:t>
            </w:r>
          </w:p>
        </w:tc>
        <w:tc>
          <w:tcPr>
            <w:tcW w:type="dxa" w:w="316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Benchmark</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TLS 1.0/1.1 disable</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18.4.x</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Windows Server 2022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SMBv1 disable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18.3.3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Windows Server 2019/2022</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LM auth level — NTLMv2</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2.3.11.7</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LSASS PPL (RunAsPPL)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18.3.1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Windows 10/11 + Server</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WDigest disabled</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18.3.7</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LDAP channel binding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2.3.11.9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Server 2019/2022 DC</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LDAP signing — require</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2.3.11.8</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ASR rules (all)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18.10.43.x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L1/L2</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Windows 10/11 + Server</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Credential Guard</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18.10.5.1</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Windows 10/11 + Server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Print Spooler disabled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5.29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Server 2019/2022</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Lockout threshold 5</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1.2.2</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Password length 14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1.1.4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LLMNR disabled</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18.5.4.2</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NetBIOS disabled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18.5.5.1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WinRM basic auth off</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18.9.102.1</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RDP NLA required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18.10.56.2.2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RDP clipboard disabled</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18.10.56.3.9.5</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L2</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Server 2019/2022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CTRL+ALT+DEL required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2.3.7.1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Inactivity lock 900s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2.3.7.3</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SEHOP enabled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18.3.4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All benchmarks</w:t>
            </w:r>
          </w:p>
        </w:tc>
      </w:tr>
      <w:tr>
        <w:tc>
          <w:tcPr>
            <w:tcW w:type="dxa" w:w="3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VBS enabled</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18.9.5.1</w:t>
            </w:r>
          </w:p>
        </w:tc>
        <w:tc>
          <w:tcPr>
            <w:tcW w:type="dxa" w:w="14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L1</w:t>
            </w:r>
          </w:p>
        </w:tc>
        <w:tc>
          <w:tcPr>
            <w:tcW w:type="dxa" w:w="31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80"/>
            </w:tcMar>
          </w:tcPr>
          <w:p>
            <w:pPr>
              <w:spacing w:before="0" w:after="0"/>
            </w:pPr>
            <w:r>
              <w:rPr>
                <w:rFonts w:ascii="Arial" w:cs="Arial" w:eastAsia="Arial" w:hAnsi="Arial"/>
                <w:color w:val="2C2C2A"/>
                <w:sz w:val="18"/>
                <w:szCs w:val="18"/>
              </w:rPr>
              <w:t xml:space="preserve">Windows 10/11 + Server</w:t>
            </w:r>
          </w:p>
        </w:tc>
      </w:tr>
    </w:tbl>
    <w:p>
      <w:pPr>
        <w:spacing w:before="160" w:after="0"/>
      </w:pPr>
      <w:r>
        <w:t xml:space="preserve"/>
      </w:r>
    </w:p>
    <w:p>
      <w:pPr>
        <w:pBdr>
          <w:top w:val="single" w:color="D3D1C7" w:sz="4" w:space="4"/>
        </w:pBdr>
        <w:spacing w:before="0" w:after="60"/>
      </w:pPr>
      <w:r>
        <w:rPr>
          <w:rFonts w:ascii="Arial" w:cs="Arial" w:eastAsia="Arial" w:hAnsi="Arial"/>
          <w:b/>
          <w:bCs/>
          <w:color w:val="888780"/>
          <w:sz w:val="20"/>
          <w:szCs w:val="20"/>
        </w:rPr>
        <w:t xml:space="preserve">Document Control</w:t>
      </w:r>
    </w:p>
    <w:p>
      <w:pPr>
        <w:spacing w:before="0" w:after="0"/>
      </w:pPr>
      <w:r>
        <w:rPr>
          <w:rFonts w:ascii="Arial" w:cs="Arial" w:eastAsia="Arial" w:hAnsi="Arial"/>
          <w:color w:val="888780"/>
          <w:sz w:val="18"/>
          <w:szCs w:val="18"/>
        </w:rPr>
        <w:t xml:space="preserve">Version 1.0  |  Classification: Internal / Confidential  |  Review cycle: Per hardening script release  |  Owner: IT Security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spacing w:before="0"/>
    </w:pPr>
    <w:r>
      <w:rPr>
        <w:rFonts w:ascii="Arial" w:cs="Arial" w:eastAsia="Arial" w:hAnsi="Arial"/>
        <w:color w:val="888780"/>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8887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tabs>
        <w:tab w:val="right" w:pos="9026"/>
      </w:tabs>
      <w:spacing w:after="0"/>
    </w:pPr>
    <w:r>
      <w:rPr>
        <w:rFonts w:ascii="Arial" w:cs="Arial" w:eastAsia="Arial" w:hAnsi="Arial"/>
        <w:color w:val="888780"/>
        <w:sz w:val="18"/>
        <w:szCs w:val="18"/>
      </w:rPr>
      <w:t xml:space="preserve">CIS AD GPO Hardening Script</w:t>
    </w:r>
    <w:r>
      <w:rPr>
        <w:rFonts w:ascii="Arial" w:cs="Arial" w:eastAsia="Arial" w:hAnsi="Arial"/>
        <w:sz w:val="18"/>
        <w:szCs w:val="18"/>
      </w:rPr>
      <w:t xml:space="preserve">	</w:t>
    </w:r>
    <w:r>
      <w:rPr>
        <w:rFonts w:ascii="Arial" w:cs="Arial" w:eastAsia="Arial" w:hAnsi="Arial"/>
        <w:i/>
        <w:iCs/>
        <w:color w:val="888780"/>
        <w:sz w:val="18"/>
        <w:szCs w:val="18"/>
      </w:rPr>
      <w:t xml:space="preserve">End User Impact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2026-03-24T19:07:45.770Z</dcterms:created>
  <dcterms:modified xsi:type="dcterms:W3CDTF">2026-03-24T19:07:45.770Z</dcterms:modified>
</cp:coreProperties>
</file>

<file path=docProps/custom.xml><?xml version="1.0" encoding="utf-8"?>
<Properties xmlns="http://schemas.openxmlformats.org/officeDocument/2006/custom-properties" xmlns:vt="http://schemas.openxmlformats.org/officeDocument/2006/docPropsVTypes"/>
</file>