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Бизнес-процессы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информационной системы Top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Оглавление</w:t>
      </w:r>
    </w:p>
    <w:sdt>
      <w:sdtPr>
        <w:id w:val="7564854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Верхнеуровневая бизнес-модель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 Назначение информационной системы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 Акторы (роли)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60"/>
            </w:tabs>
            <w:spacing w:before="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2.1. Диаграмма контекста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60"/>
            </w:tabs>
            <w:spacing w:before="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2.2. Диаграмма вариантов использования (Use Case)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 Каталог бизнес-задач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 Карта процессов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5. BP-01 — Посещение главной и навигация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6. BP-02 — Каталог организаций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 BP-03 — Производители ASIC (частный сценарий каталога)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 BP-04 — Калькулятор доходности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9. BP-05 — Конвертер хешрейта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10. BP-06 — Рейтинги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11. BP-07 — Статьи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12. BP-08 — Подбор майнинг-отеля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13. BP-09 — Маркетинговые лендинги услуг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14. BP-10 — Обработка заявки (лид)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15. BP-11 — Подписка на рассылку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16. BP-12 — Отзыв об организации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Gungsuh" w:cs="Gungsuh" w:eastAsia="Gungsuh" w:hAnsi="Gungsuh"/>
                <w:color w:val="000000"/>
                <w:u w:val="none"/>
                <w:rtl w:val="0"/>
              </w:rPr>
              <w:t xml:space="preserve">17. Сводная матрица: процесс → схемы → код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 Как самому нарисовать схемы (пошагово)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18.1. Диаграмма контекста (уровень 0)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18.2. Use case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before="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18.3. BPMN 2.0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before="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18.4. Sequence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before="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18.5. ER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18.6. Component / deployment (по желанию)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19. Шаблон описания одной бизнес-задачи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20. Пример заполнения (образец для защиты)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21. Нефункциональные требования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0" w:line="360" w:lineRule="auto"/>
            <w:jc w:val="both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Приложение А. Полная ER-диаграмма (hardware + leads + catalog_organizations)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0. Верхнеуровневая бизнес-модель</w:t>
      </w:r>
    </w:p>
    <w:p w:rsidR="00000000" w:rsidDel="00000000" w:rsidP="00000000" w:rsidRDefault="00000000" w:rsidRPr="00000000" w14:paraId="00000028">
      <w:pPr>
        <w:spacing w:after="140" w:lineRule="auto"/>
        <w:rPr/>
      </w:pPr>
      <w:r w:rsidDel="00000000" w:rsidR="00000000" w:rsidRPr="00000000">
        <w:rPr>
          <w:rtl w:val="0"/>
        </w:rPr>
        <w:t xml:space="preserve">Три ключевых функции системы и цепочка от узнавания до передачи контакта менеджеру.</w:t>
      </w:r>
    </w:p>
    <w:p w:rsidR="00000000" w:rsidDel="00000000" w:rsidP="00000000" w:rsidRDefault="00000000" w:rsidRPr="00000000" w14:paraId="00000029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5718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0.1 — Верхнеуровневая бизнес-модель Top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Назначение информационной системы</w:t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tl w:val="0"/>
        </w:rPr>
        <w:t xml:space="preserve">Top Mining — веб-информационная система отраслевого портала о майнинге.</w:t>
      </w:r>
    </w:p>
    <w:tbl>
      <w:tblPr>
        <w:tblStyle w:val="Table1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4300"/>
        <w:tblGridChange w:id="0">
          <w:tblGrid>
            <w:gridCol w:w="2200"/>
            <w:gridCol w:w="360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Вопрос бизнеса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Ответ 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Зачем система существует?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Помочь принять решение о покупке/размещении оборудования и привести клиента к заявке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Кто пользуется?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Майнеры, инвесторы, новички, B2B (отели, ЦОД, поставщики)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Владелец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Что получает бизнес?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Лиды, доверие, контент-трафик, сравнение офферов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00" w:before="220" w:lineRule="auto"/>
        <w:rPr/>
      </w:pPr>
      <w:r w:rsidDel="00000000" w:rsidR="00000000" w:rsidRPr="00000000">
        <w:rPr>
          <w:rtl w:val="0"/>
        </w:rPr>
        <w:t xml:space="preserve">Главная цепочка ценности</w:t>
      </w:r>
    </w:p>
    <w:p w:rsidR="00000000" w:rsidDel="00000000" w:rsidP="00000000" w:rsidRDefault="00000000" w:rsidRPr="00000000" w14:paraId="0000003B">
      <w:pPr>
        <w:spacing w:after="1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Узнать (контент/рейтинги) → Сравнить (каталог/подбор) → Посчитать (калькулятор/конвертер) → Обратиться (заявка / подписка)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Акторы (роли)</w:t>
      </w:r>
    </w:p>
    <w:p w:rsidR="00000000" w:rsidDel="00000000" w:rsidP="00000000" w:rsidRDefault="00000000" w:rsidRPr="00000000" w14:paraId="0000003D">
      <w:pPr>
        <w:spacing w:after="140" w:lineRule="auto"/>
        <w:rPr/>
      </w:pPr>
      <w:r w:rsidDel="00000000" w:rsidR="00000000" w:rsidRPr="00000000">
        <w:rPr>
          <w:rtl w:val="0"/>
        </w:rPr>
        <w:t xml:space="preserve">Используются как swimlanes в BPMN и как актёры на диаграмме Use Case.</w:t>
      </w:r>
    </w:p>
    <w:tbl>
      <w:tblPr>
        <w:tblStyle w:val="Table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3930"/>
        <w:gridCol w:w="3120"/>
        <w:tblGridChange w:id="0">
          <w:tblGrid>
            <w:gridCol w:w="2595"/>
            <w:gridCol w:w="393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Посетитель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Анонимный пользователь сайта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Браузер, формы, калькулятор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Потенциальный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Готов оставить контакт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 /api/leads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Подписчик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Оставил email (не сохраняется в БД)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 /api/subscribe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Менеджер Top 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Получает лиды через Telegram и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Telegram / БД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Контент-редактор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Изменяет контент через SQL/seed/migrations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Через БД / миграции / 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Telegram Bot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Внешняя система уведомлений (best-effort)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уведомлений о лидах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Внешняя система отправки welcome-письма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SMTP welcome (BP-11)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CoinGecko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Внешний источник курсов криптовалют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Курсы для калькулятора/главной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2.1. Диаграмма контекста</w:t>
      </w:r>
    </w:p>
    <w:p w:rsidR="00000000" w:rsidDel="00000000" w:rsidP="00000000" w:rsidRDefault="00000000" w:rsidRPr="00000000" w14:paraId="0000005A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91075" cy="15232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1 — Диаграмма контекста ИС Top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2.2. Диаграмма вариантов использования (Use Case)</w:t>
      </w:r>
    </w:p>
    <w:p w:rsidR="00000000" w:rsidDel="00000000" w:rsidP="00000000" w:rsidRDefault="00000000" w:rsidRPr="00000000" w14:paraId="00000064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19675" cy="373997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39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2 — Use Case диаграмма: акторы и бизнес-задачи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Каталог бизнес-задач</w:t>
      </w:r>
    </w:p>
    <w:tbl>
      <w:tblPr>
        <w:tblStyle w:val="Table3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900"/>
        <w:gridCol w:w="1600"/>
        <w:gridCol w:w="3400"/>
        <w:tblGridChange w:id="0">
          <w:tblGrid>
            <w:gridCol w:w="1200"/>
            <w:gridCol w:w="3900"/>
            <w:gridCol w:w="1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Бизнес-задача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Ключевой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Информировать о рынке майнинга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Понимание темы, переход глубже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Найти организацию (отель, пул, биржа…)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Карточка org / переход к заявке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Сравнить производителей 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BP-02/03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Список производителей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Оценить доходность 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Прибыль, окупаемость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Перевести единицы хешрейта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Таблица единиц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Выбрать объект по рейтингу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Список ТОПов → статья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Прочитать экспертный 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Контент + счётчик просмотров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Подобрать майнинг-отель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Оффер placement/sale + заявка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Заказать консультацию / услугу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Лид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Собрать контакт для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leads + уведомление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Набрать базу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Welcome-письмо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BZ-12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Собрать обратную связь об 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organization_reviews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Карта процессов</w:t>
      </w:r>
    </w:p>
    <w:p w:rsidR="00000000" w:rsidDel="00000000" w:rsidP="00000000" w:rsidRDefault="00000000" w:rsidRPr="00000000" w14:paraId="0000009C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2193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3 — Карта бизнес-процессов: узнавание → решение → конверсия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BP-01 — Посещение главной и навигация</w:t>
      </w:r>
    </w:p>
    <w:tbl>
      <w:tblPr>
        <w:tblStyle w:val="Table4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Пользователь не знает, с чего начать на портале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Показать ценность бренда и маршруты: калькулятор, каталог, контакты, полезное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Открытие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Переход в целевой раздел или заявка с блока контактов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Участники (lanes)</w:t>
      </w:r>
    </w:p>
    <w:p w:rsidR="00000000" w:rsidDel="00000000" w:rsidP="00000000" w:rsidRDefault="00000000" w:rsidRPr="00000000" w14:paraId="000000A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Посетитель | UI главной | (опционально) API crypto / catalog</w:t>
      </w:r>
    </w:p>
    <w:p w:rsidR="00000000" w:rsidDel="00000000" w:rsidP="00000000" w:rsidRDefault="00000000" w:rsidRPr="00000000" w14:paraId="000000AB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Шаги процесса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Пользователь открывает главную.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ИС рендерит секции: hero бренда → рынок крипто → промо калькулятора → каталог → контакты → полезное.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Пользователь выбирает CTA (калькулятор / каталог / форма).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Конец или переход в другой BP.</w:t>
      </w:r>
    </w:p>
    <w:p w:rsidR="00000000" w:rsidDel="00000000" w:rsidP="00000000" w:rsidRDefault="00000000" w:rsidRPr="00000000" w14:paraId="000000B0">
      <w:pPr>
        <w:spacing w:after="1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BP-02 — Каталог организаций</w:t>
      </w:r>
    </w:p>
    <w:tbl>
      <w:tblPr>
        <w:tblStyle w:val="Table5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Сложно найти проверенного подрядчика / отель / биржу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Дать фильтруемый каталог с карточками и детальной страницей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/asic-manufacturers, блок каталога на главной, /sale_asic/:slug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Выбор организации, отзывы, заявка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Lanes</w:t>
      </w:r>
    </w:p>
    <w:p w:rsidR="00000000" w:rsidDel="00000000" w:rsidP="00000000" w:rsidRDefault="00000000" w:rsidRPr="00000000" w14:paraId="000000C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Посетитель | UI Catalog | BFF /api/catalog* | Go catalog/organizations | PostgreSQL</w:t>
      </w:r>
    </w:p>
    <w:p w:rsidR="00000000" w:rsidDel="00000000" w:rsidP="00000000" w:rsidRDefault="00000000" w:rsidRPr="00000000" w14:paraId="000000C3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Шаги (happy path)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Открыть каталог / категорию.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Service: загрузить категории и организации (catalog GraphQL → /api/catalog).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Пользователь задаёт поиск / сортировку / категорию (Pinia catalog-filters).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Просмотр списка карточек.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Открыть карточку /sale_asic/:slug (или manufacturer slug).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Service: organization(slug) + адреса, галерея, услуги, отзывы.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Опционально: оставить отзыв (BP-12).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Sequence-диаграмма</w:t>
      </w:r>
    </w:p>
    <w:p w:rsidR="00000000" w:rsidDel="00000000" w:rsidP="00000000" w:rsidRDefault="00000000" w:rsidRPr="00000000" w14:paraId="000000CC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10075" cy="3245669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45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4 — Sequence: BP-02 Каталог организаций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ER-фрагмент данных</w:t>
      </w:r>
    </w:p>
    <w:p w:rsidR="00000000" w:rsidDel="00000000" w:rsidP="00000000" w:rsidRDefault="00000000" w:rsidRPr="00000000" w14:paraId="000000C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catalog_categories 1──* catalog_organizations 1──* organization_addresses / organization_gallery_images / organization_reviews. Полная ER-диаграмма — Рис. 9.</w:t>
      </w:r>
    </w:p>
    <w:p w:rsidR="00000000" w:rsidDel="00000000" w:rsidP="00000000" w:rsidRDefault="00000000" w:rsidRPr="00000000" w14:paraId="000000D0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Исключения</w:t>
      </w:r>
    </w:p>
    <w:tbl>
      <w:tblPr>
        <w:tblStyle w:val="Table6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700"/>
        <w:tblGridChange w:id="0">
          <w:tblGrid>
            <w:gridCol w:w="34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Org не найдена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404 / not-found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Пустая 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Пустой список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недоступен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Ошибка загрузки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7. BP-03 — Производители ASIC (частный сценарий каталога)</w:t>
      </w:r>
    </w:p>
    <w:p w:rsidR="00000000" w:rsidDel="00000000" w:rsidP="00000000" w:rsidRDefault="00000000" w:rsidRPr="00000000" w14:paraId="000000D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То же, что BP-02, с фильтром категории equipment-manufacturers и маршрутом /asic-manufacturers/?category=… . На BPMN можно оформить как подпроцесс BP-02 «Browse manufacturers».</w:t>
      </w:r>
    </w:p>
    <w:p w:rsidR="00000000" w:rsidDel="00000000" w:rsidP="00000000" w:rsidRDefault="00000000" w:rsidRPr="00000000" w14:paraId="000000DB">
      <w:pPr>
        <w:pStyle w:val="Heading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8. BP-04 — Калькулятор доходности</w:t>
      </w:r>
    </w:p>
    <w:tbl>
      <w:tblPr>
        <w:tblStyle w:val="Table7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Неясно, окупится ли ASIC/GPU/CPU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Оценка дохода и окупаемости до покупки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/calculator или промо на главной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Расчёт только на клиенте; API даёт справочники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Lanes (обязательны на BPMN)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Пользователь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UI (CalculatorForm / CalculatorResults)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Клиентская математика (profit.ts)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BFF /api/calculator/*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Go hardware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PostgreSQL hardware_*, market_stats, fx_rates</w:t>
      </w:r>
    </w:p>
    <w:p w:rsidR="00000000" w:rsidDel="00000000" w:rsidP="00000000" w:rsidRDefault="00000000" w:rsidRPr="00000000" w14:paraId="000000ED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Шаги (1:1 в BPMN tasks)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Load catalogs (Service)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 device kind ASIC|GPU|CPU (User + XOR)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model or manual ASIC params (User + XOR)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Select coin / algorithm (User)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Fill economics (User)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Validate (Business rule + XOR)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Optional default price confirm (User + XOR)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Calculate profit (Script Task — клиент)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Show results (User)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Change params? → цикл / End</w:t>
      </w:r>
    </w:p>
    <w:p w:rsidR="00000000" w:rsidDel="00000000" w:rsidP="00000000" w:rsidRDefault="00000000" w:rsidRPr="00000000" w14:paraId="000000F8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Data Objects на стрелках</w:t>
      </w:r>
    </w:p>
    <w:p w:rsidR="00000000" w:rsidDel="00000000" w:rsidP="00000000" w:rsidRDefault="00000000" w:rsidRPr="00000000" w14:paraId="000000F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HardwareCatalog, CoinsCatalog, CalculatorFormState, ProfitLegs, ProfitResult.</w:t>
      </w:r>
    </w:p>
    <w:p w:rsidR="00000000" w:rsidDel="00000000" w:rsidP="00000000" w:rsidRDefault="00000000" w:rsidRPr="00000000" w14:paraId="000000FA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Бизнес-правило: default price</w:t>
      </w:r>
    </w:p>
    <w:p w:rsidR="00000000" w:rsidDel="00000000" w:rsidP="00000000" w:rsidRDefault="00000000" w:rsidRPr="00000000" w14:paraId="000000F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Для ASIC существует значение по умолчанию (120 000 ₽). UI проверяет: цена похожа на default? Да → шаг подтверждения; Нет (пользователь сам изменил цену) → сразу расчёт.</w:t>
      </w:r>
    </w:p>
    <w:p w:rsidR="00000000" w:rsidDel="00000000" w:rsidP="00000000" w:rsidRDefault="00000000" w:rsidRPr="00000000" w14:paraId="000000FC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Бизнес-правило: payback</w:t>
      </w:r>
    </w:p>
    <w:p w:rsidR="00000000" w:rsidDel="00000000" w:rsidP="00000000" w:rsidRDefault="00000000" w:rsidRPr="00000000" w14:paraId="000000F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Если netProfit ≤ 0, то paybackMonths = null, и UI показывает «Не окупается» вместо срока окупаемости.</w:t>
      </w:r>
    </w:p>
    <w:p w:rsidR="00000000" w:rsidDel="00000000" w:rsidP="00000000" w:rsidRDefault="00000000" w:rsidRPr="00000000" w14:paraId="000000F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BPMN-диаграмма (главный процесс для защиты)</w:t>
      </w:r>
    </w:p>
    <w:p w:rsidR="00000000" w:rsidDel="00000000" w:rsidP="00000000" w:rsidRDefault="00000000" w:rsidRPr="00000000" w14:paraId="00000112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54140" cy="75139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4140" cy="751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5 — BPMN: BP-04 Калькулятор доходности оборудования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9. BP-05 — Конвертер хешрейта</w:t>
      </w:r>
    </w:p>
    <w:tbl>
      <w:tblPr>
        <w:tblStyle w:val="Table8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Путаница единиц (H/s, MH/s, TH/s…)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Мгновенный пересчёт единиц без бэкенда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/konverter-heshrejta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Таблица эквивалентов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Процесс локальный: почти без System tasks к БД. На BPMN — один lane «Пользователь» + «UI/модуль converter».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Открыть страницу.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Ввести значение / выбрать единицу.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Модуль пересчитывает все единицы (common/modules/top-mining/converter/).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Показать FAQ / 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10. BP-06 — Рейтинги</w:t>
      </w:r>
    </w:p>
    <w:tbl>
      <w:tblPr>
        <w:tblStyle w:val="Table9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Много обзоров, нужен «ТОП»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Структурированные рейтинги по категориям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/rating, блок на главной (ratingsHome)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Переход в статью рейтинга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Загрузка ratings / ratingsHome.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Выбор категории (equipment, tools, sales, crypto…).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Клик по пункту → URL статьи.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Далее BP-07.</w:t>
      </w:r>
    </w:p>
    <w:p w:rsidR="00000000" w:rsidDel="00000000" w:rsidP="00000000" w:rsidRDefault="00000000" w:rsidRPr="00000000" w14:paraId="00000133">
      <w:pPr>
        <w:pStyle w:val="Heading3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Важно: два разных домена</w:t>
      </w:r>
    </w:p>
    <w:tbl>
      <w:tblPr>
        <w:tblStyle w:val="Table10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3300"/>
        <w:tblGridChange w:id="0">
          <w:tblGrid>
            <w:gridCol w:w="3600"/>
            <w:gridCol w:w="32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Хранение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Рейтинг организации (org.rating)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AVG по approved-отзывам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вычисляемое/агрегированное поле catalog_organizations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Редакционные рейтинги/ТОПы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rating_categories → rating_items → ссылка на статью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контент, вручную заведённый в БД, НЕ вычисляется из отзывов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40" w:lineRule="auto"/>
        <w:rPr/>
      </w:pPr>
      <w:r w:rsidDel="00000000" w:rsidR="00000000" w:rsidRPr="00000000">
        <w:rPr>
          <w:rtl w:val="0"/>
        </w:rPr>
        <w:t xml:space="preserve">ER: rating_categories 1──* rating_items (поля: slug, title, display_number, label, href, show_on_home…). См. Рис. 10.</w:t>
      </w:r>
    </w:p>
    <w:p w:rsidR="00000000" w:rsidDel="00000000" w:rsidP="00000000" w:rsidRDefault="00000000" w:rsidRPr="00000000" w14:paraId="0000013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11. BP-07 — Статьи</w:t>
      </w:r>
    </w:p>
    <w:tbl>
      <w:tblPr>
        <w:tblStyle w:val="Table11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Нужна экспертная информация и SEO-трафик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Лента и детальная статья с блоками контента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/articles, /articles/:slug, ссылка из рейтинга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Прочтение + incrementArticleView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Открыть ленту (topic filter).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Service: articlesFeed / catalog articles.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Открыть slug.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Service: article(slug) + blocks + translations (EN).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Mutation: incrementArticleView (счётчик).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Опционально: связанные org / калькулятор в блоках.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00" w:before="220" w:lineRule="auto"/>
        <w:rPr/>
      </w:pPr>
      <w:r w:rsidDel="00000000" w:rsidR="00000000" w:rsidRPr="00000000">
        <w:rPr>
          <w:rtl w:val="0"/>
        </w:rPr>
        <w:t xml:space="preserve">Sequence-диаграмма</w:t>
      </w:r>
    </w:p>
    <w:p w:rsidR="00000000" w:rsidDel="00000000" w:rsidP="00000000" w:rsidRDefault="00000000" w:rsidRPr="00000000" w14:paraId="00000152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6494" cy="420489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494" cy="420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6 — Sequence: BP-07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00" w:before="220" w:lineRule="auto"/>
        <w:rPr/>
      </w:pPr>
      <w:r w:rsidDel="00000000" w:rsidR="00000000" w:rsidRPr="00000000">
        <w:rPr>
          <w:rtl w:val="0"/>
        </w:rPr>
        <w:t xml:space="preserve">ER-диаграмма (статьи + рейтинги)</w:t>
      </w:r>
    </w:p>
    <w:p w:rsidR="00000000" w:rsidDel="00000000" w:rsidP="00000000" w:rsidRDefault="00000000" w:rsidRPr="00000000" w14:paraId="00000155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914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7 — ER: article_topics, articles, article_blocks, rating_*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12. BP-08 — Подбор майнинг-отеля</w:t>
      </w:r>
    </w:p>
    <w:tbl>
      <w:tblPr>
        <w:tblStyle w:val="Table12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Сложно сравнить условия размещения и продажи «под ключ»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Карточки офферов placement/sale + модалки тарифов + заявка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/mining-hotel (podbor)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Выбор оффера / лид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Загрузка podborPlacementOffers, podborSaleOffers.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Просмотр карусели / карточек.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Открыть тариф / детали (модалка).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CTA «добавить карточку» / заявка → BP-10.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Блоки how-we-work, key factors, CTA.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ER: podbor_placement_offers (is_published, sort, payload…), podbor_sale_offers.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13. BP-09 — Маркетинговые лендинги услуг</w:t>
      </w:r>
    </w:p>
    <w:p w:rsidR="00000000" w:rsidDel="00000000" w:rsidP="00000000" w:rsidRDefault="00000000" w:rsidRPr="00000000" w14:paraId="0000016E">
      <w:pPr>
        <w:spacing w:after="140" w:lineRule="auto"/>
        <w:rPr/>
      </w:pPr>
      <w:r w:rsidDel="00000000" w:rsidR="00000000" w:rsidRPr="00000000">
        <w:rPr>
          <w:rtl w:val="0"/>
        </w:rPr>
        <w:t xml:space="preserve">Страницы-офферы услуг компании. Общий паттерн: контент + форма → BP-10.</w:t>
      </w:r>
    </w:p>
    <w:tbl>
      <w:tblPr>
        <w:tblStyle w:val="Table13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00"/>
        <w:gridCol w:w="3800"/>
        <w:tblGridChange w:id="0">
          <w:tblGrid>
            <w:gridCol w:w="2400"/>
            <w:gridCol w:w="39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Бизнес-смысл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Buy 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/buy-asic, /buy-asic/:slug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Продажа оборудования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Консалтинг / вход в майнинг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/data-center-construction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Строительство ЦОД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Increase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/increase-income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Рост дохода площадки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Контакты + карта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14. BP-10 — Обработка заявки (лид)</w:t>
      </w:r>
    </w:p>
    <w:tbl>
      <w:tblPr>
        <w:tblStyle w:val="Table14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700"/>
        <w:tblGridChange w:id="0">
          <w:tblGrid>
            <w:gridCol w:w="240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Нужен канал продаж без телефона «в никуда»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Валидный контакт в БД + уведомление менеджеру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любой формы с useSubmitLead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Строка в leads, UI success/error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Lanes</w:t>
      </w:r>
    </w:p>
    <w:p w:rsidR="00000000" w:rsidDel="00000000" w:rsidP="00000000" w:rsidRDefault="00000000" w:rsidRPr="00000000" w14:paraId="0000018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Посетитель | UI Form + FormStatus | Клиент Zod | BFF /api/leads | Сервер Zod | Go createLead | PostgreSQL | Telegram</w:t>
      </w:r>
    </w:p>
    <w:p w:rsidR="00000000" w:rsidDel="00000000" w:rsidP="00000000" w:rsidRDefault="00000000" w:rsidRPr="00000000" w14:paraId="0000018E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Шаги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Пользователь заполняет имя / контакт / сообщение / доп. fields.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Клиент: safeParse Zod.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XOR: invalid → показать ошибку → конец ветки.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POST /api/leads.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Сервер: Zod повторно.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GraphQL createLead.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INSERT leads.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Best-effort Telegram notify.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UI success toast.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00" w:before="220" w:lineRule="auto"/>
        <w:rPr/>
      </w:pPr>
      <w:r w:rsidDel="00000000" w:rsidR="00000000" w:rsidRPr="00000000">
        <w:rPr>
          <w:rtl w:val="0"/>
        </w:rPr>
        <w:t xml:space="preserve">Данные заявки (Data Object Lead)</w:t>
      </w:r>
    </w:p>
    <w:tbl>
      <w:tblPr>
        <w:tblStyle w:val="Table15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900"/>
        <w:tblGridChange w:id="0">
          <w:tblGrid>
            <w:gridCol w:w="3200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source * (обязательное)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Откуда форма (footer-contact, buy-asic-hero, consulting-construction, data-center-lead, podbor-*, 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contact * (обязательное)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Телефон ИЛИ Telegram; строгой email/phone regex-валидации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name,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Дополнительные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fields (JSONB)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Произвольные доп. данные формы (регион, мощность…)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Honeypot — техническое антибот-поле, НЕ бизнес-реквизит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URL страницы, с которой отправлена форма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Время создания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00" w:before="220" w:lineRule="auto"/>
        <w:rPr/>
      </w:pPr>
      <w:r w:rsidDel="00000000" w:rsidR="00000000" w:rsidRPr="00000000">
        <w:rPr>
          <w:rtl w:val="0"/>
        </w:rPr>
        <w:t xml:space="preserve">BPMN-диаграмма (главный процесс для защиты)</w:t>
      </w:r>
    </w:p>
    <w:p w:rsidR="00000000" w:rsidDel="00000000" w:rsidP="00000000" w:rsidRDefault="00000000" w:rsidRPr="00000000" w14:paraId="000001AE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13118" cy="478519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118" cy="478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8 — BPMN: BP-10 Обработка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00" w:before="220" w:lineRule="auto"/>
        <w:rPr/>
      </w:pPr>
      <w:r w:rsidDel="00000000" w:rsidR="00000000" w:rsidRPr="00000000">
        <w:rPr>
          <w:rtl w:val="0"/>
        </w:rPr>
        <w:t xml:space="preserve">Sequence-диаграмма</w:t>
      </w:r>
    </w:p>
    <w:p w:rsidR="00000000" w:rsidDel="00000000" w:rsidP="00000000" w:rsidRDefault="00000000" w:rsidRPr="00000000" w14:paraId="000001B1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1051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3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9 — Sequence: BP-10 Отправка и обработка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15. BP-11 — Подписка на рассылку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Ввод email.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Zod (subscribeSubmitSchema).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POST /api/subscribe.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SMTP welcome (если настроен).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Telegram notify (опционально).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UI статус.</w:t>
      </w:r>
    </w:p>
    <w:p w:rsidR="00000000" w:rsidDel="00000000" w:rsidP="00000000" w:rsidRDefault="00000000" w:rsidRPr="00000000" w14:paraId="000001BA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16. BP-12 — Отзыв об организации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На карточке org открыть форму отзыва (авторизация не требуется).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Заполнить: name, phone, email (опционально), text, rating (1..5).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Отправить → POST /reviews → создание записи.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status = approved сразу (без промежуточного pending).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Отзыв сразу появляется в списке; триггер/синк рейтинга org (014, 019 autosync).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ER: catalog_organizations 1──* organization_reviews (name, phone, email?, text, rating, status='approved'). См. Рис. 9 (Приложение А).</w:t>
      </w:r>
    </w:p>
    <w:p w:rsidR="00000000" w:rsidDel="00000000" w:rsidP="00000000" w:rsidRDefault="00000000" w:rsidRPr="00000000" w14:paraId="000001C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17. Сводная матрица: процесс → схемы → код</w:t>
      </w:r>
    </w:p>
    <w:tbl>
      <w:tblPr>
        <w:tblStyle w:val="Table1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000"/>
        <w:gridCol w:w="1400"/>
        <w:gridCol w:w="1400"/>
        <w:gridCol w:w="1300"/>
        <w:gridCol w:w="2600"/>
        <w:tblGridChange w:id="0">
          <w:tblGrid>
            <w:gridCol w:w="1800"/>
            <w:gridCol w:w="1000"/>
            <w:gridCol w:w="1400"/>
            <w:gridCol w:w="1400"/>
            <w:gridCol w:w="13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Где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BP-01 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простой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pages/index.vue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BP-02 Каталог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catalog +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BP-04 Калькулятор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 (главный)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calculator +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BP-05 Конвертер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простой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converter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BP-06 Рейтинги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короткий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rating_*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BP-07 Статьи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articles*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articles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BP-08 Подбор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короткий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podbor_*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podbor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BP-09 Лендинги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через BP-10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buy-asic, consulting…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BP-10 Лиды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 (главный)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BP-11 Подписка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короткий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BP-12 Отзывы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короткий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organizations/reviews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Style w:val="Heading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 Как самому нарисовать схемы (пошагово)</w:t>
      </w:r>
    </w:p>
    <w:p w:rsidR="00000000" w:rsidDel="00000000" w:rsidP="00000000" w:rsidRDefault="00000000" w:rsidRPr="00000000" w14:paraId="0000020C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18.1. Диаграмма контекста (уровень 0)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Прямоугольник «ИС Top Mining».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Внешние сущности: Посетитель, PostgreSQL, Telegram, SMTP, (опц.) CoinGecko.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Стрелки с подписями протоколов (HTTPS, GraphQL, SMTP).</w:t>
      </w:r>
    </w:p>
    <w:p w:rsidR="00000000" w:rsidDel="00000000" w:rsidP="00000000" w:rsidRDefault="00000000" w:rsidRPr="00000000" w14:paraId="00000210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18.2. Use case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— прямоугольник.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Актёры слева/справа.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Овалы = бизнес-задачи из §3.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Связи include: «Заказать услугу» include «Отправить лид».</w:t>
      </w:r>
    </w:p>
    <w:p w:rsidR="00000000" w:rsidDel="00000000" w:rsidP="00000000" w:rsidRDefault="00000000" w:rsidRPr="00000000" w14:paraId="00000215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18.3. BPMN 2.0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Pool с именем процесса (BP-04 Calculator).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Добавьте Lanes из таблицы процесса.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Event → Tasks (User / Service / Script) → XOR Gateways → End.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Между системами — Message Flow (пунктир).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Object прикрепите к стрелкам загрузки/расчёта.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Имена задач берите дословно из § «Шаги» — так проще защищать.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18.4. Sequence</w:t>
      </w:r>
    </w:p>
    <w:p w:rsidR="00000000" w:rsidDel="00000000" w:rsidP="00000000" w:rsidRDefault="00000000" w:rsidRPr="00000000" w14:paraId="0000021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Участники сверху = lanes. Сообщения = реальные HTTP/GraphQL вызовы (см. sequence-диаграммы выше).</w:t>
      </w:r>
    </w:p>
    <w:p w:rsidR="00000000" w:rsidDel="00000000" w:rsidP="00000000" w:rsidRDefault="00000000" w:rsidRPr="00000000" w14:paraId="00000220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18.5. ER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Сущности = таблицы миграций.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PK/FK как в SQL.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защиты хватит hardware + leads + catalog_organizations (Рис. 9 в приложении).</w:t>
      </w:r>
    </w:p>
    <w:p w:rsidR="00000000" w:rsidDel="00000000" w:rsidP="00000000" w:rsidRDefault="00000000" w:rsidRPr="00000000" w14:paraId="00000224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18.6. Component / deployment (по желанию)</w:t>
      </w:r>
    </w:p>
    <w:p w:rsidR="00000000" w:rsidDel="00000000" w:rsidP="00000000" w:rsidRDefault="00000000" w:rsidRPr="00000000" w14:paraId="0000022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Component: Browser → Nuxt → Go → Postgres. Deployment: Netlify (фронт) + Render (Go) + Postgres (Docker/облако).</w:t>
      </w:r>
    </w:p>
    <w:p w:rsidR="00000000" w:rsidDel="00000000" w:rsidP="00000000" w:rsidRDefault="00000000" w:rsidRPr="00000000" w14:paraId="00000226">
      <w:pPr>
        <w:pStyle w:val="Heading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19. Шаблон описания одной бизнес-задачи</w:t>
      </w:r>
    </w:p>
    <w:p w:rsidR="00000000" w:rsidDel="00000000" w:rsidP="00000000" w:rsidRDefault="00000000" w:rsidRPr="00000000" w14:paraId="0000022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Скопируйте блок и заполните для новых экранов:</w:t>
      </w:r>
    </w:p>
    <w:tbl>
      <w:tblPr>
        <w:tblStyle w:val="Table17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900"/>
        <w:tblGridChange w:id="0">
          <w:tblGrid>
            <w:gridCol w:w="3200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Акторы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Триггер (событие)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Основной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… 2.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Альтернативы / исключения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Постусловия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Связанный 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Метрика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число лидов / время до расчёта / CTR в каталог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Экраны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маршруты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Схемы к приложению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BPMN рис. N, Sequence рис. M, ER рис. 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20. Пример заполнения (образец для защиты)</w:t>
      </w:r>
    </w:p>
    <w:p w:rsidR="00000000" w:rsidDel="00000000" w:rsidP="00000000" w:rsidRDefault="00000000" w:rsidRPr="00000000" w14:paraId="00000247">
      <w:pPr>
        <w:pStyle w:val="Heading3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BZ-04 — Оценка доходности ASIC</w:t>
      </w:r>
    </w:p>
    <w:p w:rsidR="00000000" w:rsidDel="00000000" w:rsidP="00000000" w:rsidRDefault="00000000" w:rsidRPr="00000000" w14:paraId="0000024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Проблема: клиент не понимает окупаемость майнера при своём тарифе на электричество.</w:t>
      </w:r>
    </w:p>
    <w:p w:rsidR="00000000" w:rsidDel="00000000" w:rsidP="00000000" w:rsidRDefault="00000000" w:rsidRPr="00000000" w14:paraId="0000024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Цель: показать чистую прибыль и срок окупаемости до обращения к менеджеру.</w:t>
      </w:r>
    </w:p>
    <w:p w:rsidR="00000000" w:rsidDel="00000000" w:rsidP="00000000" w:rsidRDefault="00000000" w:rsidRPr="00000000" w14:paraId="0000024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Акторы: Посетитель, ИС (BFF+Go+DB для справочников).</w:t>
      </w:r>
    </w:p>
    <w:p w:rsidR="00000000" w:rsidDel="00000000" w:rsidP="00000000" w:rsidRDefault="00000000" w:rsidRPr="00000000" w14:paraId="0000024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Триггер: открытие /calculator.</w:t>
      </w:r>
    </w:p>
    <w:p w:rsidR="00000000" w:rsidDel="00000000" w:rsidP="00000000" w:rsidRDefault="00000000" w:rsidRPr="00000000" w14:paraId="0000024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Предусловия: в БД есть hardware_models и market_stats (сид 028).</w:t>
      </w:r>
    </w:p>
    <w:p w:rsidR="00000000" w:rsidDel="00000000" w:rsidP="00000000" w:rsidRDefault="00000000" w:rsidRPr="00000000" w14:paraId="0000024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Основной сценарий: см. BP-04 шаги 1–9.</w:t>
      </w:r>
    </w:p>
    <w:p w:rsidR="00000000" w:rsidDel="00000000" w:rsidP="00000000" w:rsidRDefault="00000000" w:rsidRPr="00000000" w14:paraId="0000024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Альтернативы: нет модели → ручной ввод (только ASIC); API down → пустые списки; прибыль ≤ 0 → «не окупается».</w:t>
      </w:r>
    </w:p>
    <w:p w:rsidR="00000000" w:rsidDel="00000000" w:rsidP="00000000" w:rsidRDefault="00000000" w:rsidRPr="00000000" w14:paraId="0000024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Постусловия: пользователь видит ProfitResult; опционально уходит в заявку.</w:t>
      </w:r>
    </w:p>
    <w:p w:rsidR="00000000" w:rsidDel="00000000" w:rsidP="00000000" w:rsidRDefault="00000000" w:rsidRPr="00000000" w14:paraId="0000025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Метрика: доля сессий калькулятора с завершённым расчётом; лиды со source после калькулятора.</w:t>
      </w:r>
    </w:p>
    <w:p w:rsidR="00000000" w:rsidDel="00000000" w:rsidP="00000000" w:rsidRDefault="00000000" w:rsidRPr="00000000" w14:paraId="0000025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Схемы: BPMN калькулятора (Рис. 5); Sequence загрузки hardware; ER hardware_* (Рис. 9).</w:t>
      </w:r>
    </w:p>
    <w:p w:rsidR="00000000" w:rsidDel="00000000" w:rsidP="00000000" w:rsidRDefault="00000000" w:rsidRPr="00000000" w14:paraId="00000252">
      <w:pPr>
        <w:pStyle w:val="Heading3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BZ-10 — Сбор заявки с лендинга ЦОД</w:t>
      </w:r>
    </w:p>
    <w:p w:rsidR="00000000" w:rsidDel="00000000" w:rsidP="00000000" w:rsidRDefault="00000000" w:rsidRPr="00000000" w14:paraId="0000025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Проблема: интерес к строительству ЦОД теряется без быстрого контакта.</w:t>
      </w:r>
    </w:p>
    <w:p w:rsidR="00000000" w:rsidDel="00000000" w:rsidP="00000000" w:rsidRDefault="00000000" w:rsidRPr="00000000" w14:paraId="0000025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Цель: зафиксировать лид с контекстом страницы.</w:t>
      </w:r>
    </w:p>
    <w:p w:rsidR="00000000" w:rsidDel="00000000" w:rsidP="00000000" w:rsidRDefault="00000000" w:rsidRPr="00000000" w14:paraId="0000025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Триггер: submit формы на /data-center-construction.</w:t>
      </w:r>
    </w:p>
    <w:p w:rsidR="00000000" w:rsidDel="00000000" w:rsidP="00000000" w:rsidRDefault="00000000" w:rsidRPr="00000000" w14:paraId="0000025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Сценарий: BP-10; source = data-center-lead (или актуальный код источника в leads.ts).</w:t>
      </w:r>
    </w:p>
    <w:p w:rsidR="00000000" w:rsidDel="00000000" w:rsidP="00000000" w:rsidRDefault="00000000" w:rsidRPr="00000000" w14:paraId="0000025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Постусловия: запись в leads; менеджер видит Telegram.</w:t>
      </w:r>
    </w:p>
    <w:p w:rsidR="00000000" w:rsidDel="00000000" w:rsidP="00000000" w:rsidRDefault="00000000" w:rsidRPr="00000000" w14:paraId="0000025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Схемы: BPMN Lead Capture (Рис. 8); Sequence POST /api/leads (Рис. 9).</w:t>
      </w:r>
    </w:p>
    <w:p w:rsidR="00000000" w:rsidDel="00000000" w:rsidP="00000000" w:rsidRDefault="00000000" w:rsidRPr="00000000" w14:paraId="00000259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21. Нефункциональные требования</w:t>
      </w:r>
    </w:p>
    <w:tbl>
      <w:tblPr>
        <w:tblStyle w:val="Table18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100"/>
        <w:tblGridChange w:id="0">
          <w:tblGrid>
            <w:gridCol w:w="30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Как проявляется в 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Расчёт на клиенте; индексы БД (044_performance_indexes)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Надёжность лидов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Двойная Zod-валидация; Telegram best-effort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Секреты в .env; нет публичной админки в репо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Локализация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RU основной контент; EN translations статей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Сопровождаемость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Домены в common/modules + Go 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Vitest + Playwright; Jenkins 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Приложение А. Полная ER-диаграмма (hardware + leads + catalog_organizations)</w:t>
      </w:r>
    </w:p>
    <w:p w:rsidR="00000000" w:rsidDel="00000000" w:rsidP="00000000" w:rsidRDefault="00000000" w:rsidRPr="00000000" w14:paraId="00000271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5600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Рис. 9 — ER: ключевые сущности для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jc w:val="center"/>
      <w:rPr/>
    </w:pP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Top Mining - niklad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