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Инструкция по работе с коллекцией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**Импортирование коллекции**: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Откройте Postman.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Нажмите на кнопку "Import" в левом верхнем углу.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Загрузите JSON файл с коллекцией (например, `API_ALTAVITA.postman_collection.json`).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**Настройка переменных**: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Перейдите на вкладку "Variables" в коллекции.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Установите значения для переменных `product_id`, `quantity`, и `new_quantity` по вашему выбору.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**Запуск тестов**: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Выберите необходимый запрос из коллекции.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Нажмите кнопку "Send" для выполнения запроса.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Проверьте результаты в "Response" ниже.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**Проверка результатов**: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Убедитесь, что статус ответа соответствует ожиданиям (например, 200 для успешных операций).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Проверьте тело ответа, чтобы убедиться, что операция выполнена корректно.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Авторизация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Убедитесь, что вы настроили авторизацию для всех запросов, если это требуется API. Возможно, потребуется использовать токен авторизации или сессионные куки.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Если необходимо, добавьте заголовок `Authorization` в раздел "Headers" с соответствующим токеном.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Каждое последующее действие (изменение количества/удаление) должно выполняться на уже существующем товаре в корзине.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Убедитесь, что тесты выполняются в правильном порядке. Например, добавить товар перед его удалением или изменением количества.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