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01A0F" w14:textId="3D539278" w:rsidR="008E17A8" w:rsidRPr="00DD0CD7" w:rsidRDefault="00FD5A57" w:rsidP="00DD0CD7">
      <w:pPr>
        <w:jc w:val="center"/>
        <w:rPr>
          <w:sz w:val="32"/>
          <w:szCs w:val="32"/>
          <w:lang w:val="en-US"/>
        </w:rPr>
      </w:pPr>
      <w:r>
        <w:rPr>
          <w:sz w:val="32"/>
          <w:szCs w:val="32"/>
          <w:lang w:val="en-US"/>
        </w:rPr>
        <w:t>How long before we can label a goalie a ‘bust’</w:t>
      </w:r>
      <w:r w:rsidR="00DD0CD7" w:rsidRPr="00DD0CD7">
        <w:rPr>
          <w:sz w:val="32"/>
          <w:szCs w:val="32"/>
          <w:lang w:val="en-US"/>
        </w:rPr>
        <w:t>?</w:t>
      </w:r>
    </w:p>
    <w:p w14:paraId="4698BFC4" w14:textId="70FF303A" w:rsidR="00DD0CD7" w:rsidRDefault="00DD0CD7" w:rsidP="00DD0CD7">
      <w:pPr>
        <w:jc w:val="center"/>
        <w:rPr>
          <w:lang w:val="en-US"/>
        </w:rPr>
      </w:pPr>
      <w:r>
        <w:rPr>
          <w:lang w:val="en-US"/>
        </w:rPr>
        <w:t>Sample size estimation for evaluating goalie performance</w:t>
      </w:r>
    </w:p>
    <w:p w14:paraId="2D52B792" w14:textId="3E95A73C" w:rsidR="00EB0D77" w:rsidRDefault="00EB0D77" w:rsidP="00DD0CD7">
      <w:pPr>
        <w:jc w:val="center"/>
        <w:rPr>
          <w:lang w:val="en-US"/>
        </w:rPr>
      </w:pPr>
      <w:r>
        <w:rPr>
          <w:lang w:val="en-US"/>
        </w:rPr>
        <w:t>By Nicholas Romanchuk</w:t>
      </w:r>
    </w:p>
    <w:p w14:paraId="0AB50C2A" w14:textId="05EFBFFF" w:rsidR="00BF7A04" w:rsidRDefault="001E3BD0" w:rsidP="006E235E">
      <w:pPr>
        <w:spacing w:line="480" w:lineRule="auto"/>
        <w:ind w:firstLine="720"/>
        <w:rPr>
          <w:lang w:val="en-US"/>
        </w:rPr>
      </w:pPr>
      <w:r>
        <w:rPr>
          <w:lang w:val="en-US"/>
        </w:rPr>
        <w:t xml:space="preserve">One of the challenges we face when evaluating a </w:t>
      </w:r>
      <w:r w:rsidR="00897CF9">
        <w:rPr>
          <w:lang w:val="en-US"/>
        </w:rPr>
        <w:t>goalie</w:t>
      </w:r>
      <w:r w:rsidR="00BA6A1D">
        <w:rPr>
          <w:lang w:val="en-US"/>
        </w:rPr>
        <w:t>’</w:t>
      </w:r>
      <w:r>
        <w:rPr>
          <w:lang w:val="en-US"/>
        </w:rPr>
        <w:t xml:space="preserve">s </w:t>
      </w:r>
      <w:r w:rsidR="00BA6A1D">
        <w:rPr>
          <w:lang w:val="en-US"/>
        </w:rPr>
        <w:t xml:space="preserve">current </w:t>
      </w:r>
      <w:r>
        <w:rPr>
          <w:lang w:val="en-US"/>
        </w:rPr>
        <w:t>performance</w:t>
      </w:r>
      <w:r w:rsidR="00BA6A1D">
        <w:rPr>
          <w:lang w:val="en-US"/>
        </w:rPr>
        <w:t xml:space="preserve"> and even</w:t>
      </w:r>
      <w:r>
        <w:rPr>
          <w:lang w:val="en-US"/>
        </w:rPr>
        <w:t xml:space="preserve"> more importantly, when </w:t>
      </w:r>
      <w:r w:rsidR="00BA6A1D">
        <w:rPr>
          <w:lang w:val="en-US"/>
        </w:rPr>
        <w:t xml:space="preserve">predicting a </w:t>
      </w:r>
      <w:r w:rsidR="00897CF9">
        <w:rPr>
          <w:lang w:val="en-US"/>
        </w:rPr>
        <w:t>goalie</w:t>
      </w:r>
      <w:r w:rsidR="00BA6A1D">
        <w:rPr>
          <w:lang w:val="en-US"/>
        </w:rPr>
        <w:t xml:space="preserve">’s future performance, is how much </w:t>
      </w:r>
      <w:r w:rsidR="0050476B">
        <w:rPr>
          <w:lang w:val="en-US"/>
        </w:rPr>
        <w:t>save percentage</w:t>
      </w:r>
      <w:r w:rsidR="001A6C88">
        <w:rPr>
          <w:lang w:val="en-US"/>
        </w:rPr>
        <w:t xml:space="preserve"> can vary over the course of a season</w:t>
      </w:r>
      <w:r w:rsidR="00BA6A1D">
        <w:rPr>
          <w:lang w:val="en-US"/>
        </w:rPr>
        <w:t xml:space="preserve">. We all know that </w:t>
      </w:r>
      <w:r w:rsidR="00BF7A04">
        <w:rPr>
          <w:lang w:val="en-US"/>
        </w:rPr>
        <w:t xml:space="preserve">average NHL </w:t>
      </w:r>
      <w:r w:rsidR="00BA6A1D">
        <w:rPr>
          <w:lang w:val="en-US"/>
        </w:rPr>
        <w:t>players can perform at</w:t>
      </w:r>
      <w:r w:rsidR="00897CF9">
        <w:rPr>
          <w:lang w:val="en-US"/>
        </w:rPr>
        <w:t xml:space="preserve"> </w:t>
      </w:r>
      <w:r w:rsidR="00BA6A1D">
        <w:rPr>
          <w:lang w:val="en-US"/>
        </w:rPr>
        <w:t xml:space="preserve">extremely high or low levels for multiple games in a row. This can make it hard when predicting if a current player’s performance will continue, or even when assessing if a given level of performance </w:t>
      </w:r>
      <w:r w:rsidR="00897CF9">
        <w:rPr>
          <w:lang w:val="en-US"/>
        </w:rPr>
        <w:t xml:space="preserve">should be viewed </w:t>
      </w:r>
      <w:r w:rsidR="00BA6A1D">
        <w:rPr>
          <w:lang w:val="en-US"/>
        </w:rPr>
        <w:t xml:space="preserve">as extraordinary. For example, when </w:t>
      </w:r>
      <w:r w:rsidR="00FD5A57">
        <w:rPr>
          <w:lang w:val="en-US"/>
        </w:rPr>
        <w:t>Columbus Blue Jackets</w:t>
      </w:r>
      <w:r w:rsidR="00EC7C48">
        <w:rPr>
          <w:lang w:val="en-US"/>
        </w:rPr>
        <w:t xml:space="preserve"> goalie </w:t>
      </w:r>
      <w:r w:rsidR="00FD5A57">
        <w:rPr>
          <w:lang w:val="en-US"/>
        </w:rPr>
        <w:t xml:space="preserve">Elvis </w:t>
      </w:r>
      <w:proofErr w:type="spellStart"/>
      <w:r w:rsidR="00FD5A57">
        <w:rPr>
          <w:lang w:val="en-US"/>
        </w:rPr>
        <w:t>Merzlikins</w:t>
      </w:r>
      <w:proofErr w:type="spellEnd"/>
      <w:r w:rsidR="00BA6A1D">
        <w:rPr>
          <w:lang w:val="en-US"/>
        </w:rPr>
        <w:t xml:space="preserve"> started the 2019-20 season </w:t>
      </w:r>
      <w:r w:rsidR="00A4602A">
        <w:rPr>
          <w:lang w:val="en-US"/>
        </w:rPr>
        <w:t>saving</w:t>
      </w:r>
      <w:r w:rsidR="00BA6A1D">
        <w:rPr>
          <w:lang w:val="en-US"/>
        </w:rPr>
        <w:t xml:space="preserve"> </w:t>
      </w:r>
      <w:r w:rsidR="00BC57B6">
        <w:rPr>
          <w:lang w:val="en-US"/>
        </w:rPr>
        <w:t xml:space="preserve">just </w:t>
      </w:r>
      <w:r w:rsidR="00FD5A57">
        <w:rPr>
          <w:lang w:val="en-US"/>
        </w:rPr>
        <w:t>8</w:t>
      </w:r>
      <w:r w:rsidR="00BC57B6">
        <w:rPr>
          <w:lang w:val="en-US"/>
        </w:rPr>
        <w:t>8</w:t>
      </w:r>
      <w:r w:rsidR="00FD5A57">
        <w:rPr>
          <w:lang w:val="en-US"/>
        </w:rPr>
        <w:t>.4</w:t>
      </w:r>
      <w:r w:rsidR="00A4602A">
        <w:rPr>
          <w:lang w:val="en-US"/>
        </w:rPr>
        <w:t xml:space="preserve">% of shots </w:t>
      </w:r>
      <w:r w:rsidR="00897CF9">
        <w:rPr>
          <w:lang w:val="en-US"/>
        </w:rPr>
        <w:t xml:space="preserve">over his first </w:t>
      </w:r>
      <w:r w:rsidR="00FD5A57">
        <w:rPr>
          <w:lang w:val="en-US"/>
        </w:rPr>
        <w:t>nine</w:t>
      </w:r>
      <w:r w:rsidR="00897CF9">
        <w:rPr>
          <w:lang w:val="en-US"/>
        </w:rPr>
        <w:t xml:space="preserve"> games, a</w:t>
      </w:r>
      <w:r w:rsidR="00A4602A">
        <w:rPr>
          <w:lang w:val="en-US"/>
        </w:rPr>
        <w:t xml:space="preserve">n </w:t>
      </w:r>
      <w:r w:rsidR="00BC57B6">
        <w:rPr>
          <w:lang w:val="en-US"/>
        </w:rPr>
        <w:t>optimistic</w:t>
      </w:r>
      <w:r w:rsidR="00A4602A">
        <w:rPr>
          <w:lang w:val="en-US"/>
        </w:rPr>
        <w:t xml:space="preserve"> fan might </w:t>
      </w:r>
      <w:r w:rsidR="00BC57B6">
        <w:rPr>
          <w:lang w:val="en-US"/>
        </w:rPr>
        <w:t>have stated</w:t>
      </w:r>
      <w:r w:rsidR="00BF7A04">
        <w:rPr>
          <w:lang w:val="en-US"/>
        </w:rPr>
        <w:t>:</w:t>
      </w:r>
    </w:p>
    <w:p w14:paraId="18679307" w14:textId="293C3535" w:rsidR="00BF7A04" w:rsidRDefault="00A4602A" w:rsidP="006E235E">
      <w:pPr>
        <w:spacing w:line="480" w:lineRule="auto"/>
        <w:ind w:firstLine="720"/>
        <w:jc w:val="center"/>
        <w:rPr>
          <w:lang w:val="en-US"/>
        </w:rPr>
      </w:pPr>
      <w:r>
        <w:rPr>
          <w:lang w:val="en-US"/>
        </w:rPr>
        <w:t>“</w:t>
      </w:r>
      <w:r w:rsidR="00BC57B6">
        <w:rPr>
          <w:lang w:val="en-US"/>
        </w:rPr>
        <w:t xml:space="preserve">It’s still early… nine games </w:t>
      </w:r>
      <w:proofErr w:type="gramStart"/>
      <w:r w:rsidR="00BC57B6">
        <w:rPr>
          <w:lang w:val="en-US"/>
        </w:rPr>
        <w:t>isn’t</w:t>
      </w:r>
      <w:proofErr w:type="gramEnd"/>
      <w:r w:rsidR="00BC57B6">
        <w:rPr>
          <w:lang w:val="en-US"/>
        </w:rPr>
        <w:t xml:space="preserve"> enough to judge </w:t>
      </w:r>
      <w:proofErr w:type="spellStart"/>
      <w:r w:rsidR="00BC57B6">
        <w:rPr>
          <w:lang w:val="en-US"/>
        </w:rPr>
        <w:t>Merzlikins</w:t>
      </w:r>
      <w:proofErr w:type="spellEnd"/>
      <w:r w:rsidR="00BC57B6">
        <w:rPr>
          <w:lang w:val="en-US"/>
        </w:rPr>
        <w:t>. Let’s see how the rest of the season plays out before we jump to any conclusions.</w:t>
      </w:r>
      <w:r>
        <w:rPr>
          <w:lang w:val="en-US"/>
        </w:rPr>
        <w:t>”</w:t>
      </w:r>
    </w:p>
    <w:p w14:paraId="2BE44866" w14:textId="19E9C88B" w:rsidR="001E3BD0" w:rsidRPr="001A6C88" w:rsidRDefault="00EC7C48" w:rsidP="006E235E">
      <w:pPr>
        <w:spacing w:line="480" w:lineRule="auto"/>
        <w:rPr>
          <w:lang w:val="en-US"/>
        </w:rPr>
      </w:pPr>
      <w:r w:rsidRPr="001A6C88">
        <w:rPr>
          <w:lang w:val="en-US"/>
        </w:rPr>
        <w:t>Despit</w:t>
      </w:r>
      <w:r w:rsidR="00BC57B6">
        <w:rPr>
          <w:lang w:val="en-US"/>
        </w:rPr>
        <w:t xml:space="preserve">e </w:t>
      </w:r>
      <w:proofErr w:type="spellStart"/>
      <w:r w:rsidR="00BC57B6">
        <w:rPr>
          <w:lang w:val="en-US"/>
        </w:rPr>
        <w:t>Merzlikins</w:t>
      </w:r>
      <w:proofErr w:type="spellEnd"/>
      <w:r w:rsidR="00BC57B6">
        <w:rPr>
          <w:lang w:val="en-US"/>
        </w:rPr>
        <w:t xml:space="preserve"> disappointing</w:t>
      </w:r>
      <w:r w:rsidRPr="001A6C88">
        <w:rPr>
          <w:lang w:val="en-US"/>
        </w:rPr>
        <w:t xml:space="preserve"> performance,</w:t>
      </w:r>
      <w:r w:rsidR="00A4602A" w:rsidRPr="001A6C88">
        <w:rPr>
          <w:lang w:val="en-US"/>
        </w:rPr>
        <w:t xml:space="preserve"> is </w:t>
      </w:r>
      <w:r w:rsidR="00BC57B6">
        <w:rPr>
          <w:lang w:val="en-US"/>
        </w:rPr>
        <w:t>nine</w:t>
      </w:r>
      <w:r w:rsidR="00BF7A04" w:rsidRPr="001A6C88">
        <w:rPr>
          <w:lang w:val="en-US"/>
        </w:rPr>
        <w:t xml:space="preserve"> </w:t>
      </w:r>
      <w:r w:rsidR="00A4602A" w:rsidRPr="001A6C88">
        <w:rPr>
          <w:lang w:val="en-US"/>
        </w:rPr>
        <w:t xml:space="preserve">games a large enough sample size to start making conclusions about a goalie? </w:t>
      </w:r>
      <w:r w:rsidR="00BC57B6">
        <w:rPr>
          <w:lang w:val="en-US"/>
        </w:rPr>
        <w:t xml:space="preserve">I think even the most pessimistic fans would say no. But if nine games </w:t>
      </w:r>
      <w:proofErr w:type="gramStart"/>
      <w:r w:rsidR="00BC57B6">
        <w:rPr>
          <w:lang w:val="en-US"/>
        </w:rPr>
        <w:t>isn’t</w:t>
      </w:r>
      <w:proofErr w:type="gramEnd"/>
      <w:r w:rsidR="00BC57B6">
        <w:rPr>
          <w:lang w:val="en-US"/>
        </w:rPr>
        <w:t xml:space="preserve"> enough, than how many are? </w:t>
      </w:r>
      <w:r w:rsidR="00A4602A" w:rsidRPr="001A6C88">
        <w:rPr>
          <w:lang w:val="en-US"/>
        </w:rPr>
        <w:t xml:space="preserve">In other words, </w:t>
      </w:r>
      <w:r w:rsidR="00F84FF5">
        <w:rPr>
          <w:lang w:val="en-US"/>
        </w:rPr>
        <w:t>i</w:t>
      </w:r>
      <w:r w:rsidR="001A6C88" w:rsidRPr="001A6C88">
        <w:rPr>
          <w:lang w:val="en-US"/>
        </w:rPr>
        <w:t xml:space="preserve">f </w:t>
      </w:r>
      <w:proofErr w:type="spellStart"/>
      <w:r w:rsidR="00FD5A57">
        <w:rPr>
          <w:lang w:val="en-US"/>
        </w:rPr>
        <w:t>Merzlikins</w:t>
      </w:r>
      <w:proofErr w:type="spellEnd"/>
      <w:r w:rsidR="007762E0">
        <w:rPr>
          <w:lang w:val="en-US"/>
        </w:rPr>
        <w:t xml:space="preserve"> rea</w:t>
      </w:r>
      <w:r w:rsidR="0081063E">
        <w:rPr>
          <w:lang w:val="en-US"/>
        </w:rPr>
        <w:t>l</w:t>
      </w:r>
      <w:r w:rsidR="007762E0">
        <w:rPr>
          <w:lang w:val="en-US"/>
        </w:rPr>
        <w:t>ly</w:t>
      </w:r>
      <w:r w:rsidR="001A6C88" w:rsidRPr="001A6C88">
        <w:rPr>
          <w:lang w:val="en-US"/>
        </w:rPr>
        <w:t xml:space="preserve"> </w:t>
      </w:r>
      <w:r w:rsidR="00BC57B6">
        <w:rPr>
          <w:lang w:val="en-US"/>
        </w:rPr>
        <w:t>is</w:t>
      </w:r>
      <w:r w:rsidR="001A6C88" w:rsidRPr="001A6C88">
        <w:rPr>
          <w:lang w:val="en-US"/>
        </w:rPr>
        <w:t xml:space="preserve"> an above average goaltender</w:t>
      </w:r>
      <w:r w:rsidR="004E38BC">
        <w:rPr>
          <w:lang w:val="en-US"/>
        </w:rPr>
        <w:t>,</w:t>
      </w:r>
      <w:r w:rsidR="001A6C88" w:rsidRPr="001A6C88">
        <w:rPr>
          <w:lang w:val="en-US"/>
        </w:rPr>
        <w:t xml:space="preserve"> </w:t>
      </w:r>
      <w:r w:rsidR="00BC57B6">
        <w:rPr>
          <w:lang w:val="en-US"/>
        </w:rPr>
        <w:t xml:space="preserve">how many games before we can detect </w:t>
      </w:r>
      <w:r w:rsidR="001A6C88" w:rsidRPr="001A6C88">
        <w:rPr>
          <w:lang w:val="en-US"/>
        </w:rPr>
        <w:t xml:space="preserve">it? </w:t>
      </w:r>
      <w:r w:rsidR="00A4602A" w:rsidRPr="001A6C88">
        <w:rPr>
          <w:lang w:val="en-US"/>
        </w:rPr>
        <w:t xml:space="preserve"> </w:t>
      </w:r>
      <w:r w:rsidR="00BB2168" w:rsidRPr="001A6C88">
        <w:rPr>
          <w:lang w:val="en-US"/>
        </w:rPr>
        <w:t>Well I don’t know</w:t>
      </w:r>
      <w:r w:rsidR="00BC57B6">
        <w:rPr>
          <w:lang w:val="en-US"/>
        </w:rPr>
        <w:t xml:space="preserve"> either</w:t>
      </w:r>
      <w:r w:rsidR="00BB2168" w:rsidRPr="001A6C88">
        <w:rPr>
          <w:lang w:val="en-US"/>
        </w:rPr>
        <w:t>. Yet…</w:t>
      </w:r>
    </w:p>
    <w:p w14:paraId="45E5E73B" w14:textId="1ED3FEF2" w:rsidR="007B12A5" w:rsidRDefault="00897CF9" w:rsidP="00B64829">
      <w:pPr>
        <w:spacing w:line="480" w:lineRule="auto"/>
        <w:ind w:firstLine="720"/>
        <w:rPr>
          <w:lang w:val="en-US"/>
        </w:rPr>
      </w:pPr>
      <w:r>
        <w:rPr>
          <w:lang w:val="en-US"/>
        </w:rPr>
        <w:t xml:space="preserve">The good news is that </w:t>
      </w:r>
      <w:r w:rsidR="00F60089">
        <w:rPr>
          <w:lang w:val="en-US"/>
        </w:rPr>
        <w:t xml:space="preserve">statistics can be used to </w:t>
      </w:r>
      <w:r>
        <w:rPr>
          <w:lang w:val="en-US"/>
        </w:rPr>
        <w:t>answer</w:t>
      </w:r>
      <w:r w:rsidR="00F60089">
        <w:rPr>
          <w:lang w:val="en-US"/>
        </w:rPr>
        <w:t xml:space="preserve"> </w:t>
      </w:r>
      <w:r>
        <w:rPr>
          <w:lang w:val="en-US"/>
        </w:rPr>
        <w:t>this question, or</w:t>
      </w:r>
      <w:r w:rsidR="007B12A5">
        <w:rPr>
          <w:lang w:val="en-US"/>
        </w:rPr>
        <w:t xml:space="preserve"> rather</w:t>
      </w:r>
      <w:r>
        <w:rPr>
          <w:lang w:val="en-US"/>
        </w:rPr>
        <w:t xml:space="preserve">, </w:t>
      </w:r>
      <w:r w:rsidR="00874C98">
        <w:rPr>
          <w:lang w:val="en-US"/>
        </w:rPr>
        <w:t xml:space="preserve">statistics can be </w:t>
      </w:r>
      <w:r w:rsidR="00F60089">
        <w:rPr>
          <w:lang w:val="en-US"/>
        </w:rPr>
        <w:t xml:space="preserve">used to </w:t>
      </w:r>
      <w:r>
        <w:rPr>
          <w:lang w:val="en-US"/>
        </w:rPr>
        <w:t>reasonabl</w:t>
      </w:r>
      <w:r w:rsidR="006C4896">
        <w:rPr>
          <w:lang w:val="en-US"/>
        </w:rPr>
        <w:t>y estimate</w:t>
      </w:r>
      <w:r w:rsidR="00F60089">
        <w:rPr>
          <w:lang w:val="en-US"/>
        </w:rPr>
        <w:t xml:space="preserve"> </w:t>
      </w:r>
      <w:r>
        <w:rPr>
          <w:lang w:val="en-US"/>
        </w:rPr>
        <w:t xml:space="preserve">the answer. </w:t>
      </w:r>
      <w:r w:rsidR="0050476B">
        <w:rPr>
          <w:lang w:val="en-US"/>
        </w:rPr>
        <w:t xml:space="preserve">In statistics there is a concept called ‘power’, </w:t>
      </w:r>
      <w:r w:rsidR="006C4896">
        <w:rPr>
          <w:lang w:val="en-US"/>
        </w:rPr>
        <w:t>which is the</w:t>
      </w:r>
      <w:r w:rsidR="003515AC">
        <w:rPr>
          <w:lang w:val="en-US"/>
        </w:rPr>
        <w:t xml:space="preserve"> probability of identifying</w:t>
      </w:r>
      <w:r w:rsidR="006C4896">
        <w:rPr>
          <w:lang w:val="en-US"/>
        </w:rPr>
        <w:t xml:space="preserve"> an effect </w:t>
      </w:r>
      <w:r w:rsidR="00BB2168">
        <w:rPr>
          <w:lang w:val="en-US"/>
        </w:rPr>
        <w:t>(</w:t>
      </w:r>
      <w:r w:rsidR="00F84FF5">
        <w:rPr>
          <w:lang w:val="en-US"/>
        </w:rPr>
        <w:t xml:space="preserve">ex. </w:t>
      </w:r>
      <w:r w:rsidR="00BB2168">
        <w:rPr>
          <w:lang w:val="en-US"/>
        </w:rPr>
        <w:t xml:space="preserve">the difference </w:t>
      </w:r>
      <w:r w:rsidR="007B12A5">
        <w:rPr>
          <w:lang w:val="en-US"/>
        </w:rPr>
        <w:t xml:space="preserve">between a great goalie and a </w:t>
      </w:r>
      <w:r w:rsidR="00B965DB">
        <w:rPr>
          <w:lang w:val="en-US"/>
        </w:rPr>
        <w:t>mediocre</w:t>
      </w:r>
      <w:r w:rsidR="007B12A5">
        <w:rPr>
          <w:lang w:val="en-US"/>
        </w:rPr>
        <w:t xml:space="preserve"> one</w:t>
      </w:r>
      <w:r w:rsidR="00BB2168">
        <w:rPr>
          <w:lang w:val="en-US"/>
        </w:rPr>
        <w:t xml:space="preserve">) when the effect is </w:t>
      </w:r>
      <w:proofErr w:type="gramStart"/>
      <w:r w:rsidR="00BB2168">
        <w:rPr>
          <w:lang w:val="en-US"/>
        </w:rPr>
        <w:t>actually there</w:t>
      </w:r>
      <w:proofErr w:type="gramEnd"/>
      <w:r w:rsidR="00BB2168">
        <w:rPr>
          <w:lang w:val="en-US"/>
        </w:rPr>
        <w:t>.</w:t>
      </w:r>
      <w:r w:rsidR="003515AC">
        <w:rPr>
          <w:lang w:val="en-US"/>
        </w:rPr>
        <w:t xml:space="preserve"> </w:t>
      </w:r>
      <w:r w:rsidR="007B12A5">
        <w:rPr>
          <w:lang w:val="en-US"/>
        </w:rPr>
        <w:t xml:space="preserve">The reason we should care about power, is because </w:t>
      </w:r>
      <w:r w:rsidR="00B965DB">
        <w:rPr>
          <w:lang w:val="en-US"/>
        </w:rPr>
        <w:t>it</w:t>
      </w:r>
      <w:r w:rsidR="00B15618">
        <w:rPr>
          <w:lang w:val="en-US"/>
        </w:rPr>
        <w:t xml:space="preserve"> </w:t>
      </w:r>
      <w:r w:rsidR="007B12A5">
        <w:rPr>
          <w:lang w:val="en-US"/>
        </w:rPr>
        <w:t xml:space="preserve">can be used to estimate the required sample size </w:t>
      </w:r>
      <w:r w:rsidR="00BC57B6">
        <w:rPr>
          <w:lang w:val="en-US"/>
        </w:rPr>
        <w:t>when</w:t>
      </w:r>
      <w:r w:rsidR="007B12A5">
        <w:rPr>
          <w:lang w:val="en-US"/>
        </w:rPr>
        <w:t xml:space="preserve"> </w:t>
      </w:r>
      <w:r w:rsidR="00B965DB">
        <w:rPr>
          <w:lang w:val="en-US"/>
        </w:rPr>
        <w:t>identifying</w:t>
      </w:r>
      <w:r w:rsidR="007B12A5">
        <w:rPr>
          <w:lang w:val="en-US"/>
        </w:rPr>
        <w:t xml:space="preserve"> an effect. As mentioned, a goalie’s performance can vary significantly game-to-game, this means that</w:t>
      </w:r>
      <w:r w:rsidR="00831C02">
        <w:rPr>
          <w:lang w:val="en-US"/>
        </w:rPr>
        <w:t xml:space="preserve"> when we </w:t>
      </w:r>
      <w:r w:rsidR="007B12A5">
        <w:rPr>
          <w:lang w:val="en-US"/>
        </w:rPr>
        <w:t>select a random subset of games from a</w:t>
      </w:r>
      <w:r w:rsidR="00B965DB">
        <w:rPr>
          <w:lang w:val="en-US"/>
        </w:rPr>
        <w:t xml:space="preserve">n exceptional </w:t>
      </w:r>
      <w:r w:rsidR="007B12A5">
        <w:rPr>
          <w:lang w:val="en-US"/>
        </w:rPr>
        <w:t xml:space="preserve">goalie, there is a chance that the subset games will </w:t>
      </w:r>
      <w:r w:rsidR="00B965DB">
        <w:rPr>
          <w:lang w:val="en-US"/>
        </w:rPr>
        <w:t>appear</w:t>
      </w:r>
      <w:r w:rsidR="007B12A5">
        <w:rPr>
          <w:lang w:val="en-US"/>
        </w:rPr>
        <w:t xml:space="preserve"> </w:t>
      </w:r>
      <w:r w:rsidR="00B965DB">
        <w:rPr>
          <w:lang w:val="en-US"/>
        </w:rPr>
        <w:t>as ‘mediocre</w:t>
      </w:r>
      <w:r w:rsidR="006E235E">
        <w:rPr>
          <w:lang w:val="en-US"/>
        </w:rPr>
        <w:t>’</w:t>
      </w:r>
      <w:r w:rsidR="007B12A5">
        <w:rPr>
          <w:lang w:val="en-US"/>
        </w:rPr>
        <w:t xml:space="preserve">. </w:t>
      </w:r>
      <w:r w:rsidR="00B965DB">
        <w:rPr>
          <w:lang w:val="en-US"/>
        </w:rPr>
        <w:t xml:space="preserve">As you could </w:t>
      </w:r>
      <w:r w:rsidR="00B965DB">
        <w:rPr>
          <w:lang w:val="en-US"/>
        </w:rPr>
        <w:lastRenderedPageBreak/>
        <w:t>probably guess, the better the goalie is (assuming the same variation) the less overlap there will be with a mediocre</w:t>
      </w:r>
      <w:r w:rsidR="00BC57B6">
        <w:rPr>
          <w:lang w:val="en-US"/>
        </w:rPr>
        <w:t xml:space="preserve"> one</w:t>
      </w:r>
      <w:r w:rsidR="00B965DB">
        <w:rPr>
          <w:lang w:val="en-US"/>
        </w:rPr>
        <w:t xml:space="preserve">, </w:t>
      </w:r>
      <w:r w:rsidR="00BC57B6">
        <w:rPr>
          <w:lang w:val="en-US"/>
        </w:rPr>
        <w:t xml:space="preserve">thus </w:t>
      </w:r>
      <w:r w:rsidR="006E235E">
        <w:rPr>
          <w:lang w:val="en-US"/>
        </w:rPr>
        <w:t xml:space="preserve">lowering the chance for </w:t>
      </w:r>
      <w:r w:rsidR="00B965DB">
        <w:rPr>
          <w:lang w:val="en-US"/>
        </w:rPr>
        <w:t xml:space="preserve">selecting a </w:t>
      </w:r>
      <w:r w:rsidR="00831C02">
        <w:rPr>
          <w:lang w:val="en-US"/>
        </w:rPr>
        <w:t>sample</w:t>
      </w:r>
      <w:r w:rsidR="00B965DB">
        <w:rPr>
          <w:lang w:val="en-US"/>
        </w:rPr>
        <w:t xml:space="preserve"> that appear</w:t>
      </w:r>
      <w:r w:rsidR="00831C02">
        <w:rPr>
          <w:lang w:val="en-US"/>
        </w:rPr>
        <w:t>s</w:t>
      </w:r>
      <w:r w:rsidR="00B965DB">
        <w:rPr>
          <w:lang w:val="en-US"/>
        </w:rPr>
        <w:t xml:space="preserve"> as ‘mediocre’</w:t>
      </w:r>
      <w:r w:rsidR="00831C02">
        <w:rPr>
          <w:lang w:val="en-US"/>
        </w:rPr>
        <w:t xml:space="preserve"> (increased power). </w:t>
      </w:r>
      <w:r w:rsidR="00B965DB">
        <w:rPr>
          <w:lang w:val="en-US"/>
        </w:rPr>
        <w:t xml:space="preserve">Similarly, the larger the sample of games, the greater the probability that the subset will approximate the </w:t>
      </w:r>
      <w:r w:rsidR="008158B1">
        <w:rPr>
          <w:lang w:val="en-US"/>
        </w:rPr>
        <w:t xml:space="preserve">exceptionally </w:t>
      </w:r>
      <w:r w:rsidR="00B965DB">
        <w:rPr>
          <w:lang w:val="en-US"/>
        </w:rPr>
        <w:t>goalie’s true save percentage</w:t>
      </w:r>
      <w:r w:rsidR="006E235E">
        <w:rPr>
          <w:lang w:val="en-US"/>
        </w:rPr>
        <w:t xml:space="preserve"> (</w:t>
      </w:r>
      <w:r w:rsidR="00831C02">
        <w:rPr>
          <w:lang w:val="en-US"/>
        </w:rPr>
        <w:t>increased</w:t>
      </w:r>
      <w:r w:rsidR="006E235E">
        <w:rPr>
          <w:lang w:val="en-US"/>
        </w:rPr>
        <w:t xml:space="preserve"> power). This relationship can be </w:t>
      </w:r>
      <w:r w:rsidR="00DB38CA">
        <w:rPr>
          <w:noProof/>
        </w:rPr>
        <w:drawing>
          <wp:anchor distT="0" distB="0" distL="114300" distR="114300" simplePos="0" relativeHeight="251658240" behindDoc="1" locked="0" layoutInCell="1" allowOverlap="1" wp14:anchorId="21DAD000" wp14:editId="00639AC0">
            <wp:simplePos x="0" y="0"/>
            <wp:positionH relativeFrom="margin">
              <wp:align>right</wp:align>
            </wp:positionH>
            <wp:positionV relativeFrom="paragraph">
              <wp:posOffset>1638300</wp:posOffset>
            </wp:positionV>
            <wp:extent cx="5951220" cy="3139440"/>
            <wp:effectExtent l="0" t="0" r="0" b="0"/>
            <wp:wrapTopAndBottom/>
            <wp:docPr id="1" name="Chart 1">
              <a:extLst xmlns:a="http://schemas.openxmlformats.org/drawingml/2006/main">
                <a:ext uri="{FF2B5EF4-FFF2-40B4-BE49-F238E27FC236}">
                  <a16:creationId xmlns:a16="http://schemas.microsoft.com/office/drawing/2014/main" id="{6C6FFCD4-CC3C-4A79-9B25-8BB08EF08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DB38CA" w:rsidRPr="006E235E">
        <w:rPr>
          <w:noProof/>
          <w:lang w:val="en-US"/>
        </w:rPr>
        <mc:AlternateContent>
          <mc:Choice Requires="wps">
            <w:drawing>
              <wp:anchor distT="45720" distB="45720" distL="114300" distR="114300" simplePos="0" relativeHeight="251660288" behindDoc="0" locked="0" layoutInCell="1" allowOverlap="1" wp14:anchorId="11C87BA4" wp14:editId="6CE750C7">
                <wp:simplePos x="0" y="0"/>
                <wp:positionH relativeFrom="margin">
                  <wp:posOffset>22860</wp:posOffset>
                </wp:positionH>
                <wp:positionV relativeFrom="paragraph">
                  <wp:posOffset>4709160</wp:posOffset>
                </wp:positionV>
                <wp:extent cx="59436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4444FFDB" w14:textId="6237AE8A" w:rsidR="006E235E" w:rsidRDefault="006E235E">
                            <w:bookmarkStart w:id="0" w:name="_GoBack"/>
                            <w:r w:rsidRPr="006E235E">
                              <w:rPr>
                                <w:b/>
                                <w:bCs/>
                              </w:rPr>
                              <w:t>Fig</w:t>
                            </w:r>
                            <w:r w:rsidR="00B64829">
                              <w:rPr>
                                <w:b/>
                                <w:bCs/>
                              </w:rPr>
                              <w:t>ure</w:t>
                            </w:r>
                            <w:r w:rsidRPr="006E235E">
                              <w:rPr>
                                <w:b/>
                                <w:bCs/>
                              </w:rPr>
                              <w:t xml:space="preserve"> 1.</w:t>
                            </w:r>
                            <w:r>
                              <w:t xml:space="preserve"> The estimated number of games needed to achieve the specified power when </w:t>
                            </w:r>
                            <w:r w:rsidR="00B64829">
                              <w:t>identifying</w:t>
                            </w:r>
                            <w:r>
                              <w:t xml:space="preserve"> </w:t>
                            </w:r>
                            <w:r w:rsidR="00B64829">
                              <w:t xml:space="preserve">goalies who’s true </w:t>
                            </w:r>
                            <w:r>
                              <w:t xml:space="preserve">save percentages </w:t>
                            </w:r>
                            <w:r w:rsidR="00B64829">
                              <w:t>differs from</w:t>
                            </w:r>
                            <w:r>
                              <w:t xml:space="preserve"> the league average.</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C87BA4" id="_x0000_t202" coordsize="21600,21600" o:spt="202" path="m,l,21600r21600,l21600,xe">
                <v:stroke joinstyle="miter"/>
                <v:path gradientshapeok="t" o:connecttype="rect"/>
              </v:shapetype>
              <v:shape id="Text Box 2" o:spid="_x0000_s1026" type="#_x0000_t202" style="position:absolute;left:0;text-align:left;margin-left:1.8pt;margin-top:370.8pt;width:468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GMQDgIAAPUDAAAOAAAAZHJzL2Uyb0RvYy54bWysU8tu2zAQvBfoPxC813pUdmLBcpAmdVEg&#10;fQBJP4CmKIsoyWVJ2pL79VlSjmO0t6I6CCR3d7gzO1zdjFqRg3BegmloMcspEYZDK82uoT+eNu+u&#10;KfGBmZYpMKKhR+Hpzfrtm9Vga1FCD6oVjiCI8fVgG9qHYOss87wXmvkZWGEw2IHTLODW7bLWsQHR&#10;tcrKPF9kA7jWOuDCezy9n4J0nfC7TvDwreu8CEQ1FHsL6e/Sfxv/2XrF6p1jtpf81Ab7hy40kwYv&#10;PUPds8DI3sm/oLTkDjx0YcZBZ9B1kovEAdkU+R9sHntmReKC4nh7lsn/P1j+9fDdEdk2tCyuKDFM&#10;45CexBjIBxhJGfUZrK8x7dFiYhjxGOecuHr7APynJwbuemZ24tY5GHrBWuyviJXZRemE4yPIdvgC&#10;LV7D9gES0Ng5HcVDOQii45yO59nEVjgezpfV+0WOIY6xosqrRZmml7H6pdw6Hz4J0CQuGupw+Ame&#10;HR58iO2w+iUl3mZgI5VKBlCGDA1dzst5KriIaBnQn0rqhl7n8ZscE1l+NG0qDkyqaY0XKHOiHZlO&#10;nMO4HTExarGF9ogCOJh8iO8GFz2435QM6MGG+l975gQl6rNBEZdFVUXTpk01v0LGxF1GtpcRZjhC&#10;NTRQMi3vQjJ65OrtLYq9kUmG105OvaK3kjqndxDNe7lPWa+vdf0MAAD//wMAUEsDBBQABgAIAAAA&#10;IQD/HJHT3QAAAAkBAAAPAAAAZHJzL2Rvd25yZXYueG1sTI/BTsMwEETvSPyDtUjcqNMUpW2IU1Wo&#10;LUdKiTi78ZJExGsrdtPw9ywnuL3VjGZnis1kezHiEDpHCuazBARS7UxHjYLqff+wAhGiJqN7R6jg&#10;GwNsytubQufGXekNx1NsBIdQyLWCNkafSxnqFq0OM+eRWPt0g9WRz6GRZtBXDre9TJMkk1Z3xB9a&#10;7fG5xfrrdLEKfPSH5cvwetzu9mNSfRyqtGt2St3fTdsnEBGn+GeG3/pcHUrudHYXMkH0ChYZGxUs&#10;H+cMrK8Xa4YzQ5auQJaF/L+g/AEAAP//AwBQSwECLQAUAAYACAAAACEAtoM4kv4AAADhAQAAEwAA&#10;AAAAAAAAAAAAAAAAAAAAW0NvbnRlbnRfVHlwZXNdLnhtbFBLAQItABQABgAIAAAAIQA4/SH/1gAA&#10;AJQBAAALAAAAAAAAAAAAAAAAAC8BAABfcmVscy8ucmVsc1BLAQItABQABgAIAAAAIQA99GMQDgIA&#10;APUDAAAOAAAAAAAAAAAAAAAAAC4CAABkcnMvZTJvRG9jLnhtbFBLAQItABQABgAIAAAAIQD/HJHT&#10;3QAAAAkBAAAPAAAAAAAAAAAAAAAAAGgEAABkcnMvZG93bnJldi54bWxQSwUGAAAAAAQABADzAAAA&#10;cgUAAAAA&#10;" filled="f" stroked="f">
                <v:textbox style="mso-fit-shape-to-text:t">
                  <w:txbxContent>
                    <w:p w14:paraId="4444FFDB" w14:textId="6237AE8A" w:rsidR="006E235E" w:rsidRDefault="006E235E">
                      <w:bookmarkStart w:id="1" w:name="_GoBack"/>
                      <w:r w:rsidRPr="006E235E">
                        <w:rPr>
                          <w:b/>
                          <w:bCs/>
                        </w:rPr>
                        <w:t>Fig</w:t>
                      </w:r>
                      <w:r w:rsidR="00B64829">
                        <w:rPr>
                          <w:b/>
                          <w:bCs/>
                        </w:rPr>
                        <w:t>ure</w:t>
                      </w:r>
                      <w:r w:rsidRPr="006E235E">
                        <w:rPr>
                          <w:b/>
                          <w:bCs/>
                        </w:rPr>
                        <w:t xml:space="preserve"> 1.</w:t>
                      </w:r>
                      <w:r>
                        <w:t xml:space="preserve"> The estimated number of games needed to achieve the specified power when </w:t>
                      </w:r>
                      <w:r w:rsidR="00B64829">
                        <w:t>identifying</w:t>
                      </w:r>
                      <w:r>
                        <w:t xml:space="preserve"> </w:t>
                      </w:r>
                      <w:r w:rsidR="00B64829">
                        <w:t xml:space="preserve">goalies who’s true </w:t>
                      </w:r>
                      <w:r>
                        <w:t xml:space="preserve">save percentages </w:t>
                      </w:r>
                      <w:r w:rsidR="00B64829">
                        <w:t>differs from</w:t>
                      </w:r>
                      <w:r>
                        <w:t xml:space="preserve"> the league average.</w:t>
                      </w:r>
                      <w:bookmarkEnd w:id="1"/>
                    </w:p>
                  </w:txbxContent>
                </v:textbox>
                <w10:wrap type="square" anchorx="margin"/>
              </v:shape>
            </w:pict>
          </mc:Fallback>
        </mc:AlternateContent>
      </w:r>
      <w:r w:rsidR="006E235E">
        <w:rPr>
          <w:lang w:val="en-US"/>
        </w:rPr>
        <w:t xml:space="preserve">seen </w:t>
      </w:r>
      <w:r w:rsidR="006E235E" w:rsidRPr="00CD741F">
        <w:rPr>
          <w:lang w:val="en-US"/>
        </w:rPr>
        <w:t>in Figure 1.</w:t>
      </w:r>
      <w:r w:rsidR="006E235E">
        <w:rPr>
          <w:lang w:val="en-US"/>
        </w:rPr>
        <w:t xml:space="preserve"> </w:t>
      </w:r>
    </w:p>
    <w:p w14:paraId="60C37845" w14:textId="34CA889B" w:rsidR="00A612E9" w:rsidRDefault="008158B1" w:rsidP="007762E0">
      <w:pPr>
        <w:spacing w:line="480" w:lineRule="auto"/>
        <w:ind w:firstLine="720"/>
        <w:rPr>
          <w:lang w:val="en-US"/>
        </w:rPr>
      </w:pPr>
      <w:r>
        <w:rPr>
          <w:lang w:val="en-US"/>
        </w:rPr>
        <w:t>The above figure was created by identifying goalies who played &gt;40</w:t>
      </w:r>
      <w:r w:rsidR="00261D04">
        <w:rPr>
          <w:lang w:val="en-US"/>
        </w:rPr>
        <w:t xml:space="preserve"> </w:t>
      </w:r>
      <w:r>
        <w:rPr>
          <w:lang w:val="en-US"/>
        </w:rPr>
        <w:t>min in &gt;26 games for one team during the 2019-2020 season. In total, 4</w:t>
      </w:r>
      <w:r w:rsidR="00261D04">
        <w:rPr>
          <w:lang w:val="en-US"/>
        </w:rPr>
        <w:t>2</w:t>
      </w:r>
      <w:r>
        <w:rPr>
          <w:lang w:val="en-US"/>
        </w:rPr>
        <w:t xml:space="preserve"> goalies were identified with an average save percentage of 91.1% and an average standard deviation of 5.3%. </w:t>
      </w:r>
      <w:r w:rsidR="00261D04" w:rsidRPr="00831C02">
        <w:rPr>
          <w:lang w:val="en-US"/>
        </w:rPr>
        <w:t xml:space="preserve">I then held power at a desired level (ex. 80%), and used the </w:t>
      </w:r>
      <w:r w:rsidR="00B64829" w:rsidRPr="00831C02">
        <w:rPr>
          <w:lang w:val="en-US"/>
        </w:rPr>
        <w:t xml:space="preserve">identified </w:t>
      </w:r>
      <w:r w:rsidR="00261D04" w:rsidRPr="00831C02">
        <w:rPr>
          <w:lang w:val="en-US"/>
        </w:rPr>
        <w:t xml:space="preserve">average save percentage and standard deviation to </w:t>
      </w:r>
      <w:r w:rsidR="00B64829" w:rsidRPr="00831C02">
        <w:rPr>
          <w:lang w:val="en-US"/>
        </w:rPr>
        <w:t>estimate the re</w:t>
      </w:r>
      <w:r w:rsidR="00261D04" w:rsidRPr="00831C02">
        <w:rPr>
          <w:lang w:val="en-US"/>
        </w:rPr>
        <w:t xml:space="preserve">quired </w:t>
      </w:r>
      <w:r w:rsidR="00B64829" w:rsidRPr="00831C02">
        <w:rPr>
          <w:lang w:val="en-US"/>
        </w:rPr>
        <w:t xml:space="preserve">number of games when </w:t>
      </w:r>
      <w:r w:rsidR="00831C02" w:rsidRPr="00831C02">
        <w:rPr>
          <w:lang w:val="en-US"/>
        </w:rPr>
        <w:t>detecting</w:t>
      </w:r>
      <w:r w:rsidR="007762E0">
        <w:rPr>
          <w:lang w:val="en-US"/>
        </w:rPr>
        <w:t xml:space="preserve"> a</w:t>
      </w:r>
      <w:r w:rsidR="00831C02" w:rsidRPr="00831C02">
        <w:rPr>
          <w:lang w:val="en-US"/>
        </w:rPr>
        <w:t xml:space="preserve"> </w:t>
      </w:r>
      <w:r w:rsidR="00B64829" w:rsidRPr="00831C02">
        <w:rPr>
          <w:lang w:val="en-US"/>
        </w:rPr>
        <w:t>goalie</w:t>
      </w:r>
      <w:r w:rsidR="00261D04" w:rsidRPr="00831C02">
        <w:rPr>
          <w:lang w:val="en-US"/>
        </w:rPr>
        <w:t xml:space="preserve"> </w:t>
      </w:r>
      <w:r w:rsidR="007762E0" w:rsidRPr="00831C02">
        <w:rPr>
          <w:lang w:val="en-US"/>
        </w:rPr>
        <w:t>who</w:t>
      </w:r>
      <w:r w:rsidR="007762E0">
        <w:rPr>
          <w:lang w:val="en-US"/>
        </w:rPr>
        <w:t>’s</w:t>
      </w:r>
      <w:r w:rsidR="00261D04" w:rsidRPr="00831C02">
        <w:rPr>
          <w:lang w:val="en-US"/>
        </w:rPr>
        <w:t xml:space="preserve"> true save percentage </w:t>
      </w:r>
      <w:r w:rsidR="00B64829" w:rsidRPr="00831C02">
        <w:rPr>
          <w:lang w:val="en-US"/>
        </w:rPr>
        <w:t>differs from the league average.</w:t>
      </w:r>
      <w:r w:rsidR="00B64829">
        <w:rPr>
          <w:lang w:val="en-US"/>
        </w:rPr>
        <w:t xml:space="preserve"> As you can see in </w:t>
      </w:r>
      <w:r w:rsidR="00B64829" w:rsidRPr="00CD741F">
        <w:rPr>
          <w:lang w:val="en-US"/>
        </w:rPr>
        <w:t>Figure 1</w:t>
      </w:r>
      <w:r w:rsidR="00B64829">
        <w:rPr>
          <w:lang w:val="en-US"/>
        </w:rPr>
        <w:t xml:space="preserve">, the </w:t>
      </w:r>
      <w:r w:rsidR="00261D04">
        <w:rPr>
          <w:lang w:val="en-US"/>
        </w:rPr>
        <w:t>better the goalie is (i.e. the higher the</w:t>
      </w:r>
      <w:r w:rsidR="00B64829">
        <w:rPr>
          <w:lang w:val="en-US"/>
        </w:rPr>
        <w:t>ir true</w:t>
      </w:r>
      <w:r w:rsidR="00261D04">
        <w:rPr>
          <w:lang w:val="en-US"/>
        </w:rPr>
        <w:t xml:space="preserve"> save percentage) the less games are needed to achieve a given power. Similarly, increasing the number of games played</w:t>
      </w:r>
      <w:r w:rsidR="00831C02">
        <w:rPr>
          <w:lang w:val="en-US"/>
        </w:rPr>
        <w:t xml:space="preserve"> by a given goalie </w:t>
      </w:r>
      <w:r w:rsidR="00261D04">
        <w:rPr>
          <w:lang w:val="en-US"/>
        </w:rPr>
        <w:t>will also increase power.</w:t>
      </w:r>
      <w:r w:rsidR="00B64829">
        <w:rPr>
          <w:lang w:val="en-US"/>
        </w:rPr>
        <w:t xml:space="preserve"> </w:t>
      </w:r>
      <w:r w:rsidR="007762E0">
        <w:rPr>
          <w:lang w:val="en-US"/>
        </w:rPr>
        <w:t>So,</w:t>
      </w:r>
      <w:r w:rsidR="00831C02">
        <w:rPr>
          <w:lang w:val="en-US"/>
        </w:rPr>
        <w:t xml:space="preserve"> what does all this mean for the</w:t>
      </w:r>
      <w:r w:rsidR="00B64829">
        <w:rPr>
          <w:lang w:val="en-US"/>
        </w:rPr>
        <w:t xml:space="preserve"> casual hockey fan? How many games </w:t>
      </w:r>
      <w:r w:rsidR="00831C02">
        <w:rPr>
          <w:lang w:val="en-US"/>
        </w:rPr>
        <w:t>before we</w:t>
      </w:r>
      <w:r w:rsidR="00E44362">
        <w:rPr>
          <w:lang w:val="en-US"/>
        </w:rPr>
        <w:t xml:space="preserve"> know if our new goalie is the next perennial Vezina winner</w:t>
      </w:r>
      <w:r w:rsidR="00831C02">
        <w:rPr>
          <w:lang w:val="en-US"/>
        </w:rPr>
        <w:t>? Well like most things i</w:t>
      </w:r>
      <w:r w:rsidR="007762E0">
        <w:rPr>
          <w:lang w:val="en-US"/>
        </w:rPr>
        <w:t>n</w:t>
      </w:r>
      <w:r w:rsidR="00831C02">
        <w:rPr>
          <w:lang w:val="en-US"/>
        </w:rPr>
        <w:t xml:space="preserve"> life, it depends.</w:t>
      </w:r>
    </w:p>
    <w:tbl>
      <w:tblPr>
        <w:tblStyle w:val="TableGrid"/>
        <w:tblpPr w:leftFromText="180" w:rightFromText="180" w:vertAnchor="text" w:horzAnchor="margin" w:tblpY="7096"/>
        <w:tblW w:w="9382" w:type="dxa"/>
        <w:tblLayout w:type="fixed"/>
        <w:tblLook w:val="04A0" w:firstRow="1" w:lastRow="0" w:firstColumn="1" w:lastColumn="0" w:noHBand="0" w:noVBand="1"/>
      </w:tblPr>
      <w:tblGrid>
        <w:gridCol w:w="1843"/>
        <w:gridCol w:w="1077"/>
        <w:gridCol w:w="1077"/>
        <w:gridCol w:w="1077"/>
        <w:gridCol w:w="1077"/>
        <w:gridCol w:w="1077"/>
        <w:gridCol w:w="1077"/>
        <w:gridCol w:w="1045"/>
        <w:gridCol w:w="32"/>
      </w:tblGrid>
      <w:tr w:rsidR="00A612E9" w14:paraId="5D6B6F7C" w14:textId="77777777" w:rsidTr="00A612E9">
        <w:trPr>
          <w:gridAfter w:val="1"/>
          <w:wAfter w:w="32" w:type="dxa"/>
        </w:trPr>
        <w:tc>
          <w:tcPr>
            <w:tcW w:w="9350" w:type="dxa"/>
            <w:gridSpan w:val="8"/>
            <w:tcBorders>
              <w:left w:val="nil"/>
              <w:bottom w:val="single" w:sz="4" w:space="0" w:color="auto"/>
              <w:right w:val="nil"/>
            </w:tcBorders>
          </w:tcPr>
          <w:p w14:paraId="49F1D454" w14:textId="77777777" w:rsidR="00A612E9" w:rsidRDefault="00A612E9" w:rsidP="00A612E9">
            <w:pPr>
              <w:rPr>
                <w:lang w:val="en-US"/>
              </w:rPr>
            </w:pPr>
            <w:r w:rsidRPr="00B336FD">
              <w:rPr>
                <w:b/>
                <w:bCs/>
                <w:lang w:val="en-US"/>
              </w:rPr>
              <w:lastRenderedPageBreak/>
              <w:t>Table 1.</w:t>
            </w:r>
            <w:r>
              <w:rPr>
                <w:lang w:val="en-US"/>
              </w:rPr>
              <w:t xml:space="preserve"> Estimated number of games needed to achieve 80% power</w:t>
            </w:r>
          </w:p>
        </w:tc>
      </w:tr>
      <w:tr w:rsidR="00A612E9" w14:paraId="1247F0F3" w14:textId="77777777" w:rsidTr="00A612E9">
        <w:tc>
          <w:tcPr>
            <w:tcW w:w="1843" w:type="dxa"/>
            <w:tcBorders>
              <w:top w:val="single" w:sz="4" w:space="0" w:color="auto"/>
              <w:left w:val="nil"/>
              <w:bottom w:val="nil"/>
              <w:right w:val="nil"/>
            </w:tcBorders>
          </w:tcPr>
          <w:p w14:paraId="7DA0C122" w14:textId="77777777" w:rsidR="00A612E9" w:rsidRDefault="00A612E9" w:rsidP="00A612E9">
            <w:pPr>
              <w:jc w:val="center"/>
              <w:rPr>
                <w:lang w:val="en-US"/>
              </w:rPr>
            </w:pPr>
            <w:r>
              <w:rPr>
                <w:lang w:val="en-US"/>
              </w:rPr>
              <w:t>Save Percentage</w:t>
            </w:r>
          </w:p>
        </w:tc>
        <w:tc>
          <w:tcPr>
            <w:tcW w:w="1077" w:type="dxa"/>
            <w:tcBorders>
              <w:top w:val="single" w:sz="4" w:space="0" w:color="auto"/>
              <w:left w:val="nil"/>
              <w:bottom w:val="nil"/>
              <w:right w:val="nil"/>
            </w:tcBorders>
          </w:tcPr>
          <w:p w14:paraId="1B1E346F" w14:textId="77777777" w:rsidR="00A612E9" w:rsidRDefault="00A612E9" w:rsidP="00A612E9">
            <w:pPr>
              <w:jc w:val="center"/>
              <w:rPr>
                <w:lang w:val="en-US"/>
              </w:rPr>
            </w:pPr>
            <w:r>
              <w:rPr>
                <w:lang w:val="en-US"/>
              </w:rPr>
              <w:t>93.0%</w:t>
            </w:r>
          </w:p>
        </w:tc>
        <w:tc>
          <w:tcPr>
            <w:tcW w:w="1077" w:type="dxa"/>
            <w:tcBorders>
              <w:top w:val="single" w:sz="4" w:space="0" w:color="auto"/>
              <w:left w:val="nil"/>
              <w:bottom w:val="nil"/>
              <w:right w:val="nil"/>
            </w:tcBorders>
          </w:tcPr>
          <w:p w14:paraId="70CE3C32" w14:textId="77777777" w:rsidR="00A612E9" w:rsidRPr="00B336FD" w:rsidRDefault="00A612E9" w:rsidP="00A612E9">
            <w:pPr>
              <w:jc w:val="center"/>
              <w:rPr>
                <w:b/>
                <w:bCs/>
                <w:lang w:val="en-US"/>
              </w:rPr>
            </w:pPr>
            <w:r w:rsidRPr="00B336FD">
              <w:rPr>
                <w:b/>
                <w:bCs/>
                <w:lang w:val="en-US"/>
              </w:rPr>
              <w:t>93.5%</w:t>
            </w:r>
          </w:p>
        </w:tc>
        <w:tc>
          <w:tcPr>
            <w:tcW w:w="1077" w:type="dxa"/>
            <w:tcBorders>
              <w:top w:val="single" w:sz="4" w:space="0" w:color="auto"/>
              <w:left w:val="nil"/>
              <w:bottom w:val="nil"/>
              <w:right w:val="nil"/>
            </w:tcBorders>
          </w:tcPr>
          <w:p w14:paraId="32E83B02" w14:textId="77777777" w:rsidR="00A612E9" w:rsidRDefault="00A612E9" w:rsidP="00A612E9">
            <w:pPr>
              <w:jc w:val="center"/>
              <w:rPr>
                <w:lang w:val="en-US"/>
              </w:rPr>
            </w:pPr>
            <w:r>
              <w:rPr>
                <w:lang w:val="en-US"/>
              </w:rPr>
              <w:t>94.0%</w:t>
            </w:r>
          </w:p>
        </w:tc>
        <w:tc>
          <w:tcPr>
            <w:tcW w:w="1077" w:type="dxa"/>
            <w:tcBorders>
              <w:top w:val="single" w:sz="4" w:space="0" w:color="auto"/>
              <w:left w:val="nil"/>
              <w:bottom w:val="nil"/>
              <w:right w:val="nil"/>
            </w:tcBorders>
          </w:tcPr>
          <w:p w14:paraId="122C847C" w14:textId="77777777" w:rsidR="00A612E9" w:rsidRDefault="00A612E9" w:rsidP="00A612E9">
            <w:pPr>
              <w:jc w:val="center"/>
              <w:rPr>
                <w:lang w:val="en-US"/>
              </w:rPr>
            </w:pPr>
            <w:r>
              <w:rPr>
                <w:lang w:val="en-US"/>
              </w:rPr>
              <w:t>94.5%</w:t>
            </w:r>
          </w:p>
        </w:tc>
        <w:tc>
          <w:tcPr>
            <w:tcW w:w="1077" w:type="dxa"/>
            <w:tcBorders>
              <w:top w:val="single" w:sz="4" w:space="0" w:color="auto"/>
              <w:left w:val="nil"/>
              <w:bottom w:val="nil"/>
              <w:right w:val="nil"/>
            </w:tcBorders>
          </w:tcPr>
          <w:p w14:paraId="50E34AD5" w14:textId="77777777" w:rsidR="00A612E9" w:rsidRDefault="00A612E9" w:rsidP="00A612E9">
            <w:pPr>
              <w:jc w:val="center"/>
              <w:rPr>
                <w:lang w:val="en-US"/>
              </w:rPr>
            </w:pPr>
            <w:r>
              <w:rPr>
                <w:lang w:val="en-US"/>
              </w:rPr>
              <w:t>95.0%</w:t>
            </w:r>
          </w:p>
        </w:tc>
        <w:tc>
          <w:tcPr>
            <w:tcW w:w="1077" w:type="dxa"/>
            <w:tcBorders>
              <w:top w:val="single" w:sz="4" w:space="0" w:color="auto"/>
              <w:left w:val="nil"/>
              <w:bottom w:val="nil"/>
              <w:right w:val="nil"/>
            </w:tcBorders>
          </w:tcPr>
          <w:p w14:paraId="3ABAB9A7" w14:textId="77777777" w:rsidR="00A612E9" w:rsidRDefault="00A612E9" w:rsidP="00A612E9">
            <w:pPr>
              <w:jc w:val="center"/>
              <w:rPr>
                <w:lang w:val="en-US"/>
              </w:rPr>
            </w:pPr>
            <w:r>
              <w:rPr>
                <w:lang w:val="en-US"/>
              </w:rPr>
              <w:t>95.5%</w:t>
            </w:r>
          </w:p>
        </w:tc>
        <w:tc>
          <w:tcPr>
            <w:tcW w:w="1077" w:type="dxa"/>
            <w:gridSpan w:val="2"/>
            <w:tcBorders>
              <w:top w:val="single" w:sz="4" w:space="0" w:color="auto"/>
              <w:left w:val="nil"/>
              <w:bottom w:val="nil"/>
              <w:right w:val="nil"/>
            </w:tcBorders>
          </w:tcPr>
          <w:p w14:paraId="28710134" w14:textId="77777777" w:rsidR="00A612E9" w:rsidRDefault="00A612E9" w:rsidP="00A612E9">
            <w:pPr>
              <w:jc w:val="center"/>
              <w:rPr>
                <w:lang w:val="en-US"/>
              </w:rPr>
            </w:pPr>
            <w:r>
              <w:rPr>
                <w:lang w:val="en-US"/>
              </w:rPr>
              <w:t>96.0%</w:t>
            </w:r>
          </w:p>
        </w:tc>
      </w:tr>
      <w:tr w:rsidR="00A612E9" w14:paraId="79590AA5" w14:textId="77777777" w:rsidTr="00A612E9">
        <w:tc>
          <w:tcPr>
            <w:tcW w:w="1843" w:type="dxa"/>
            <w:tcBorders>
              <w:top w:val="nil"/>
              <w:left w:val="nil"/>
              <w:bottom w:val="single" w:sz="4" w:space="0" w:color="auto"/>
              <w:right w:val="nil"/>
            </w:tcBorders>
          </w:tcPr>
          <w:p w14:paraId="6CF35192" w14:textId="77777777" w:rsidR="00A612E9" w:rsidRDefault="00A612E9" w:rsidP="00A612E9">
            <w:pPr>
              <w:jc w:val="center"/>
              <w:rPr>
                <w:lang w:val="en-US"/>
              </w:rPr>
            </w:pPr>
            <w:r>
              <w:rPr>
                <w:lang w:val="en-US"/>
              </w:rPr>
              <w:t># of Games</w:t>
            </w:r>
          </w:p>
        </w:tc>
        <w:tc>
          <w:tcPr>
            <w:tcW w:w="1077" w:type="dxa"/>
            <w:tcBorders>
              <w:top w:val="nil"/>
              <w:left w:val="nil"/>
              <w:bottom w:val="single" w:sz="4" w:space="0" w:color="auto"/>
              <w:right w:val="nil"/>
            </w:tcBorders>
          </w:tcPr>
          <w:p w14:paraId="4D8D5030" w14:textId="77777777" w:rsidR="00A612E9" w:rsidRDefault="00A612E9" w:rsidP="00A612E9">
            <w:pPr>
              <w:jc w:val="center"/>
              <w:rPr>
                <w:lang w:val="en-US"/>
              </w:rPr>
            </w:pPr>
            <w:r>
              <w:rPr>
                <w:lang w:val="en-US"/>
              </w:rPr>
              <w:t>63.0</w:t>
            </w:r>
          </w:p>
        </w:tc>
        <w:tc>
          <w:tcPr>
            <w:tcW w:w="1077" w:type="dxa"/>
            <w:tcBorders>
              <w:top w:val="nil"/>
              <w:left w:val="nil"/>
              <w:bottom w:val="single" w:sz="4" w:space="0" w:color="auto"/>
              <w:right w:val="nil"/>
            </w:tcBorders>
          </w:tcPr>
          <w:p w14:paraId="414A2EE8" w14:textId="77777777" w:rsidR="00A612E9" w:rsidRPr="00B336FD" w:rsidRDefault="00A612E9" w:rsidP="00A612E9">
            <w:pPr>
              <w:jc w:val="center"/>
              <w:rPr>
                <w:b/>
                <w:bCs/>
                <w:lang w:val="en-US"/>
              </w:rPr>
            </w:pPr>
            <w:r w:rsidRPr="00B336FD">
              <w:rPr>
                <w:b/>
                <w:bCs/>
                <w:lang w:val="en-US"/>
              </w:rPr>
              <w:t>40.2</w:t>
            </w:r>
          </w:p>
        </w:tc>
        <w:tc>
          <w:tcPr>
            <w:tcW w:w="1077" w:type="dxa"/>
            <w:tcBorders>
              <w:top w:val="nil"/>
              <w:left w:val="nil"/>
              <w:bottom w:val="single" w:sz="4" w:space="0" w:color="auto"/>
              <w:right w:val="nil"/>
            </w:tcBorders>
          </w:tcPr>
          <w:p w14:paraId="55F66295" w14:textId="77777777" w:rsidR="00A612E9" w:rsidRDefault="00A612E9" w:rsidP="00A612E9">
            <w:pPr>
              <w:jc w:val="center"/>
              <w:rPr>
                <w:lang w:val="en-US"/>
              </w:rPr>
            </w:pPr>
            <w:r>
              <w:rPr>
                <w:lang w:val="en-US"/>
              </w:rPr>
              <w:t>28.2</w:t>
            </w:r>
          </w:p>
        </w:tc>
        <w:tc>
          <w:tcPr>
            <w:tcW w:w="1077" w:type="dxa"/>
            <w:tcBorders>
              <w:top w:val="nil"/>
              <w:left w:val="nil"/>
              <w:bottom w:val="single" w:sz="4" w:space="0" w:color="auto"/>
              <w:right w:val="nil"/>
            </w:tcBorders>
          </w:tcPr>
          <w:p w14:paraId="6830C1F9" w14:textId="77777777" w:rsidR="00A612E9" w:rsidRDefault="00A612E9" w:rsidP="00A612E9">
            <w:pPr>
              <w:jc w:val="center"/>
              <w:rPr>
                <w:lang w:val="en-US"/>
              </w:rPr>
            </w:pPr>
            <w:r>
              <w:rPr>
                <w:lang w:val="en-US"/>
              </w:rPr>
              <w:t>21.1</w:t>
            </w:r>
          </w:p>
        </w:tc>
        <w:tc>
          <w:tcPr>
            <w:tcW w:w="1077" w:type="dxa"/>
            <w:tcBorders>
              <w:top w:val="nil"/>
              <w:left w:val="nil"/>
              <w:bottom w:val="single" w:sz="4" w:space="0" w:color="auto"/>
              <w:right w:val="nil"/>
            </w:tcBorders>
          </w:tcPr>
          <w:p w14:paraId="318E511D" w14:textId="77777777" w:rsidR="00A612E9" w:rsidRDefault="00A612E9" w:rsidP="00A612E9">
            <w:pPr>
              <w:jc w:val="center"/>
              <w:rPr>
                <w:lang w:val="en-US"/>
              </w:rPr>
            </w:pPr>
            <w:r>
              <w:rPr>
                <w:lang w:val="en-US"/>
              </w:rPr>
              <w:t>16.5</w:t>
            </w:r>
          </w:p>
        </w:tc>
        <w:tc>
          <w:tcPr>
            <w:tcW w:w="1077" w:type="dxa"/>
            <w:tcBorders>
              <w:top w:val="nil"/>
              <w:left w:val="nil"/>
              <w:bottom w:val="single" w:sz="4" w:space="0" w:color="auto"/>
              <w:right w:val="nil"/>
            </w:tcBorders>
          </w:tcPr>
          <w:p w14:paraId="3BCA8F57" w14:textId="77777777" w:rsidR="00A612E9" w:rsidRDefault="00A612E9" w:rsidP="00A612E9">
            <w:pPr>
              <w:jc w:val="center"/>
              <w:rPr>
                <w:lang w:val="en-US"/>
              </w:rPr>
            </w:pPr>
            <w:r>
              <w:rPr>
                <w:lang w:val="en-US"/>
              </w:rPr>
              <w:t>13.4</w:t>
            </w:r>
          </w:p>
        </w:tc>
        <w:tc>
          <w:tcPr>
            <w:tcW w:w="1077" w:type="dxa"/>
            <w:gridSpan w:val="2"/>
            <w:tcBorders>
              <w:top w:val="nil"/>
              <w:left w:val="nil"/>
              <w:bottom w:val="single" w:sz="4" w:space="0" w:color="auto"/>
              <w:right w:val="nil"/>
            </w:tcBorders>
          </w:tcPr>
          <w:p w14:paraId="64E9D338" w14:textId="77777777" w:rsidR="00A612E9" w:rsidRDefault="00A612E9" w:rsidP="00A612E9">
            <w:pPr>
              <w:jc w:val="center"/>
              <w:rPr>
                <w:lang w:val="en-US"/>
              </w:rPr>
            </w:pPr>
            <w:r>
              <w:rPr>
                <w:lang w:val="en-US"/>
              </w:rPr>
              <w:t>11.3</w:t>
            </w:r>
          </w:p>
        </w:tc>
      </w:tr>
    </w:tbl>
    <w:p w14:paraId="086C0343" w14:textId="76F95200" w:rsidR="00A612E9" w:rsidRDefault="00E44362" w:rsidP="00A612E9">
      <w:pPr>
        <w:spacing w:line="480" w:lineRule="auto"/>
        <w:ind w:firstLine="720"/>
        <w:rPr>
          <w:lang w:val="en-US"/>
        </w:rPr>
      </w:pPr>
      <w:r>
        <w:rPr>
          <w:lang w:val="en-US"/>
        </w:rPr>
        <w:t>W</w:t>
      </w:r>
      <w:r w:rsidR="00B64829">
        <w:rPr>
          <w:lang w:val="en-US"/>
        </w:rPr>
        <w:t>e can start by narrowing</w:t>
      </w:r>
      <w:r w:rsidR="00E93E75">
        <w:rPr>
          <w:lang w:val="en-US"/>
        </w:rPr>
        <w:t xml:space="preserve"> </w:t>
      </w:r>
      <w:r w:rsidR="00B64829">
        <w:rPr>
          <w:lang w:val="en-US"/>
        </w:rPr>
        <w:t xml:space="preserve">this </w:t>
      </w:r>
      <w:r>
        <w:rPr>
          <w:lang w:val="en-US"/>
        </w:rPr>
        <w:t>analysis</w:t>
      </w:r>
      <w:r w:rsidR="00B64829">
        <w:rPr>
          <w:lang w:val="en-US"/>
        </w:rPr>
        <w:t xml:space="preserve"> down a little. In research we typically aim for 80% power, so let’s focus on </w:t>
      </w:r>
      <w:r w:rsidR="00E93E75">
        <w:rPr>
          <w:lang w:val="en-US"/>
        </w:rPr>
        <w:t xml:space="preserve">just </w:t>
      </w:r>
      <w:r w:rsidR="00B64829">
        <w:rPr>
          <w:lang w:val="en-US"/>
        </w:rPr>
        <w:t xml:space="preserve">the </w:t>
      </w:r>
      <w:r w:rsidR="00E93E75">
        <w:rPr>
          <w:lang w:val="en-US"/>
        </w:rPr>
        <w:t xml:space="preserve">minimum </w:t>
      </w:r>
      <w:r w:rsidR="00B64829">
        <w:rPr>
          <w:lang w:val="en-US"/>
        </w:rPr>
        <w:t>number of</w:t>
      </w:r>
      <w:r w:rsidR="00E93E75">
        <w:rPr>
          <w:lang w:val="en-US"/>
        </w:rPr>
        <w:t xml:space="preserve"> games needed to achieve 80% power </w:t>
      </w:r>
      <w:r w:rsidR="00E93E75" w:rsidRPr="00CD741F">
        <w:rPr>
          <w:lang w:val="en-US"/>
        </w:rPr>
        <w:t>(Table 1</w:t>
      </w:r>
      <w:r w:rsidR="00E93E75">
        <w:rPr>
          <w:lang w:val="en-US"/>
        </w:rPr>
        <w:t>)</w:t>
      </w:r>
      <w:r w:rsidR="007762E0">
        <w:rPr>
          <w:lang w:val="en-US"/>
        </w:rPr>
        <w:t xml:space="preserve">. </w:t>
      </w:r>
      <w:r w:rsidR="00E93E75">
        <w:rPr>
          <w:lang w:val="en-US"/>
        </w:rPr>
        <w:t>I think we can all agree that Carey Price has been one of the best goaltenders over the last decade, posting a career high in save percentage of 93.3% in the 2014-15 season. So</w:t>
      </w:r>
      <w:r w:rsidR="00C14114">
        <w:rPr>
          <w:lang w:val="en-US"/>
        </w:rPr>
        <w:t>,</w:t>
      </w:r>
      <w:r w:rsidR="00E93E75">
        <w:rPr>
          <w:lang w:val="en-US"/>
        </w:rPr>
        <w:t xml:space="preserve"> if we wanted to know if </w:t>
      </w:r>
      <w:r w:rsidR="00CD741F">
        <w:rPr>
          <w:lang w:val="en-US"/>
        </w:rPr>
        <w:t>our team’s</w:t>
      </w:r>
      <w:r w:rsidR="00E93E75">
        <w:rPr>
          <w:lang w:val="en-US"/>
        </w:rPr>
        <w:t xml:space="preserve"> new goaltende</w:t>
      </w:r>
      <w:r w:rsidR="00CD741F">
        <w:rPr>
          <w:lang w:val="en-US"/>
        </w:rPr>
        <w:t xml:space="preserve">r </w:t>
      </w:r>
      <w:r w:rsidR="00E93E75">
        <w:rPr>
          <w:lang w:val="en-US"/>
        </w:rPr>
        <w:t xml:space="preserve">is the </w:t>
      </w:r>
      <w:r w:rsidR="00CD741F">
        <w:rPr>
          <w:lang w:val="en-US"/>
        </w:rPr>
        <w:t>second</w:t>
      </w:r>
      <w:r w:rsidR="00E93E75">
        <w:rPr>
          <w:lang w:val="en-US"/>
        </w:rPr>
        <w:t xml:space="preserve"> coming of prime</w:t>
      </w:r>
      <w:r w:rsidR="00CD741F">
        <w:rPr>
          <w:lang w:val="en-US"/>
        </w:rPr>
        <w:t xml:space="preserve"> Carey P</w:t>
      </w:r>
      <w:r w:rsidR="00E93E75">
        <w:rPr>
          <w:lang w:val="en-US"/>
        </w:rPr>
        <w:t xml:space="preserve">rice? According to Table 1. </w:t>
      </w:r>
      <w:r w:rsidR="00CD741F">
        <w:rPr>
          <w:lang w:val="en-US"/>
        </w:rPr>
        <w:t>w</w:t>
      </w:r>
      <w:r w:rsidR="00E93E75">
        <w:rPr>
          <w:lang w:val="en-US"/>
        </w:rPr>
        <w:t>e should wait until</w:t>
      </w:r>
      <w:r w:rsidR="00CD741F">
        <w:rPr>
          <w:lang w:val="en-US"/>
        </w:rPr>
        <w:t xml:space="preserve"> </w:t>
      </w:r>
      <w:r w:rsidR="00B336FD" w:rsidRPr="00B336FD">
        <w:rPr>
          <w:b/>
          <w:bCs/>
          <w:lang w:val="en-US"/>
        </w:rPr>
        <w:t>~</w:t>
      </w:r>
      <w:r w:rsidR="00E93E75" w:rsidRPr="00B336FD">
        <w:rPr>
          <w:b/>
          <w:bCs/>
          <w:lang w:val="en-US"/>
        </w:rPr>
        <w:t>4</w:t>
      </w:r>
      <w:r w:rsidR="00E93E75" w:rsidRPr="00CD741F">
        <w:rPr>
          <w:b/>
          <w:bCs/>
          <w:lang w:val="en-US"/>
        </w:rPr>
        <w:t>0 games</w:t>
      </w:r>
      <w:r w:rsidR="00E93E75">
        <w:rPr>
          <w:lang w:val="en-US"/>
        </w:rPr>
        <w:t xml:space="preserve"> have been played before making any conclusions. </w:t>
      </w:r>
      <w:r w:rsidR="00CD741F">
        <w:rPr>
          <w:lang w:val="en-US"/>
        </w:rPr>
        <w:t xml:space="preserve">In other words, if our new goaltender really is the next Carey Price, and we run a statistical comparison using a random sample of 40 games from </w:t>
      </w:r>
      <w:r w:rsidR="00B336FD">
        <w:rPr>
          <w:lang w:val="en-US"/>
        </w:rPr>
        <w:t>that</w:t>
      </w:r>
      <w:r w:rsidR="00CD741F">
        <w:rPr>
          <w:lang w:val="en-US"/>
        </w:rPr>
        <w:t xml:space="preserve"> goalie, there is an 80% probability we will correctly conclude that our new goalie</w:t>
      </w:r>
      <w:r>
        <w:rPr>
          <w:lang w:val="en-US"/>
        </w:rPr>
        <w:t xml:space="preserve"> is</w:t>
      </w:r>
      <w:r w:rsidR="00CD741F">
        <w:rPr>
          <w:lang w:val="en-US"/>
        </w:rPr>
        <w:t xml:space="preserve"> </w:t>
      </w:r>
      <w:r>
        <w:rPr>
          <w:lang w:val="en-US"/>
        </w:rPr>
        <w:t>better than average</w:t>
      </w:r>
      <w:r w:rsidR="00CD741F">
        <w:rPr>
          <w:lang w:val="en-US"/>
        </w:rPr>
        <w:t>.</w:t>
      </w:r>
      <w:r>
        <w:rPr>
          <w:lang w:val="en-US"/>
        </w:rPr>
        <w:t xml:space="preserve"> And if we fail to identify a</w:t>
      </w:r>
      <w:r w:rsidR="007762E0">
        <w:rPr>
          <w:lang w:val="en-US"/>
        </w:rPr>
        <w:t xml:space="preserve"> difference between our goalie and league average</w:t>
      </w:r>
      <w:r>
        <w:rPr>
          <w:lang w:val="en-US"/>
        </w:rPr>
        <w:t xml:space="preserve"> after 40 games? Well there’s still a 20% probability that we could miss an effect, or perhaps our new goalie isn’t quite as good as Carey Price is, </w:t>
      </w:r>
      <w:r w:rsidR="00A612E9">
        <w:rPr>
          <w:lang w:val="en-US"/>
        </w:rPr>
        <w:t>in which case m</w:t>
      </w:r>
      <w:r>
        <w:rPr>
          <w:lang w:val="en-US"/>
        </w:rPr>
        <w:t>ore games are needed. So next time your new goaltender starts the season saving</w:t>
      </w:r>
      <w:r w:rsidR="00A612E9">
        <w:rPr>
          <w:lang w:val="en-US"/>
        </w:rPr>
        <w:t xml:space="preserve"> just</w:t>
      </w:r>
      <w:r>
        <w:rPr>
          <w:lang w:val="en-US"/>
        </w:rPr>
        <w:t xml:space="preserve"> 88.4% of shots over </w:t>
      </w:r>
      <w:r w:rsidR="00A612E9">
        <w:rPr>
          <w:lang w:val="en-US"/>
        </w:rPr>
        <w:t>his</w:t>
      </w:r>
      <w:r>
        <w:rPr>
          <w:lang w:val="en-US"/>
        </w:rPr>
        <w:t xml:space="preserve"> first nine game, just sit back and relax, because we need at least 40 games befor</w:t>
      </w:r>
      <w:r w:rsidR="00A612E9">
        <w:rPr>
          <w:lang w:val="en-US"/>
        </w:rPr>
        <w:t xml:space="preserve">e </w:t>
      </w:r>
      <w:r>
        <w:rPr>
          <w:lang w:val="en-US"/>
        </w:rPr>
        <w:t>we’ll know anything meaningful.</w:t>
      </w:r>
    </w:p>
    <w:p w14:paraId="203BF325" w14:textId="77777777" w:rsidR="00A612E9" w:rsidRDefault="00A612E9" w:rsidP="00A612E9">
      <w:pPr>
        <w:spacing w:line="480" w:lineRule="auto"/>
        <w:ind w:firstLine="720"/>
        <w:rPr>
          <w:lang w:val="en-US"/>
        </w:rPr>
      </w:pPr>
    </w:p>
    <w:p w14:paraId="44EA9B84" w14:textId="71908AC7" w:rsidR="00261D04" w:rsidRDefault="00A612E9" w:rsidP="00A612E9">
      <w:pPr>
        <w:spacing w:line="480" w:lineRule="auto"/>
        <w:rPr>
          <w:lang w:val="en-US"/>
        </w:rPr>
      </w:pPr>
      <w:r>
        <w:rPr>
          <w:lang w:val="en-US"/>
        </w:rPr>
        <w:t xml:space="preserve">P.S. Elvis </w:t>
      </w:r>
      <w:proofErr w:type="spellStart"/>
      <w:r>
        <w:rPr>
          <w:lang w:val="en-US"/>
        </w:rPr>
        <w:t>Merzlikins</w:t>
      </w:r>
      <w:proofErr w:type="spellEnd"/>
      <w:r>
        <w:rPr>
          <w:lang w:val="en-US"/>
        </w:rPr>
        <w:t xml:space="preserve"> finished the season the with a 92.3% save percentage and was voted to the 2020 NHL All-Rookie Team.</w:t>
      </w:r>
    </w:p>
    <w:p w14:paraId="65C93F8C" w14:textId="77777777" w:rsidR="00CD741F" w:rsidRDefault="00CD741F" w:rsidP="00CD741F">
      <w:pPr>
        <w:jc w:val="center"/>
        <w:rPr>
          <w:lang w:val="en-US"/>
        </w:rPr>
      </w:pPr>
      <w:r>
        <w:rPr>
          <w:lang w:val="en-US"/>
        </w:rPr>
        <w:t xml:space="preserve">All data scraped from </w:t>
      </w:r>
      <w:hyperlink r:id="rId7" w:history="1">
        <w:r w:rsidRPr="001F7D87">
          <w:rPr>
            <w:rStyle w:val="Hyperlink"/>
            <w:lang w:val="en-US"/>
          </w:rPr>
          <w:t>www.hockey-reference.com</w:t>
        </w:r>
      </w:hyperlink>
    </w:p>
    <w:p w14:paraId="7497C76E" w14:textId="61652B05" w:rsidR="00CD741F" w:rsidRDefault="00CD741F" w:rsidP="00CD741F">
      <w:pPr>
        <w:jc w:val="center"/>
        <w:rPr>
          <w:lang w:val="en-US"/>
        </w:rPr>
      </w:pPr>
      <w:r>
        <w:rPr>
          <w:lang w:val="en-US"/>
        </w:rPr>
        <w:t xml:space="preserve">Python code used to perform analysis: </w:t>
      </w:r>
      <w:hyperlink r:id="rId8" w:history="1">
        <w:r w:rsidR="0081063E" w:rsidRPr="002514DC">
          <w:rPr>
            <w:rStyle w:val="Hyperlink"/>
            <w:lang w:val="en-US"/>
          </w:rPr>
          <w:t>https://github.com/NickRomanchuk</w:t>
        </w:r>
      </w:hyperlink>
    </w:p>
    <w:p w14:paraId="70232F52" w14:textId="77777777" w:rsidR="0081063E" w:rsidRDefault="0081063E" w:rsidP="00CD741F">
      <w:pPr>
        <w:jc w:val="center"/>
        <w:rPr>
          <w:lang w:val="en-US"/>
        </w:rPr>
      </w:pPr>
    </w:p>
    <w:p w14:paraId="75BBDDF8" w14:textId="77777777" w:rsidR="00CD741F" w:rsidRDefault="00CD741F" w:rsidP="00897CF9">
      <w:pPr>
        <w:ind w:firstLine="720"/>
        <w:rPr>
          <w:lang w:val="en-US"/>
        </w:rPr>
      </w:pPr>
    </w:p>
    <w:p w14:paraId="12225888" w14:textId="4AAB09CF" w:rsidR="00261D04" w:rsidRDefault="00B336FD" w:rsidP="00B336FD">
      <w:pPr>
        <w:rPr>
          <w:lang w:val="en-US"/>
        </w:rPr>
      </w:pPr>
      <w:r>
        <w:rPr>
          <w:lang w:val="en-US"/>
        </w:rPr>
        <w:br w:type="page"/>
      </w:r>
    </w:p>
    <w:p w14:paraId="620ABEB1" w14:textId="712DF88C" w:rsidR="00B15618" w:rsidRDefault="008158B1" w:rsidP="00897CF9">
      <w:pPr>
        <w:ind w:firstLine="720"/>
        <w:rPr>
          <w:lang w:val="en-US"/>
        </w:rPr>
      </w:pPr>
      <w:r>
        <w:rPr>
          <w:lang w:val="en-US"/>
        </w:rPr>
        <w:lastRenderedPageBreak/>
        <w:t xml:space="preserve">last year for one team </w:t>
      </w:r>
      <w:proofErr w:type="gramStart"/>
      <w:r w:rsidR="006E235E">
        <w:rPr>
          <w:lang w:val="en-US"/>
        </w:rPr>
        <w:t>The</w:t>
      </w:r>
      <w:proofErr w:type="gramEnd"/>
      <w:r w:rsidR="006E235E">
        <w:rPr>
          <w:lang w:val="en-US"/>
        </w:rPr>
        <w:t xml:space="preserve"> graph shows the </w:t>
      </w:r>
      <w:r w:rsidR="00B15618">
        <w:rPr>
          <w:lang w:val="en-US"/>
        </w:rPr>
        <w:t xml:space="preserve">is an assessment of estimate of our ability to identify an effect. </w:t>
      </w:r>
      <w:proofErr w:type="gramStart"/>
      <w:r w:rsidR="00B15618">
        <w:rPr>
          <w:lang w:val="en-US"/>
        </w:rPr>
        <w:t>So</w:t>
      </w:r>
      <w:proofErr w:type="gramEnd"/>
      <w:r w:rsidR="00B15618">
        <w:rPr>
          <w:lang w:val="en-US"/>
        </w:rPr>
        <w:t xml:space="preserve"> can we use power to determine if </w:t>
      </w:r>
      <w:r w:rsidR="00B15618" w:rsidRPr="001A6C88">
        <w:rPr>
          <w:lang w:val="en-US"/>
        </w:rPr>
        <w:t xml:space="preserve">seven games enough to detect </w:t>
      </w:r>
      <w:r w:rsidR="00B15618">
        <w:rPr>
          <w:lang w:val="en-US"/>
        </w:rPr>
        <w:t xml:space="preserve">whether </w:t>
      </w:r>
      <w:proofErr w:type="spellStart"/>
      <w:r w:rsidR="00B15618">
        <w:rPr>
          <w:lang w:val="en-US"/>
        </w:rPr>
        <w:t>Demko</w:t>
      </w:r>
      <w:proofErr w:type="spellEnd"/>
      <w:r w:rsidR="00B15618">
        <w:rPr>
          <w:lang w:val="en-US"/>
        </w:rPr>
        <w:t xml:space="preserve"> is an above average goaltender? Yes. But it depends on two things, </w:t>
      </w:r>
      <w:proofErr w:type="spellStart"/>
      <w:r w:rsidR="00B15618">
        <w:rPr>
          <w:lang w:val="en-US"/>
        </w:rPr>
        <w:t>i</w:t>
      </w:r>
      <w:proofErr w:type="spellEnd"/>
      <w:r w:rsidR="00B15618">
        <w:rPr>
          <w:lang w:val="en-US"/>
        </w:rPr>
        <w:t xml:space="preserve">) what do we consider to be adequate power? And ii) how much better than average is </w:t>
      </w:r>
      <w:proofErr w:type="spellStart"/>
      <w:r w:rsidR="00B15618">
        <w:rPr>
          <w:lang w:val="en-US"/>
        </w:rPr>
        <w:t>Demko</w:t>
      </w:r>
      <w:proofErr w:type="spellEnd"/>
      <w:r w:rsidR="00B15618">
        <w:rPr>
          <w:lang w:val="en-US"/>
        </w:rPr>
        <w:t xml:space="preserve">? </w:t>
      </w:r>
    </w:p>
    <w:p w14:paraId="7C9FD5E0" w14:textId="77777777" w:rsidR="00B15618" w:rsidRDefault="00B15618" w:rsidP="00897CF9">
      <w:pPr>
        <w:ind w:firstLine="720"/>
        <w:rPr>
          <w:lang w:val="en-US"/>
        </w:rPr>
      </w:pPr>
    </w:p>
    <w:p w14:paraId="37201225" w14:textId="62FEDA76" w:rsidR="0050476B" w:rsidRDefault="00B15618" w:rsidP="00897CF9">
      <w:pPr>
        <w:ind w:firstLine="720"/>
        <w:rPr>
          <w:lang w:val="en-US"/>
        </w:rPr>
      </w:pPr>
      <w:r w:rsidRPr="001A6C88">
        <w:rPr>
          <w:lang w:val="en-US"/>
        </w:rPr>
        <w:t>it</w:t>
      </w:r>
      <w:r>
        <w:rPr>
          <w:lang w:val="en-US"/>
        </w:rPr>
        <w:t xml:space="preserve"> seven games enough </w:t>
      </w:r>
      <w:r w:rsidR="0050476B">
        <w:rPr>
          <w:lang w:val="en-US"/>
        </w:rPr>
        <w:t xml:space="preserve">Power can be influenced by </w:t>
      </w:r>
      <w:proofErr w:type="gramStart"/>
      <w:r w:rsidR="0050476B">
        <w:rPr>
          <w:lang w:val="en-US"/>
        </w:rPr>
        <w:t>a number of</w:t>
      </w:r>
      <w:proofErr w:type="gramEnd"/>
      <w:r w:rsidR="0050476B">
        <w:rPr>
          <w:lang w:val="en-US"/>
        </w:rPr>
        <w:t xml:space="preserve"> factors; however, for this analysis we will focus on only two: </w:t>
      </w:r>
    </w:p>
    <w:p w14:paraId="46BDEF6A" w14:textId="5283A612" w:rsidR="0050476B" w:rsidRPr="0050476B" w:rsidRDefault="0050476B" w:rsidP="0050476B">
      <w:pPr>
        <w:jc w:val="center"/>
        <w:rPr>
          <w:lang w:val="en-US"/>
        </w:rPr>
      </w:pPr>
      <w:proofErr w:type="spellStart"/>
      <w:r w:rsidRPr="0050476B">
        <w:rPr>
          <w:i/>
          <w:iCs/>
          <w:lang w:val="en-US"/>
        </w:rPr>
        <w:t>i</w:t>
      </w:r>
      <w:proofErr w:type="spellEnd"/>
      <w:r w:rsidRPr="0050476B">
        <w:rPr>
          <w:i/>
          <w:iCs/>
          <w:lang w:val="en-US"/>
        </w:rPr>
        <w:t>)</w:t>
      </w:r>
      <w:r>
        <w:rPr>
          <w:lang w:val="en-US"/>
        </w:rPr>
        <w:t xml:space="preserve"> </w:t>
      </w:r>
      <w:r w:rsidRPr="0050476B">
        <w:rPr>
          <w:lang w:val="en-US"/>
        </w:rPr>
        <w:t>the size of the effect</w:t>
      </w:r>
    </w:p>
    <w:p w14:paraId="749B0EF8" w14:textId="11A128DF" w:rsidR="0050476B" w:rsidRPr="0050476B" w:rsidRDefault="0050476B" w:rsidP="0050476B">
      <w:pPr>
        <w:jc w:val="center"/>
        <w:rPr>
          <w:lang w:val="en-US"/>
        </w:rPr>
      </w:pPr>
      <w:r w:rsidRPr="0050476B">
        <w:rPr>
          <w:i/>
          <w:iCs/>
          <w:lang w:val="en-US"/>
        </w:rPr>
        <w:t>ii)</w:t>
      </w:r>
      <w:r w:rsidRPr="0050476B">
        <w:rPr>
          <w:lang w:val="en-US"/>
        </w:rPr>
        <w:t xml:space="preserve"> the size of the sample</w:t>
      </w:r>
    </w:p>
    <w:p w14:paraId="48766EC4" w14:textId="6D860DE6" w:rsidR="0050476B" w:rsidRDefault="0050476B" w:rsidP="0050476B">
      <w:pPr>
        <w:rPr>
          <w:lang w:val="en-US"/>
        </w:rPr>
      </w:pPr>
      <w:r>
        <w:rPr>
          <w:lang w:val="en-US"/>
        </w:rPr>
        <w:t xml:space="preserve">If we hold power at a desired level (ex. 80%), we can manipulate the size of the effect (i.e. simulate a goalie playing at a different save percentages) and record the corresponding change in sample size. In other words, we can use a formula to calculate the </w:t>
      </w:r>
      <w:r w:rsidRPr="00F12D67">
        <w:rPr>
          <w:lang w:val="en-US"/>
        </w:rPr>
        <w:t>required games played</w:t>
      </w:r>
      <w:r>
        <w:rPr>
          <w:lang w:val="en-US"/>
        </w:rPr>
        <w:t>, at a given save percentage and variability, to achieve a desired power.</w:t>
      </w:r>
    </w:p>
    <w:p w14:paraId="6853AD56" w14:textId="22537581" w:rsidR="0050476B" w:rsidRDefault="0050476B" w:rsidP="00897CF9">
      <w:pPr>
        <w:ind w:firstLine="720"/>
        <w:rPr>
          <w:lang w:val="en-US"/>
        </w:rPr>
      </w:pPr>
    </w:p>
    <w:p w14:paraId="0BD4936C" w14:textId="3D2C9BC0" w:rsidR="0050476B" w:rsidRDefault="0050476B" w:rsidP="00897CF9">
      <w:pPr>
        <w:ind w:firstLine="720"/>
        <w:rPr>
          <w:lang w:val="en-US"/>
        </w:rPr>
      </w:pPr>
    </w:p>
    <w:p w14:paraId="24BAA723" w14:textId="3F14D853" w:rsidR="0050476B" w:rsidRDefault="0050476B" w:rsidP="00897CF9">
      <w:pPr>
        <w:ind w:firstLine="720"/>
        <w:rPr>
          <w:lang w:val="en-US"/>
        </w:rPr>
      </w:pPr>
    </w:p>
    <w:p w14:paraId="783E4FE7" w14:textId="6699E388" w:rsidR="002226AB" w:rsidRDefault="002226AB" w:rsidP="00897CF9">
      <w:pPr>
        <w:ind w:firstLine="720"/>
        <w:rPr>
          <w:lang w:val="en-US"/>
        </w:rPr>
      </w:pPr>
      <w:r>
        <w:rPr>
          <w:lang w:val="en-US"/>
        </w:rPr>
        <w:t>The reason power matters i</w:t>
      </w:r>
      <w:r w:rsidR="0050476B">
        <w:rPr>
          <w:lang w:val="en-US"/>
        </w:rPr>
        <w:t>n this situation, is b</w:t>
      </w:r>
      <w:r>
        <w:rPr>
          <w:lang w:val="en-US"/>
        </w:rPr>
        <w:t xml:space="preserve">ecause </w:t>
      </w:r>
      <w:r w:rsidR="0050476B">
        <w:rPr>
          <w:lang w:val="en-US"/>
        </w:rPr>
        <w:t>we can use it to estimate required sample sizes</w:t>
      </w:r>
      <w:r>
        <w:rPr>
          <w:lang w:val="en-US"/>
        </w:rPr>
        <w:t xml:space="preserve">. </w:t>
      </w:r>
      <w:r w:rsidR="0050476B">
        <w:rPr>
          <w:lang w:val="en-US"/>
        </w:rPr>
        <w:t xml:space="preserve">To put it simple, </w:t>
      </w:r>
      <w:r>
        <w:rPr>
          <w:lang w:val="en-US"/>
        </w:rPr>
        <w:t xml:space="preserve">If </w:t>
      </w:r>
      <w:proofErr w:type="spellStart"/>
      <w:r>
        <w:rPr>
          <w:lang w:val="en-US"/>
        </w:rPr>
        <w:t>Demko’s</w:t>
      </w:r>
      <w:proofErr w:type="spellEnd"/>
      <w:r>
        <w:rPr>
          <w:lang w:val="en-US"/>
        </w:rPr>
        <w:t xml:space="preserve"> true long-run save percentage</w:t>
      </w:r>
      <w:r w:rsidR="0050476B">
        <w:rPr>
          <w:lang w:val="en-US"/>
        </w:rPr>
        <w:t xml:space="preserve"> is 93.3% </w:t>
      </w:r>
      <w:r>
        <w:rPr>
          <w:lang w:val="en-US"/>
        </w:rPr>
        <w:t xml:space="preserve"> us our ability to detect an effect, </w:t>
      </w:r>
      <w:r w:rsidR="00563C40">
        <w:rPr>
          <w:lang w:val="en-US"/>
        </w:rPr>
        <w:t xml:space="preserve">We </w:t>
      </w:r>
      <w:r w:rsidR="00F12D67">
        <w:rPr>
          <w:lang w:val="en-US"/>
        </w:rPr>
        <w:t xml:space="preserve">need </w:t>
      </w:r>
      <w:r w:rsidR="00563C40">
        <w:rPr>
          <w:lang w:val="en-US"/>
        </w:rPr>
        <w:t xml:space="preserve">to make sure we have sufficient power </w:t>
      </w:r>
      <w:r>
        <w:rPr>
          <w:lang w:val="en-US"/>
        </w:rPr>
        <w:t>(general rule of thumb is at least 80%) be</w:t>
      </w:r>
      <w:r w:rsidR="00563C40">
        <w:rPr>
          <w:lang w:val="en-US"/>
        </w:rPr>
        <w:t xml:space="preserve">fore </w:t>
      </w:r>
      <w:r>
        <w:rPr>
          <w:lang w:val="en-US"/>
        </w:rPr>
        <w:t>conducting a comparison-based</w:t>
      </w:r>
      <w:r w:rsidR="00F12D67">
        <w:rPr>
          <w:lang w:val="en-US"/>
        </w:rPr>
        <w:t xml:space="preserve"> </w:t>
      </w:r>
      <w:r>
        <w:rPr>
          <w:lang w:val="en-US"/>
        </w:rPr>
        <w:t>experiment, s</w:t>
      </w:r>
      <w:r w:rsidR="00D54451">
        <w:rPr>
          <w:lang w:val="en-US"/>
        </w:rPr>
        <w:t>ince lower power means we have a greater chance of missing an effect</w:t>
      </w:r>
      <w:r w:rsidR="00563C40">
        <w:rPr>
          <w:lang w:val="en-US"/>
        </w:rPr>
        <w:t xml:space="preserve">. </w:t>
      </w:r>
    </w:p>
    <w:p w14:paraId="67E59A70" w14:textId="7410BFEF" w:rsidR="002226AB" w:rsidRDefault="002226AB" w:rsidP="00897CF9">
      <w:pPr>
        <w:ind w:firstLine="720"/>
        <w:rPr>
          <w:lang w:val="en-US"/>
        </w:rPr>
      </w:pPr>
    </w:p>
    <w:p w14:paraId="582DA21A" w14:textId="3DDC9409" w:rsidR="002226AB" w:rsidRDefault="002226AB" w:rsidP="00897CF9">
      <w:pPr>
        <w:ind w:firstLine="720"/>
        <w:rPr>
          <w:lang w:val="en-US"/>
        </w:rPr>
      </w:pPr>
    </w:p>
    <w:p w14:paraId="68FCDDD6" w14:textId="0371A003" w:rsidR="00F12D67" w:rsidRDefault="00F12D67" w:rsidP="00897CF9">
      <w:pPr>
        <w:ind w:firstLine="720"/>
        <w:rPr>
          <w:lang w:val="en-US"/>
        </w:rPr>
      </w:pPr>
    </w:p>
    <w:p w14:paraId="29B4FF83" w14:textId="0B53CD8C" w:rsidR="00F12D67" w:rsidRDefault="00F12D67" w:rsidP="00897CF9">
      <w:pPr>
        <w:ind w:firstLine="720"/>
        <w:rPr>
          <w:lang w:val="en-US"/>
        </w:rPr>
      </w:pPr>
    </w:p>
    <w:p w14:paraId="21210405" w14:textId="1BA6198D" w:rsidR="00F12D67" w:rsidRDefault="002226AB" w:rsidP="00EB0D77">
      <w:pPr>
        <w:ind w:firstLine="720"/>
        <w:rPr>
          <w:lang w:val="en-US"/>
        </w:rPr>
      </w:pPr>
      <w:r>
        <w:rPr>
          <w:lang w:val="en-US"/>
        </w:rPr>
        <w:t xml:space="preserve">In the above graph we can see how sample size changes as a function of save percentage. </w:t>
      </w:r>
    </w:p>
    <w:p w14:paraId="4E402AA8" w14:textId="77777777" w:rsidR="00F12D67" w:rsidRDefault="00F12D67" w:rsidP="00EB0D77">
      <w:pPr>
        <w:ind w:firstLine="720"/>
        <w:rPr>
          <w:lang w:val="en-US"/>
        </w:rPr>
      </w:pPr>
    </w:p>
    <w:p w14:paraId="22CBCB1F" w14:textId="0AA3F023" w:rsidR="004E38BC" w:rsidRDefault="009B0A5D" w:rsidP="00EB0D77">
      <w:pPr>
        <w:ind w:firstLine="720"/>
        <w:rPr>
          <w:lang w:val="en-US"/>
        </w:rPr>
      </w:pPr>
      <w:r>
        <w:rPr>
          <w:lang w:val="en-US"/>
        </w:rPr>
        <w:t xml:space="preserve">To perform this </w:t>
      </w:r>
      <w:proofErr w:type="gramStart"/>
      <w:r>
        <w:rPr>
          <w:lang w:val="en-US"/>
        </w:rPr>
        <w:t>analyses</w:t>
      </w:r>
      <w:proofErr w:type="gramEnd"/>
      <w:r>
        <w:rPr>
          <w:lang w:val="en-US"/>
        </w:rPr>
        <w:t xml:space="preserve"> I first needed to know what an average save percentage and average variation of save percentage is for an NHL goalie. I began by finding every goalie that played in a game in the 2019-20 NHL season. I then removed any games where the goalie didn’t face any shots.  Since some goalies played for multiple teams, and I consider teams to be a confounding factor, I only used the data from the team where they played the most games. Finally, since I needed multiple games for each goalie to get an accurate representation of the variation in save percentage, I found the median number of games played </w:t>
      </w:r>
      <w:r w:rsidR="00EB0D77">
        <w:rPr>
          <w:lang w:val="en-US"/>
        </w:rPr>
        <w:t xml:space="preserve">(i.e. </w:t>
      </w:r>
      <w:r w:rsidR="00330384">
        <w:rPr>
          <w:lang w:val="en-US"/>
        </w:rPr>
        <w:t>26</w:t>
      </w:r>
      <w:r w:rsidR="00EB0D77">
        <w:rPr>
          <w:lang w:val="en-US"/>
        </w:rPr>
        <w:t xml:space="preserve">) </w:t>
      </w:r>
      <w:r>
        <w:rPr>
          <w:lang w:val="en-US"/>
        </w:rPr>
        <w:t>and only included goalies above the median.</w:t>
      </w:r>
      <w:r w:rsidR="00EB0D77">
        <w:rPr>
          <w:lang w:val="en-US"/>
        </w:rPr>
        <w:t xml:space="preserve"> This left 4</w:t>
      </w:r>
      <w:r w:rsidR="00330384">
        <w:rPr>
          <w:lang w:val="en-US"/>
        </w:rPr>
        <w:t>2</w:t>
      </w:r>
      <w:r w:rsidR="00EB0D77">
        <w:rPr>
          <w:lang w:val="en-US"/>
        </w:rPr>
        <w:t xml:space="preserve"> goalies included in the final analysis with a mean save percentage of 9</w:t>
      </w:r>
      <w:r w:rsidR="00330384">
        <w:rPr>
          <w:lang w:val="en-US"/>
        </w:rPr>
        <w:t>1</w:t>
      </w:r>
      <w:r w:rsidR="00EB0D77">
        <w:rPr>
          <w:lang w:val="en-US"/>
        </w:rPr>
        <w:t>.</w:t>
      </w:r>
      <w:r w:rsidR="00330384">
        <w:rPr>
          <w:lang w:val="en-US"/>
        </w:rPr>
        <w:t>1</w:t>
      </w:r>
      <w:r w:rsidR="00EB0D77">
        <w:rPr>
          <w:lang w:val="en-US"/>
        </w:rPr>
        <w:t xml:space="preserve">% and an average save percentage standard deviation </w:t>
      </w:r>
      <w:r w:rsidR="00EB0D77">
        <w:rPr>
          <w:lang w:val="en-US"/>
        </w:rPr>
        <w:lastRenderedPageBreak/>
        <w:t xml:space="preserve">of </w:t>
      </w:r>
      <w:r w:rsidR="00330384">
        <w:rPr>
          <w:lang w:val="en-US"/>
        </w:rPr>
        <w:t>5.3</w:t>
      </w:r>
      <w:r w:rsidR="00EB0D77">
        <w:rPr>
          <w:lang w:val="en-US"/>
        </w:rPr>
        <w:t xml:space="preserve">%. From there I calculated the required sample size to achieve 80%, 85%, 90%, 95%, and 99% for save percentages 93-100%. </w:t>
      </w:r>
      <w:proofErr w:type="gramStart"/>
      <w:r w:rsidR="00BB2168">
        <w:rPr>
          <w:lang w:val="en-US"/>
        </w:rPr>
        <w:t>So</w:t>
      </w:r>
      <w:proofErr w:type="gramEnd"/>
      <w:r w:rsidR="00BB2168">
        <w:rPr>
          <w:lang w:val="en-US"/>
        </w:rPr>
        <w:t xml:space="preserve"> what’s the answer? How many games are need before we can start making conclusions about a goalie’s performance? Well, let’s </w:t>
      </w:r>
      <w:proofErr w:type="gramStart"/>
      <w:r w:rsidR="00BB2168">
        <w:rPr>
          <w:lang w:val="en-US"/>
        </w:rPr>
        <w:t>take a look</w:t>
      </w:r>
      <w:proofErr w:type="gramEnd"/>
      <w:r w:rsidR="00BB2168">
        <w:rPr>
          <w:lang w:val="en-US"/>
        </w:rPr>
        <w:t xml:space="preserve"> at the results.</w:t>
      </w:r>
    </w:p>
    <w:p w14:paraId="44C86163" w14:textId="77777777" w:rsidR="004E38BC" w:rsidRDefault="004E38BC" w:rsidP="00EB0D77">
      <w:pPr>
        <w:ind w:firstLine="720"/>
        <w:rPr>
          <w:lang w:val="en-US"/>
        </w:rPr>
      </w:pPr>
    </w:p>
    <w:p w14:paraId="1FDC2859" w14:textId="34E61150" w:rsidR="006C4896" w:rsidRDefault="00EB315A" w:rsidP="00EB0D77">
      <w:pPr>
        <w:ind w:firstLine="720"/>
        <w:rPr>
          <w:lang w:val="en-US"/>
        </w:rPr>
      </w:pPr>
      <w:r>
        <w:rPr>
          <w:lang w:val="en-US"/>
        </w:rPr>
        <w:t>Here comes the big limitation of my analysis, since I want these findings which to be used a</w:t>
      </w:r>
      <w:r w:rsidR="004E38BC">
        <w:rPr>
          <w:lang w:val="en-US"/>
        </w:rPr>
        <w:t>s a general</w:t>
      </w:r>
      <w:r>
        <w:rPr>
          <w:lang w:val="en-US"/>
        </w:rPr>
        <w:t xml:space="preserve"> guide </w:t>
      </w:r>
      <w:r w:rsidR="004E38BC">
        <w:rPr>
          <w:lang w:val="en-US"/>
        </w:rPr>
        <w:t>when evaluating future goalies, I need to make some assumptions about how these future goalies are going to play.</w:t>
      </w:r>
    </w:p>
    <w:p w14:paraId="36ED1D47" w14:textId="6CA6BA92" w:rsidR="006C4896" w:rsidRDefault="006C4896" w:rsidP="009B0A5D">
      <w:pPr>
        <w:rPr>
          <w:lang w:val="en-US"/>
        </w:rPr>
      </w:pPr>
    </w:p>
    <w:p w14:paraId="1C6F82DE" w14:textId="472150B5" w:rsidR="003D6903" w:rsidRDefault="00261D04" w:rsidP="00BF7A04">
      <w:pPr>
        <w:ind w:firstLine="720"/>
        <w:rPr>
          <w:lang w:val="en-US"/>
        </w:rPr>
      </w:pPr>
      <w:r>
        <w:rPr>
          <w:lang w:val="en-US"/>
        </w:rPr>
        <w:t xml:space="preserve">What this graph is showing us is how sample size changes for different power levels and save percentages. As you might expect the better the goalie is playing (i.e. the higher the save percentage) the less games are needed to achieve a given power. Similarly, increasing the number of games played at a given save percentage will also increase power (i.e. increase our ability to identify an effect). </w:t>
      </w:r>
      <w:r w:rsidR="00EB0D77">
        <w:rPr>
          <w:lang w:val="en-US"/>
        </w:rPr>
        <w:t>We can summarize this information a more succinctly in the table below.</w:t>
      </w:r>
      <w:r w:rsidR="00563C40">
        <w:rPr>
          <w:lang w:val="en-US"/>
        </w:rPr>
        <w:t xml:space="preserve"> This table should be used as a rough guide when discussing sample size and goalie performance. Since 80% power is typical used when calculating the required sample size for scientific studies, this is the column we will focus on.</w:t>
      </w:r>
      <w:r w:rsidR="00D54451">
        <w:rPr>
          <w:lang w:val="en-US"/>
        </w:rPr>
        <w:t xml:space="preserve"> How many games are need before we can start making conclusions about a goalie’s performance? The answer is right there in the table.</w:t>
      </w:r>
      <w:r w:rsidR="00563C40">
        <w:rPr>
          <w:lang w:val="en-US"/>
        </w:rPr>
        <w:t xml:space="preserve"> A goalie needs to save 93% of shots over a 40.6 game </w:t>
      </w:r>
      <w:r w:rsidR="00D54451">
        <w:rPr>
          <w:lang w:val="en-US"/>
        </w:rPr>
        <w:t xml:space="preserve">span </w:t>
      </w:r>
      <w:r w:rsidR="00563C40">
        <w:rPr>
          <w:lang w:val="en-US"/>
        </w:rPr>
        <w:t xml:space="preserve">before we have </w:t>
      </w:r>
      <w:proofErr w:type="gramStart"/>
      <w:r w:rsidR="00563C40">
        <w:rPr>
          <w:lang w:val="en-US"/>
        </w:rPr>
        <w:t>sufficient</w:t>
      </w:r>
      <w:proofErr w:type="gramEnd"/>
      <w:r w:rsidR="00563C40">
        <w:rPr>
          <w:lang w:val="en-US"/>
        </w:rPr>
        <w:t xml:space="preserve"> sample size to start drawing conclusions about his level of play. This may seem like a lot, and it certainly is at just shy of half a seaso</w:t>
      </w:r>
      <w:r w:rsidR="00D54451">
        <w:rPr>
          <w:lang w:val="en-US"/>
        </w:rPr>
        <w:t>n, but that is exactly the point. We want a larger sample size at a high save percentage to ensure that we are confident in the conclusions we make.</w:t>
      </w:r>
      <w:r w:rsidR="0060063A">
        <w:rPr>
          <w:lang w:val="en-US"/>
        </w:rPr>
        <w:t xml:space="preserve"> In other words, if we ran a statistical comparison between a goalie who played 40.6 games at a hypothetical 93</w:t>
      </w:r>
      <w:r w:rsidR="0060063A">
        <w:rPr>
          <w:rFonts w:cstheme="minorHAnsi"/>
          <w:lang w:val="en-US"/>
        </w:rPr>
        <w:t xml:space="preserve">±6.75% save percentage </w:t>
      </w:r>
      <w:r w:rsidR="00BF7A04">
        <w:rPr>
          <w:rFonts w:cstheme="minorHAnsi"/>
          <w:lang w:val="en-US"/>
        </w:rPr>
        <w:t xml:space="preserve">vs. </w:t>
      </w:r>
      <w:r w:rsidR="0060063A">
        <w:rPr>
          <w:rFonts w:cstheme="minorHAnsi"/>
          <w:lang w:val="en-US"/>
        </w:rPr>
        <w:t>the league average of 90.3%</w:t>
      </w:r>
      <w:r w:rsidR="00BF7A04">
        <w:rPr>
          <w:rFonts w:cstheme="minorHAnsi"/>
          <w:lang w:val="en-US"/>
        </w:rPr>
        <w:t>,</w:t>
      </w:r>
      <w:r w:rsidR="0060063A">
        <w:rPr>
          <w:rFonts w:cstheme="minorHAnsi"/>
          <w:lang w:val="en-US"/>
        </w:rPr>
        <w:t xml:space="preserve"> we would have an estimated 80% probability to correctly conclude that the goalie is playing at </w:t>
      </w:r>
      <w:r w:rsidR="00BF7A04">
        <w:rPr>
          <w:rFonts w:cstheme="minorHAnsi"/>
          <w:lang w:val="en-US"/>
        </w:rPr>
        <w:t>an above</w:t>
      </w:r>
      <w:r w:rsidR="0060063A">
        <w:rPr>
          <w:rFonts w:cstheme="minorHAnsi"/>
          <w:lang w:val="en-US"/>
        </w:rPr>
        <w:t xml:space="preserve"> average </w:t>
      </w:r>
      <w:r w:rsidR="00BF7A04">
        <w:rPr>
          <w:rFonts w:cstheme="minorHAnsi"/>
          <w:lang w:val="en-US"/>
        </w:rPr>
        <w:t>level</w:t>
      </w:r>
      <w:r w:rsidR="0060063A">
        <w:rPr>
          <w:rFonts w:cstheme="minorHAnsi"/>
          <w:lang w:val="en-US"/>
        </w:rPr>
        <w:t>.</w:t>
      </w:r>
      <w:r w:rsidR="00BF7A04">
        <w:rPr>
          <w:rFonts w:cstheme="minorHAnsi"/>
          <w:lang w:val="en-US"/>
        </w:rPr>
        <w:t xml:space="preserve"> </w:t>
      </w:r>
      <w:r w:rsidR="00233DCB">
        <w:rPr>
          <w:lang w:val="en-US"/>
        </w:rPr>
        <w:t>As seen in the table, as save percentage increase sample size also decreases.</w:t>
      </w:r>
    </w:p>
    <w:tbl>
      <w:tblPr>
        <w:tblStyle w:val="TableGrid"/>
        <w:tblW w:w="9586" w:type="dxa"/>
        <w:tblLook w:val="04A0" w:firstRow="1" w:lastRow="0" w:firstColumn="1" w:lastColumn="0" w:noHBand="0" w:noVBand="1"/>
      </w:tblPr>
      <w:tblGrid>
        <w:gridCol w:w="1794"/>
        <w:gridCol w:w="1558"/>
        <w:gridCol w:w="1558"/>
        <w:gridCol w:w="1558"/>
        <w:gridCol w:w="1559"/>
        <w:gridCol w:w="1559"/>
      </w:tblGrid>
      <w:tr w:rsidR="003D6903" w14:paraId="351E7509" w14:textId="77777777" w:rsidTr="008D4935">
        <w:tc>
          <w:tcPr>
            <w:tcW w:w="1794" w:type="dxa"/>
            <w:tcBorders>
              <w:left w:val="nil"/>
              <w:bottom w:val="single" w:sz="4" w:space="0" w:color="auto"/>
              <w:right w:val="nil"/>
            </w:tcBorders>
          </w:tcPr>
          <w:p w14:paraId="76ABDA4F" w14:textId="67817EF4" w:rsidR="003D6903" w:rsidRDefault="003D6903" w:rsidP="00DD0CD7">
            <w:pPr>
              <w:rPr>
                <w:lang w:val="en-US"/>
              </w:rPr>
            </w:pPr>
          </w:p>
        </w:tc>
        <w:tc>
          <w:tcPr>
            <w:tcW w:w="7792" w:type="dxa"/>
            <w:gridSpan w:val="5"/>
            <w:tcBorders>
              <w:left w:val="nil"/>
              <w:bottom w:val="single" w:sz="4" w:space="0" w:color="auto"/>
              <w:right w:val="nil"/>
            </w:tcBorders>
          </w:tcPr>
          <w:p w14:paraId="5536DF39" w14:textId="5197EF4A" w:rsidR="003D6903" w:rsidRDefault="003D6903" w:rsidP="003D6903">
            <w:pPr>
              <w:jc w:val="center"/>
              <w:rPr>
                <w:lang w:val="en-US"/>
              </w:rPr>
            </w:pPr>
            <w:r>
              <w:rPr>
                <w:lang w:val="en-US"/>
              </w:rPr>
              <w:t>Estimated Number of Games to achieve specified power</w:t>
            </w:r>
          </w:p>
        </w:tc>
      </w:tr>
      <w:tr w:rsidR="003D6903" w14:paraId="17094D6C" w14:textId="77777777" w:rsidTr="008D4935">
        <w:tc>
          <w:tcPr>
            <w:tcW w:w="1794" w:type="dxa"/>
            <w:tcBorders>
              <w:left w:val="nil"/>
              <w:bottom w:val="single" w:sz="4" w:space="0" w:color="auto"/>
              <w:right w:val="nil"/>
            </w:tcBorders>
          </w:tcPr>
          <w:p w14:paraId="6C7CA040" w14:textId="4601727A" w:rsidR="003D6903" w:rsidRDefault="003D6903" w:rsidP="00293CF0">
            <w:pPr>
              <w:jc w:val="center"/>
              <w:rPr>
                <w:lang w:val="en-US"/>
              </w:rPr>
            </w:pPr>
            <w:r>
              <w:rPr>
                <w:lang w:val="en-US"/>
              </w:rPr>
              <w:t>Save Percentage (%)</w:t>
            </w:r>
          </w:p>
        </w:tc>
        <w:tc>
          <w:tcPr>
            <w:tcW w:w="1558" w:type="dxa"/>
            <w:tcBorders>
              <w:left w:val="nil"/>
              <w:bottom w:val="single" w:sz="4" w:space="0" w:color="auto"/>
              <w:right w:val="nil"/>
            </w:tcBorders>
          </w:tcPr>
          <w:p w14:paraId="0C2CBCEF" w14:textId="77777777" w:rsidR="003D6903" w:rsidRDefault="003D6903" w:rsidP="00293CF0">
            <w:pPr>
              <w:jc w:val="center"/>
              <w:rPr>
                <w:lang w:val="en-US"/>
              </w:rPr>
            </w:pPr>
            <w:r>
              <w:rPr>
                <w:lang w:val="en-US"/>
              </w:rPr>
              <w:t>80%</w:t>
            </w:r>
          </w:p>
          <w:p w14:paraId="041CAA1E" w14:textId="1CD4E9F3" w:rsidR="00293CF0" w:rsidRDefault="00293CF0" w:rsidP="00293CF0">
            <w:pPr>
              <w:jc w:val="center"/>
              <w:rPr>
                <w:lang w:val="en-US"/>
              </w:rPr>
            </w:pPr>
            <w:r>
              <w:rPr>
                <w:lang w:val="en-US"/>
              </w:rPr>
              <w:t>(# of games)</w:t>
            </w:r>
          </w:p>
        </w:tc>
        <w:tc>
          <w:tcPr>
            <w:tcW w:w="1558" w:type="dxa"/>
            <w:tcBorders>
              <w:left w:val="nil"/>
              <w:bottom w:val="single" w:sz="4" w:space="0" w:color="auto"/>
              <w:right w:val="nil"/>
            </w:tcBorders>
          </w:tcPr>
          <w:p w14:paraId="10199FB2" w14:textId="77777777" w:rsidR="003D6903" w:rsidRDefault="003D6903" w:rsidP="00293CF0">
            <w:pPr>
              <w:jc w:val="center"/>
              <w:rPr>
                <w:lang w:val="en-US"/>
              </w:rPr>
            </w:pPr>
            <w:r>
              <w:rPr>
                <w:lang w:val="en-US"/>
              </w:rPr>
              <w:t>85%</w:t>
            </w:r>
          </w:p>
          <w:p w14:paraId="5AB705E8" w14:textId="42103460" w:rsidR="00293CF0" w:rsidRDefault="00293CF0" w:rsidP="00293CF0">
            <w:pPr>
              <w:jc w:val="center"/>
              <w:rPr>
                <w:lang w:val="en-US"/>
              </w:rPr>
            </w:pPr>
            <w:r>
              <w:rPr>
                <w:lang w:val="en-US"/>
              </w:rPr>
              <w:t>(# of games)</w:t>
            </w:r>
          </w:p>
        </w:tc>
        <w:tc>
          <w:tcPr>
            <w:tcW w:w="1558" w:type="dxa"/>
            <w:tcBorders>
              <w:left w:val="nil"/>
              <w:bottom w:val="single" w:sz="4" w:space="0" w:color="auto"/>
              <w:right w:val="nil"/>
            </w:tcBorders>
          </w:tcPr>
          <w:p w14:paraId="1D90DAFF" w14:textId="77777777" w:rsidR="003D6903" w:rsidRDefault="003D6903" w:rsidP="00293CF0">
            <w:pPr>
              <w:jc w:val="center"/>
              <w:rPr>
                <w:lang w:val="en-US"/>
              </w:rPr>
            </w:pPr>
            <w:r>
              <w:rPr>
                <w:lang w:val="en-US"/>
              </w:rPr>
              <w:t>90%</w:t>
            </w:r>
          </w:p>
          <w:p w14:paraId="3A6A7A49" w14:textId="592E19F1" w:rsidR="00293CF0" w:rsidRDefault="00293CF0" w:rsidP="00293CF0">
            <w:pPr>
              <w:jc w:val="center"/>
              <w:rPr>
                <w:lang w:val="en-US"/>
              </w:rPr>
            </w:pPr>
            <w:r>
              <w:rPr>
                <w:lang w:val="en-US"/>
              </w:rPr>
              <w:t>(# of games)</w:t>
            </w:r>
          </w:p>
        </w:tc>
        <w:tc>
          <w:tcPr>
            <w:tcW w:w="1559" w:type="dxa"/>
            <w:tcBorders>
              <w:left w:val="nil"/>
              <w:bottom w:val="single" w:sz="4" w:space="0" w:color="auto"/>
              <w:right w:val="nil"/>
            </w:tcBorders>
          </w:tcPr>
          <w:p w14:paraId="75E5821C" w14:textId="77777777" w:rsidR="003D6903" w:rsidRDefault="003D6903" w:rsidP="00293CF0">
            <w:pPr>
              <w:jc w:val="center"/>
              <w:rPr>
                <w:lang w:val="en-US"/>
              </w:rPr>
            </w:pPr>
            <w:r>
              <w:rPr>
                <w:lang w:val="en-US"/>
              </w:rPr>
              <w:t>95%</w:t>
            </w:r>
          </w:p>
          <w:p w14:paraId="21E216AB" w14:textId="00BD56B9" w:rsidR="00293CF0" w:rsidRDefault="00293CF0" w:rsidP="00293CF0">
            <w:pPr>
              <w:jc w:val="center"/>
              <w:rPr>
                <w:lang w:val="en-US"/>
              </w:rPr>
            </w:pPr>
            <w:r>
              <w:rPr>
                <w:lang w:val="en-US"/>
              </w:rPr>
              <w:t>(# of games)</w:t>
            </w:r>
          </w:p>
        </w:tc>
        <w:tc>
          <w:tcPr>
            <w:tcW w:w="1559" w:type="dxa"/>
            <w:tcBorders>
              <w:left w:val="nil"/>
              <w:bottom w:val="single" w:sz="4" w:space="0" w:color="auto"/>
              <w:right w:val="nil"/>
            </w:tcBorders>
          </w:tcPr>
          <w:p w14:paraId="01B9B998" w14:textId="77777777" w:rsidR="003D6903" w:rsidRDefault="003D6903" w:rsidP="00293CF0">
            <w:pPr>
              <w:jc w:val="center"/>
              <w:rPr>
                <w:lang w:val="en-US"/>
              </w:rPr>
            </w:pPr>
            <w:r>
              <w:rPr>
                <w:lang w:val="en-US"/>
              </w:rPr>
              <w:t>99%</w:t>
            </w:r>
          </w:p>
          <w:p w14:paraId="798C50EB" w14:textId="4D11AE32" w:rsidR="00293CF0" w:rsidRDefault="00293CF0" w:rsidP="00293CF0">
            <w:pPr>
              <w:jc w:val="center"/>
              <w:rPr>
                <w:lang w:val="en-US"/>
              </w:rPr>
            </w:pPr>
            <w:r>
              <w:rPr>
                <w:lang w:val="en-US"/>
              </w:rPr>
              <w:t>(# of games)</w:t>
            </w:r>
          </w:p>
        </w:tc>
      </w:tr>
      <w:tr w:rsidR="00293CF0" w14:paraId="4924D99F" w14:textId="77777777" w:rsidTr="008D4935">
        <w:tc>
          <w:tcPr>
            <w:tcW w:w="1794" w:type="dxa"/>
            <w:tcBorders>
              <w:top w:val="single" w:sz="4" w:space="0" w:color="auto"/>
              <w:left w:val="nil"/>
              <w:bottom w:val="nil"/>
              <w:right w:val="nil"/>
            </w:tcBorders>
          </w:tcPr>
          <w:p w14:paraId="5AEBDA0F" w14:textId="6972011B" w:rsidR="00293CF0" w:rsidRDefault="00293CF0" w:rsidP="00293CF0">
            <w:pPr>
              <w:jc w:val="center"/>
              <w:rPr>
                <w:lang w:val="en-US"/>
              </w:rPr>
            </w:pPr>
            <w:r>
              <w:rPr>
                <w:lang w:val="en-US"/>
              </w:rPr>
              <w:t>93.0</w:t>
            </w:r>
          </w:p>
        </w:tc>
        <w:tc>
          <w:tcPr>
            <w:tcW w:w="1558" w:type="dxa"/>
            <w:tcBorders>
              <w:top w:val="single" w:sz="4" w:space="0" w:color="auto"/>
              <w:left w:val="nil"/>
              <w:bottom w:val="nil"/>
              <w:right w:val="nil"/>
            </w:tcBorders>
            <w:vAlign w:val="bottom"/>
          </w:tcPr>
          <w:p w14:paraId="251969A3" w14:textId="7B7FA594" w:rsidR="00293CF0" w:rsidRDefault="00293CF0" w:rsidP="00293CF0">
            <w:pPr>
              <w:jc w:val="center"/>
              <w:rPr>
                <w:lang w:val="en-US"/>
              </w:rPr>
            </w:pPr>
            <w:r>
              <w:rPr>
                <w:rFonts w:ascii="Calibri" w:hAnsi="Calibri" w:cs="Calibri"/>
                <w:color w:val="000000"/>
              </w:rPr>
              <w:t>40.6</w:t>
            </w:r>
          </w:p>
        </w:tc>
        <w:tc>
          <w:tcPr>
            <w:tcW w:w="1558" w:type="dxa"/>
            <w:tcBorders>
              <w:top w:val="single" w:sz="4" w:space="0" w:color="auto"/>
              <w:left w:val="nil"/>
              <w:bottom w:val="nil"/>
              <w:right w:val="nil"/>
            </w:tcBorders>
            <w:vAlign w:val="bottom"/>
          </w:tcPr>
          <w:p w14:paraId="5AF6532D" w14:textId="54BBCFF8" w:rsidR="00293CF0" w:rsidRDefault="00293CF0" w:rsidP="00293CF0">
            <w:pPr>
              <w:jc w:val="center"/>
              <w:rPr>
                <w:lang w:val="en-US"/>
              </w:rPr>
            </w:pPr>
            <w:r>
              <w:rPr>
                <w:rFonts w:ascii="Calibri" w:hAnsi="Calibri" w:cs="Calibri"/>
                <w:color w:val="000000"/>
              </w:rPr>
              <w:t>47.0</w:t>
            </w:r>
          </w:p>
        </w:tc>
        <w:tc>
          <w:tcPr>
            <w:tcW w:w="1558" w:type="dxa"/>
            <w:tcBorders>
              <w:top w:val="single" w:sz="4" w:space="0" w:color="auto"/>
              <w:left w:val="nil"/>
              <w:bottom w:val="nil"/>
              <w:right w:val="nil"/>
            </w:tcBorders>
            <w:vAlign w:val="bottom"/>
          </w:tcPr>
          <w:p w14:paraId="36E1D1B2" w14:textId="11FAEE52" w:rsidR="00293CF0" w:rsidRDefault="00293CF0" w:rsidP="00293CF0">
            <w:pPr>
              <w:jc w:val="center"/>
              <w:rPr>
                <w:lang w:val="en-US"/>
              </w:rPr>
            </w:pPr>
            <w:r>
              <w:rPr>
                <w:rFonts w:ascii="Calibri" w:hAnsi="Calibri" w:cs="Calibri"/>
                <w:color w:val="000000"/>
              </w:rPr>
              <w:t>55.7</w:t>
            </w:r>
          </w:p>
        </w:tc>
        <w:tc>
          <w:tcPr>
            <w:tcW w:w="1559" w:type="dxa"/>
            <w:tcBorders>
              <w:top w:val="single" w:sz="4" w:space="0" w:color="auto"/>
              <w:left w:val="nil"/>
              <w:bottom w:val="nil"/>
              <w:right w:val="nil"/>
            </w:tcBorders>
            <w:vAlign w:val="bottom"/>
          </w:tcPr>
          <w:p w14:paraId="1036662B" w14:textId="0656DD8D" w:rsidR="00293CF0" w:rsidRDefault="00293CF0" w:rsidP="00293CF0">
            <w:pPr>
              <w:jc w:val="center"/>
              <w:rPr>
                <w:lang w:val="en-US"/>
              </w:rPr>
            </w:pPr>
            <w:r>
              <w:rPr>
                <w:rFonts w:ascii="Calibri" w:hAnsi="Calibri" w:cs="Calibri"/>
                <w:color w:val="000000"/>
              </w:rPr>
              <w:t>70.1</w:t>
            </w:r>
          </w:p>
        </w:tc>
        <w:tc>
          <w:tcPr>
            <w:tcW w:w="1559" w:type="dxa"/>
            <w:tcBorders>
              <w:top w:val="single" w:sz="4" w:space="0" w:color="auto"/>
              <w:left w:val="nil"/>
              <w:bottom w:val="nil"/>
              <w:right w:val="nil"/>
            </w:tcBorders>
            <w:vAlign w:val="bottom"/>
          </w:tcPr>
          <w:p w14:paraId="11FA448F" w14:textId="6329FD38" w:rsidR="00293CF0" w:rsidRDefault="00293CF0" w:rsidP="00293CF0">
            <w:pPr>
              <w:jc w:val="center"/>
              <w:rPr>
                <w:lang w:val="en-US"/>
              </w:rPr>
            </w:pPr>
            <w:r>
              <w:rPr>
                <w:rFonts w:ascii="Calibri" w:hAnsi="Calibri" w:cs="Calibri"/>
                <w:color w:val="000000"/>
              </w:rPr>
              <w:t>101.5</w:t>
            </w:r>
          </w:p>
        </w:tc>
      </w:tr>
      <w:tr w:rsidR="00293CF0" w14:paraId="37065A9B" w14:textId="77777777" w:rsidTr="008D4935">
        <w:tc>
          <w:tcPr>
            <w:tcW w:w="1794" w:type="dxa"/>
            <w:tcBorders>
              <w:top w:val="nil"/>
              <w:left w:val="nil"/>
              <w:bottom w:val="nil"/>
              <w:right w:val="nil"/>
            </w:tcBorders>
          </w:tcPr>
          <w:p w14:paraId="3C803AA7" w14:textId="62BA3CA9" w:rsidR="00293CF0" w:rsidRDefault="00293CF0" w:rsidP="00293CF0">
            <w:pPr>
              <w:jc w:val="center"/>
              <w:rPr>
                <w:lang w:val="en-US"/>
              </w:rPr>
            </w:pPr>
            <w:r>
              <w:rPr>
                <w:lang w:val="en-US"/>
              </w:rPr>
              <w:t>94.0</w:t>
            </w:r>
          </w:p>
        </w:tc>
        <w:tc>
          <w:tcPr>
            <w:tcW w:w="1558" w:type="dxa"/>
            <w:tcBorders>
              <w:top w:val="nil"/>
              <w:left w:val="nil"/>
              <w:bottom w:val="nil"/>
              <w:right w:val="nil"/>
            </w:tcBorders>
            <w:vAlign w:val="bottom"/>
          </w:tcPr>
          <w:p w14:paraId="1E56FD86" w14:textId="2DC73052" w:rsidR="00293CF0" w:rsidRDefault="00293CF0" w:rsidP="00293CF0">
            <w:pPr>
              <w:jc w:val="center"/>
              <w:rPr>
                <w:lang w:val="en-US"/>
              </w:rPr>
            </w:pPr>
            <w:r>
              <w:rPr>
                <w:rFonts w:ascii="Calibri" w:hAnsi="Calibri" w:cs="Calibri"/>
                <w:color w:val="000000"/>
              </w:rPr>
              <w:t>22.2</w:t>
            </w:r>
          </w:p>
        </w:tc>
        <w:tc>
          <w:tcPr>
            <w:tcW w:w="1558" w:type="dxa"/>
            <w:tcBorders>
              <w:top w:val="nil"/>
              <w:left w:val="nil"/>
              <w:bottom w:val="nil"/>
              <w:right w:val="nil"/>
            </w:tcBorders>
            <w:vAlign w:val="bottom"/>
          </w:tcPr>
          <w:p w14:paraId="0A48C3E4" w14:textId="7D68397A" w:rsidR="00293CF0" w:rsidRDefault="00293CF0" w:rsidP="00293CF0">
            <w:pPr>
              <w:jc w:val="center"/>
              <w:rPr>
                <w:lang w:val="en-US"/>
              </w:rPr>
            </w:pPr>
            <w:r>
              <w:rPr>
                <w:rFonts w:ascii="Calibri" w:hAnsi="Calibri" w:cs="Calibri"/>
                <w:color w:val="000000"/>
              </w:rPr>
              <w:t>25.6</w:t>
            </w:r>
          </w:p>
        </w:tc>
        <w:tc>
          <w:tcPr>
            <w:tcW w:w="1558" w:type="dxa"/>
            <w:tcBorders>
              <w:top w:val="nil"/>
              <w:left w:val="nil"/>
              <w:bottom w:val="nil"/>
              <w:right w:val="nil"/>
            </w:tcBorders>
            <w:vAlign w:val="bottom"/>
          </w:tcPr>
          <w:p w14:paraId="248FBCE0" w14:textId="1D4548EB" w:rsidR="00293CF0" w:rsidRDefault="00293CF0" w:rsidP="00293CF0">
            <w:pPr>
              <w:jc w:val="center"/>
              <w:rPr>
                <w:lang w:val="en-US"/>
              </w:rPr>
            </w:pPr>
            <w:r>
              <w:rPr>
                <w:rFonts w:ascii="Calibri" w:hAnsi="Calibri" w:cs="Calibri"/>
                <w:color w:val="000000"/>
              </w:rPr>
              <w:t>30.2</w:t>
            </w:r>
          </w:p>
        </w:tc>
        <w:tc>
          <w:tcPr>
            <w:tcW w:w="1559" w:type="dxa"/>
            <w:tcBorders>
              <w:top w:val="nil"/>
              <w:left w:val="nil"/>
              <w:bottom w:val="nil"/>
              <w:right w:val="nil"/>
            </w:tcBorders>
            <w:vAlign w:val="bottom"/>
          </w:tcPr>
          <w:p w14:paraId="394D95F2" w14:textId="5E7A3094" w:rsidR="00293CF0" w:rsidRDefault="00293CF0" w:rsidP="00293CF0">
            <w:pPr>
              <w:jc w:val="center"/>
              <w:rPr>
                <w:lang w:val="en-US"/>
              </w:rPr>
            </w:pPr>
            <w:r>
              <w:rPr>
                <w:rFonts w:ascii="Calibri" w:hAnsi="Calibri" w:cs="Calibri"/>
                <w:color w:val="000000"/>
              </w:rPr>
              <w:t>37.8</w:t>
            </w:r>
          </w:p>
        </w:tc>
        <w:tc>
          <w:tcPr>
            <w:tcW w:w="1559" w:type="dxa"/>
            <w:tcBorders>
              <w:top w:val="nil"/>
              <w:left w:val="nil"/>
              <w:bottom w:val="nil"/>
              <w:right w:val="nil"/>
            </w:tcBorders>
            <w:vAlign w:val="bottom"/>
          </w:tcPr>
          <w:p w14:paraId="707E4412" w14:textId="60B8BE14" w:rsidR="00293CF0" w:rsidRDefault="00293CF0" w:rsidP="00293CF0">
            <w:pPr>
              <w:jc w:val="center"/>
              <w:rPr>
                <w:lang w:val="en-US"/>
              </w:rPr>
            </w:pPr>
            <w:r>
              <w:rPr>
                <w:rFonts w:ascii="Calibri" w:hAnsi="Calibri" w:cs="Calibri"/>
                <w:color w:val="000000"/>
              </w:rPr>
              <w:t>54.5</w:t>
            </w:r>
          </w:p>
        </w:tc>
      </w:tr>
      <w:tr w:rsidR="00293CF0" w14:paraId="35FD472E" w14:textId="77777777" w:rsidTr="008D4935">
        <w:tc>
          <w:tcPr>
            <w:tcW w:w="1794" w:type="dxa"/>
            <w:tcBorders>
              <w:top w:val="nil"/>
              <w:left w:val="nil"/>
              <w:bottom w:val="nil"/>
              <w:right w:val="nil"/>
            </w:tcBorders>
          </w:tcPr>
          <w:p w14:paraId="785C5D7B" w14:textId="2E6A669A" w:rsidR="00293CF0" w:rsidRDefault="00293CF0" w:rsidP="00293CF0">
            <w:pPr>
              <w:jc w:val="center"/>
              <w:rPr>
                <w:lang w:val="en-US"/>
              </w:rPr>
            </w:pPr>
            <w:r>
              <w:rPr>
                <w:lang w:val="en-US"/>
              </w:rPr>
              <w:t>95.0</w:t>
            </w:r>
          </w:p>
        </w:tc>
        <w:tc>
          <w:tcPr>
            <w:tcW w:w="1558" w:type="dxa"/>
            <w:tcBorders>
              <w:top w:val="nil"/>
              <w:left w:val="nil"/>
              <w:bottom w:val="nil"/>
              <w:right w:val="nil"/>
            </w:tcBorders>
            <w:vAlign w:val="bottom"/>
          </w:tcPr>
          <w:p w14:paraId="0A7B2070" w14:textId="72246F70" w:rsidR="00293CF0" w:rsidRDefault="00293CF0" w:rsidP="00293CF0">
            <w:pPr>
              <w:jc w:val="center"/>
              <w:rPr>
                <w:lang w:val="en-US"/>
              </w:rPr>
            </w:pPr>
            <w:r>
              <w:rPr>
                <w:rFonts w:ascii="Calibri" w:hAnsi="Calibri" w:cs="Calibri"/>
                <w:color w:val="000000"/>
              </w:rPr>
              <w:t>14.3</w:t>
            </w:r>
          </w:p>
        </w:tc>
        <w:tc>
          <w:tcPr>
            <w:tcW w:w="1558" w:type="dxa"/>
            <w:tcBorders>
              <w:top w:val="nil"/>
              <w:left w:val="nil"/>
              <w:bottom w:val="nil"/>
              <w:right w:val="nil"/>
            </w:tcBorders>
            <w:vAlign w:val="bottom"/>
          </w:tcPr>
          <w:p w14:paraId="309819C4" w14:textId="792CF119" w:rsidR="00293CF0" w:rsidRDefault="00293CF0" w:rsidP="00293CF0">
            <w:pPr>
              <w:jc w:val="center"/>
              <w:rPr>
                <w:lang w:val="en-US"/>
              </w:rPr>
            </w:pPr>
            <w:r>
              <w:rPr>
                <w:rFonts w:ascii="Calibri" w:hAnsi="Calibri" w:cs="Calibri"/>
                <w:color w:val="000000"/>
              </w:rPr>
              <w:t>16.4</w:t>
            </w:r>
          </w:p>
        </w:tc>
        <w:tc>
          <w:tcPr>
            <w:tcW w:w="1558" w:type="dxa"/>
            <w:tcBorders>
              <w:top w:val="nil"/>
              <w:left w:val="nil"/>
              <w:bottom w:val="nil"/>
              <w:right w:val="nil"/>
            </w:tcBorders>
            <w:vAlign w:val="bottom"/>
          </w:tcPr>
          <w:p w14:paraId="56214D11" w14:textId="7AD9349F" w:rsidR="00293CF0" w:rsidRDefault="00293CF0" w:rsidP="00293CF0">
            <w:pPr>
              <w:jc w:val="center"/>
              <w:rPr>
                <w:lang w:val="en-US"/>
              </w:rPr>
            </w:pPr>
            <w:r>
              <w:rPr>
                <w:rFonts w:ascii="Calibri" w:hAnsi="Calibri" w:cs="Calibri"/>
                <w:color w:val="000000"/>
              </w:rPr>
              <w:t>19.3</w:t>
            </w:r>
          </w:p>
        </w:tc>
        <w:tc>
          <w:tcPr>
            <w:tcW w:w="1559" w:type="dxa"/>
            <w:tcBorders>
              <w:top w:val="nil"/>
              <w:left w:val="nil"/>
              <w:bottom w:val="nil"/>
              <w:right w:val="nil"/>
            </w:tcBorders>
            <w:vAlign w:val="bottom"/>
          </w:tcPr>
          <w:p w14:paraId="56966F59" w14:textId="4DFF8410" w:rsidR="00293CF0" w:rsidRDefault="00293CF0" w:rsidP="00293CF0">
            <w:pPr>
              <w:jc w:val="center"/>
              <w:rPr>
                <w:lang w:val="en-US"/>
              </w:rPr>
            </w:pPr>
            <w:r>
              <w:rPr>
                <w:rFonts w:ascii="Calibri" w:hAnsi="Calibri" w:cs="Calibri"/>
                <w:color w:val="000000"/>
              </w:rPr>
              <w:t>24.0</w:t>
            </w:r>
          </w:p>
        </w:tc>
        <w:tc>
          <w:tcPr>
            <w:tcW w:w="1559" w:type="dxa"/>
            <w:tcBorders>
              <w:top w:val="nil"/>
              <w:left w:val="nil"/>
              <w:bottom w:val="nil"/>
              <w:right w:val="nil"/>
            </w:tcBorders>
            <w:vAlign w:val="bottom"/>
          </w:tcPr>
          <w:p w14:paraId="643A91EE" w14:textId="3D914196" w:rsidR="00293CF0" w:rsidRDefault="00293CF0" w:rsidP="00293CF0">
            <w:pPr>
              <w:jc w:val="center"/>
              <w:rPr>
                <w:lang w:val="en-US"/>
              </w:rPr>
            </w:pPr>
            <w:r>
              <w:rPr>
                <w:rFonts w:ascii="Calibri" w:hAnsi="Calibri" w:cs="Calibri"/>
                <w:color w:val="000000"/>
              </w:rPr>
              <w:t>34.2</w:t>
            </w:r>
          </w:p>
        </w:tc>
      </w:tr>
      <w:tr w:rsidR="00293CF0" w14:paraId="0EF04065" w14:textId="77777777" w:rsidTr="008D4935">
        <w:tc>
          <w:tcPr>
            <w:tcW w:w="1794" w:type="dxa"/>
            <w:tcBorders>
              <w:top w:val="nil"/>
              <w:left w:val="nil"/>
              <w:bottom w:val="nil"/>
              <w:right w:val="nil"/>
            </w:tcBorders>
          </w:tcPr>
          <w:p w14:paraId="52FADF4B" w14:textId="239A400C" w:rsidR="00293CF0" w:rsidRDefault="00293CF0" w:rsidP="00293CF0">
            <w:pPr>
              <w:jc w:val="center"/>
              <w:rPr>
                <w:lang w:val="en-US"/>
              </w:rPr>
            </w:pPr>
            <w:r>
              <w:rPr>
                <w:lang w:val="en-US"/>
              </w:rPr>
              <w:t>96.0</w:t>
            </w:r>
          </w:p>
        </w:tc>
        <w:tc>
          <w:tcPr>
            <w:tcW w:w="1558" w:type="dxa"/>
            <w:tcBorders>
              <w:top w:val="nil"/>
              <w:left w:val="nil"/>
              <w:bottom w:val="nil"/>
              <w:right w:val="nil"/>
            </w:tcBorders>
            <w:vAlign w:val="bottom"/>
          </w:tcPr>
          <w:p w14:paraId="7D5529AB" w14:textId="0964A8B5" w:rsidR="00293CF0" w:rsidRDefault="00293CF0" w:rsidP="00293CF0">
            <w:pPr>
              <w:jc w:val="center"/>
              <w:rPr>
                <w:lang w:val="en-US"/>
              </w:rPr>
            </w:pPr>
            <w:r>
              <w:rPr>
                <w:rFonts w:ascii="Calibri" w:hAnsi="Calibri" w:cs="Calibri"/>
                <w:color w:val="000000"/>
              </w:rPr>
              <w:t>10.2</w:t>
            </w:r>
          </w:p>
        </w:tc>
        <w:tc>
          <w:tcPr>
            <w:tcW w:w="1558" w:type="dxa"/>
            <w:tcBorders>
              <w:top w:val="nil"/>
              <w:left w:val="nil"/>
              <w:bottom w:val="nil"/>
              <w:right w:val="nil"/>
            </w:tcBorders>
            <w:vAlign w:val="bottom"/>
          </w:tcPr>
          <w:p w14:paraId="472C74C4" w14:textId="50C0D0EA" w:rsidR="00293CF0" w:rsidRDefault="00293CF0" w:rsidP="00293CF0">
            <w:pPr>
              <w:jc w:val="center"/>
              <w:rPr>
                <w:lang w:val="en-US"/>
              </w:rPr>
            </w:pPr>
            <w:r>
              <w:rPr>
                <w:rFonts w:ascii="Calibri" w:hAnsi="Calibri" w:cs="Calibri"/>
                <w:color w:val="000000"/>
              </w:rPr>
              <w:t>11.64</w:t>
            </w:r>
          </w:p>
        </w:tc>
        <w:tc>
          <w:tcPr>
            <w:tcW w:w="1558" w:type="dxa"/>
            <w:tcBorders>
              <w:top w:val="nil"/>
              <w:left w:val="nil"/>
              <w:bottom w:val="nil"/>
              <w:right w:val="nil"/>
            </w:tcBorders>
            <w:vAlign w:val="bottom"/>
          </w:tcPr>
          <w:p w14:paraId="0F884F8F" w14:textId="09AFFD9E" w:rsidR="00293CF0" w:rsidRDefault="00293CF0" w:rsidP="00293CF0">
            <w:pPr>
              <w:jc w:val="center"/>
              <w:rPr>
                <w:lang w:val="en-US"/>
              </w:rPr>
            </w:pPr>
            <w:r>
              <w:rPr>
                <w:rFonts w:ascii="Calibri" w:hAnsi="Calibri" w:cs="Calibri"/>
                <w:color w:val="000000"/>
              </w:rPr>
              <w:t>13.6</w:t>
            </w:r>
          </w:p>
        </w:tc>
        <w:tc>
          <w:tcPr>
            <w:tcW w:w="1559" w:type="dxa"/>
            <w:tcBorders>
              <w:top w:val="nil"/>
              <w:left w:val="nil"/>
              <w:bottom w:val="nil"/>
              <w:right w:val="nil"/>
            </w:tcBorders>
            <w:vAlign w:val="bottom"/>
          </w:tcPr>
          <w:p w14:paraId="7B60D7F1" w14:textId="32B7955F" w:rsidR="00293CF0" w:rsidRDefault="00293CF0" w:rsidP="00293CF0">
            <w:pPr>
              <w:jc w:val="center"/>
              <w:rPr>
                <w:lang w:val="en-US"/>
              </w:rPr>
            </w:pPr>
            <w:r>
              <w:rPr>
                <w:rFonts w:ascii="Calibri" w:hAnsi="Calibri" w:cs="Calibri"/>
                <w:color w:val="000000"/>
              </w:rPr>
              <w:t>16.8</w:t>
            </w:r>
          </w:p>
        </w:tc>
        <w:tc>
          <w:tcPr>
            <w:tcW w:w="1559" w:type="dxa"/>
            <w:tcBorders>
              <w:top w:val="nil"/>
              <w:left w:val="nil"/>
              <w:bottom w:val="nil"/>
              <w:right w:val="nil"/>
            </w:tcBorders>
            <w:vAlign w:val="bottom"/>
          </w:tcPr>
          <w:p w14:paraId="4D494531" w14:textId="48D85411" w:rsidR="00293CF0" w:rsidRDefault="00293CF0" w:rsidP="00293CF0">
            <w:pPr>
              <w:jc w:val="center"/>
              <w:rPr>
                <w:lang w:val="en-US"/>
              </w:rPr>
            </w:pPr>
            <w:r>
              <w:rPr>
                <w:rFonts w:ascii="Calibri" w:hAnsi="Calibri" w:cs="Calibri"/>
                <w:color w:val="000000"/>
              </w:rPr>
              <w:t>23.7</w:t>
            </w:r>
          </w:p>
        </w:tc>
      </w:tr>
      <w:tr w:rsidR="00293CF0" w14:paraId="247716B5" w14:textId="77777777" w:rsidTr="008D4935">
        <w:tc>
          <w:tcPr>
            <w:tcW w:w="1794" w:type="dxa"/>
            <w:tcBorders>
              <w:top w:val="nil"/>
              <w:left w:val="nil"/>
              <w:bottom w:val="nil"/>
              <w:right w:val="nil"/>
            </w:tcBorders>
          </w:tcPr>
          <w:p w14:paraId="23E41903" w14:textId="56EBE987" w:rsidR="00293CF0" w:rsidRDefault="00293CF0" w:rsidP="00293CF0">
            <w:pPr>
              <w:jc w:val="center"/>
              <w:rPr>
                <w:lang w:val="en-US"/>
              </w:rPr>
            </w:pPr>
            <w:r>
              <w:rPr>
                <w:lang w:val="en-US"/>
              </w:rPr>
              <w:t>97.0</w:t>
            </w:r>
          </w:p>
        </w:tc>
        <w:tc>
          <w:tcPr>
            <w:tcW w:w="1558" w:type="dxa"/>
            <w:tcBorders>
              <w:top w:val="nil"/>
              <w:left w:val="nil"/>
              <w:bottom w:val="nil"/>
              <w:right w:val="nil"/>
            </w:tcBorders>
            <w:vAlign w:val="bottom"/>
          </w:tcPr>
          <w:p w14:paraId="00A05C77" w14:textId="500B7BB5" w:rsidR="00293CF0" w:rsidRDefault="00293CF0" w:rsidP="00293CF0">
            <w:pPr>
              <w:jc w:val="center"/>
              <w:rPr>
                <w:lang w:val="en-US"/>
              </w:rPr>
            </w:pPr>
            <w:r>
              <w:rPr>
                <w:rFonts w:ascii="Calibri" w:hAnsi="Calibri" w:cs="Calibri"/>
                <w:color w:val="000000"/>
              </w:rPr>
              <w:t>7.86</w:t>
            </w:r>
          </w:p>
        </w:tc>
        <w:tc>
          <w:tcPr>
            <w:tcW w:w="1558" w:type="dxa"/>
            <w:tcBorders>
              <w:top w:val="nil"/>
              <w:left w:val="nil"/>
              <w:bottom w:val="nil"/>
              <w:right w:val="nil"/>
            </w:tcBorders>
            <w:vAlign w:val="bottom"/>
          </w:tcPr>
          <w:p w14:paraId="2307F994" w14:textId="4918A00C" w:rsidR="00293CF0" w:rsidRDefault="00293CF0" w:rsidP="00293CF0">
            <w:pPr>
              <w:jc w:val="center"/>
              <w:rPr>
                <w:lang w:val="en-US"/>
              </w:rPr>
            </w:pPr>
            <w:r>
              <w:rPr>
                <w:rFonts w:ascii="Calibri" w:hAnsi="Calibri" w:cs="Calibri"/>
                <w:color w:val="000000"/>
              </w:rPr>
              <w:t>8.88</w:t>
            </w:r>
          </w:p>
        </w:tc>
        <w:tc>
          <w:tcPr>
            <w:tcW w:w="1558" w:type="dxa"/>
            <w:tcBorders>
              <w:top w:val="nil"/>
              <w:left w:val="nil"/>
              <w:bottom w:val="nil"/>
              <w:right w:val="nil"/>
            </w:tcBorders>
            <w:vAlign w:val="bottom"/>
          </w:tcPr>
          <w:p w14:paraId="03FE6D06" w14:textId="50AB4210" w:rsidR="00293CF0" w:rsidRDefault="00293CF0" w:rsidP="00293CF0">
            <w:pPr>
              <w:jc w:val="center"/>
              <w:rPr>
                <w:lang w:val="en-US"/>
              </w:rPr>
            </w:pPr>
            <w:r>
              <w:rPr>
                <w:rFonts w:ascii="Calibri" w:hAnsi="Calibri" w:cs="Calibri"/>
                <w:color w:val="000000"/>
              </w:rPr>
              <w:t>10.3</w:t>
            </w:r>
          </w:p>
        </w:tc>
        <w:tc>
          <w:tcPr>
            <w:tcW w:w="1559" w:type="dxa"/>
            <w:tcBorders>
              <w:top w:val="nil"/>
              <w:left w:val="nil"/>
              <w:bottom w:val="nil"/>
              <w:right w:val="nil"/>
            </w:tcBorders>
            <w:vAlign w:val="bottom"/>
          </w:tcPr>
          <w:p w14:paraId="52A93E62" w14:textId="5D0973C9" w:rsidR="00293CF0" w:rsidRDefault="00293CF0" w:rsidP="00293CF0">
            <w:pPr>
              <w:jc w:val="center"/>
              <w:rPr>
                <w:lang w:val="en-US"/>
              </w:rPr>
            </w:pPr>
            <w:r>
              <w:rPr>
                <w:rFonts w:ascii="Calibri" w:hAnsi="Calibri" w:cs="Calibri"/>
                <w:color w:val="000000"/>
              </w:rPr>
              <w:t>12.6</w:t>
            </w:r>
          </w:p>
        </w:tc>
        <w:tc>
          <w:tcPr>
            <w:tcW w:w="1559" w:type="dxa"/>
            <w:tcBorders>
              <w:top w:val="nil"/>
              <w:left w:val="nil"/>
              <w:bottom w:val="nil"/>
              <w:right w:val="nil"/>
            </w:tcBorders>
            <w:vAlign w:val="bottom"/>
          </w:tcPr>
          <w:p w14:paraId="41CB0477" w14:textId="4EC9948D" w:rsidR="00293CF0" w:rsidRDefault="00293CF0" w:rsidP="00293CF0">
            <w:pPr>
              <w:jc w:val="center"/>
              <w:rPr>
                <w:lang w:val="en-US"/>
              </w:rPr>
            </w:pPr>
            <w:r>
              <w:rPr>
                <w:rFonts w:ascii="Calibri" w:hAnsi="Calibri" w:cs="Calibri"/>
                <w:color w:val="000000"/>
              </w:rPr>
              <w:t>17.</w:t>
            </w:r>
            <w:r w:rsidR="008D4935">
              <w:rPr>
                <w:rFonts w:ascii="Calibri" w:hAnsi="Calibri" w:cs="Calibri"/>
                <w:color w:val="000000"/>
              </w:rPr>
              <w:t>6</w:t>
            </w:r>
          </w:p>
        </w:tc>
      </w:tr>
      <w:tr w:rsidR="00293CF0" w14:paraId="428FF9C3" w14:textId="77777777" w:rsidTr="008D4935">
        <w:tc>
          <w:tcPr>
            <w:tcW w:w="1794" w:type="dxa"/>
            <w:tcBorders>
              <w:top w:val="nil"/>
              <w:left w:val="nil"/>
              <w:bottom w:val="nil"/>
              <w:right w:val="nil"/>
            </w:tcBorders>
          </w:tcPr>
          <w:p w14:paraId="27F0FAD4" w14:textId="1A2254B1" w:rsidR="00293CF0" w:rsidRDefault="00293CF0" w:rsidP="00293CF0">
            <w:pPr>
              <w:jc w:val="center"/>
              <w:rPr>
                <w:lang w:val="en-US"/>
              </w:rPr>
            </w:pPr>
            <w:r>
              <w:rPr>
                <w:lang w:val="en-US"/>
              </w:rPr>
              <w:t>98.0</w:t>
            </w:r>
          </w:p>
        </w:tc>
        <w:tc>
          <w:tcPr>
            <w:tcW w:w="1558" w:type="dxa"/>
            <w:tcBorders>
              <w:top w:val="nil"/>
              <w:left w:val="nil"/>
              <w:bottom w:val="nil"/>
              <w:right w:val="nil"/>
            </w:tcBorders>
            <w:vAlign w:val="bottom"/>
          </w:tcPr>
          <w:p w14:paraId="62D34F70" w14:textId="3BABC3FA" w:rsidR="00293CF0" w:rsidRDefault="00293CF0" w:rsidP="00293CF0">
            <w:pPr>
              <w:jc w:val="center"/>
              <w:rPr>
                <w:lang w:val="en-US"/>
              </w:rPr>
            </w:pPr>
            <w:r>
              <w:rPr>
                <w:rFonts w:ascii="Calibri" w:hAnsi="Calibri" w:cs="Calibri"/>
                <w:color w:val="000000"/>
              </w:rPr>
              <w:t>6.37</w:t>
            </w:r>
          </w:p>
        </w:tc>
        <w:tc>
          <w:tcPr>
            <w:tcW w:w="1558" w:type="dxa"/>
            <w:tcBorders>
              <w:top w:val="nil"/>
              <w:left w:val="nil"/>
              <w:bottom w:val="nil"/>
              <w:right w:val="nil"/>
            </w:tcBorders>
            <w:vAlign w:val="bottom"/>
          </w:tcPr>
          <w:p w14:paraId="5F9B63E9" w14:textId="47344B6E" w:rsidR="00293CF0" w:rsidRDefault="00293CF0" w:rsidP="00293CF0">
            <w:pPr>
              <w:jc w:val="center"/>
              <w:rPr>
                <w:lang w:val="en-US"/>
              </w:rPr>
            </w:pPr>
            <w:r>
              <w:rPr>
                <w:rFonts w:ascii="Calibri" w:hAnsi="Calibri" w:cs="Calibri"/>
                <w:color w:val="000000"/>
              </w:rPr>
              <w:t>7.13</w:t>
            </w:r>
          </w:p>
        </w:tc>
        <w:tc>
          <w:tcPr>
            <w:tcW w:w="1558" w:type="dxa"/>
            <w:tcBorders>
              <w:top w:val="nil"/>
              <w:left w:val="nil"/>
              <w:bottom w:val="nil"/>
              <w:right w:val="nil"/>
            </w:tcBorders>
            <w:vAlign w:val="bottom"/>
          </w:tcPr>
          <w:p w14:paraId="6754D4E2" w14:textId="50674F2F" w:rsidR="00293CF0" w:rsidRDefault="00293CF0" w:rsidP="00293CF0">
            <w:pPr>
              <w:jc w:val="center"/>
              <w:rPr>
                <w:lang w:val="en-US"/>
              </w:rPr>
            </w:pPr>
            <w:r>
              <w:rPr>
                <w:rFonts w:ascii="Calibri" w:hAnsi="Calibri" w:cs="Calibri"/>
                <w:color w:val="000000"/>
              </w:rPr>
              <w:t>8.18</w:t>
            </w:r>
          </w:p>
        </w:tc>
        <w:tc>
          <w:tcPr>
            <w:tcW w:w="1559" w:type="dxa"/>
            <w:tcBorders>
              <w:top w:val="nil"/>
              <w:left w:val="nil"/>
              <w:bottom w:val="nil"/>
              <w:right w:val="nil"/>
            </w:tcBorders>
            <w:vAlign w:val="bottom"/>
          </w:tcPr>
          <w:p w14:paraId="3C77C9E1" w14:textId="31DD8AEF" w:rsidR="00293CF0" w:rsidRDefault="00293CF0" w:rsidP="00293CF0">
            <w:pPr>
              <w:jc w:val="center"/>
              <w:rPr>
                <w:lang w:val="en-US"/>
              </w:rPr>
            </w:pPr>
            <w:r>
              <w:rPr>
                <w:rFonts w:ascii="Calibri" w:hAnsi="Calibri" w:cs="Calibri"/>
                <w:color w:val="000000"/>
              </w:rPr>
              <w:t>9.9</w:t>
            </w:r>
          </w:p>
        </w:tc>
        <w:tc>
          <w:tcPr>
            <w:tcW w:w="1559" w:type="dxa"/>
            <w:tcBorders>
              <w:top w:val="nil"/>
              <w:left w:val="nil"/>
              <w:bottom w:val="nil"/>
              <w:right w:val="nil"/>
            </w:tcBorders>
            <w:vAlign w:val="bottom"/>
          </w:tcPr>
          <w:p w14:paraId="5A88862B" w14:textId="1F857435" w:rsidR="00293CF0" w:rsidRDefault="00293CF0" w:rsidP="00293CF0">
            <w:pPr>
              <w:jc w:val="center"/>
              <w:rPr>
                <w:lang w:val="en-US"/>
              </w:rPr>
            </w:pPr>
            <w:r>
              <w:rPr>
                <w:rFonts w:ascii="Calibri" w:hAnsi="Calibri" w:cs="Calibri"/>
                <w:color w:val="000000"/>
              </w:rPr>
              <w:t>13.</w:t>
            </w:r>
            <w:r w:rsidR="008D4935">
              <w:rPr>
                <w:rFonts w:ascii="Calibri" w:hAnsi="Calibri" w:cs="Calibri"/>
                <w:color w:val="000000"/>
              </w:rPr>
              <w:t>7</w:t>
            </w:r>
          </w:p>
        </w:tc>
      </w:tr>
      <w:tr w:rsidR="00293CF0" w14:paraId="6BB2D24E" w14:textId="77777777" w:rsidTr="008D4935">
        <w:tc>
          <w:tcPr>
            <w:tcW w:w="1794" w:type="dxa"/>
            <w:tcBorders>
              <w:top w:val="nil"/>
              <w:left w:val="nil"/>
              <w:bottom w:val="nil"/>
              <w:right w:val="nil"/>
            </w:tcBorders>
          </w:tcPr>
          <w:p w14:paraId="0B1559C7" w14:textId="260F1DF8" w:rsidR="00293CF0" w:rsidRDefault="00293CF0" w:rsidP="00293CF0">
            <w:pPr>
              <w:jc w:val="center"/>
              <w:rPr>
                <w:lang w:val="en-US"/>
              </w:rPr>
            </w:pPr>
            <w:r>
              <w:rPr>
                <w:lang w:val="en-US"/>
              </w:rPr>
              <w:t>99.0</w:t>
            </w:r>
          </w:p>
        </w:tc>
        <w:tc>
          <w:tcPr>
            <w:tcW w:w="1558" w:type="dxa"/>
            <w:tcBorders>
              <w:top w:val="nil"/>
              <w:left w:val="nil"/>
              <w:bottom w:val="nil"/>
              <w:right w:val="nil"/>
            </w:tcBorders>
            <w:vAlign w:val="bottom"/>
          </w:tcPr>
          <w:p w14:paraId="4D21D539" w14:textId="3C6B3F91" w:rsidR="00293CF0" w:rsidRDefault="00293CF0" w:rsidP="00293CF0">
            <w:pPr>
              <w:jc w:val="center"/>
              <w:rPr>
                <w:lang w:val="en-US"/>
              </w:rPr>
            </w:pPr>
            <w:r>
              <w:rPr>
                <w:rFonts w:ascii="Calibri" w:hAnsi="Calibri" w:cs="Calibri"/>
                <w:color w:val="000000"/>
              </w:rPr>
              <w:t>5.38</w:t>
            </w:r>
          </w:p>
        </w:tc>
        <w:tc>
          <w:tcPr>
            <w:tcW w:w="1558" w:type="dxa"/>
            <w:tcBorders>
              <w:top w:val="nil"/>
              <w:left w:val="nil"/>
              <w:bottom w:val="nil"/>
              <w:right w:val="nil"/>
            </w:tcBorders>
            <w:vAlign w:val="bottom"/>
          </w:tcPr>
          <w:p w14:paraId="25FDD2CF" w14:textId="3D01DB0C" w:rsidR="00293CF0" w:rsidRDefault="00293CF0" w:rsidP="00293CF0">
            <w:pPr>
              <w:jc w:val="center"/>
              <w:rPr>
                <w:lang w:val="en-US"/>
              </w:rPr>
            </w:pPr>
            <w:r>
              <w:rPr>
                <w:rFonts w:ascii="Calibri" w:hAnsi="Calibri" w:cs="Calibri"/>
                <w:color w:val="000000"/>
              </w:rPr>
              <w:t>5.97</w:t>
            </w:r>
          </w:p>
        </w:tc>
        <w:tc>
          <w:tcPr>
            <w:tcW w:w="1558" w:type="dxa"/>
            <w:tcBorders>
              <w:top w:val="nil"/>
              <w:left w:val="nil"/>
              <w:bottom w:val="nil"/>
              <w:right w:val="nil"/>
            </w:tcBorders>
            <w:vAlign w:val="bottom"/>
          </w:tcPr>
          <w:p w14:paraId="158D26A5" w14:textId="3D6C9546" w:rsidR="00293CF0" w:rsidRDefault="00293CF0" w:rsidP="00293CF0">
            <w:pPr>
              <w:jc w:val="center"/>
              <w:rPr>
                <w:lang w:val="en-US"/>
              </w:rPr>
            </w:pPr>
            <w:r>
              <w:rPr>
                <w:rFonts w:ascii="Calibri" w:hAnsi="Calibri" w:cs="Calibri"/>
                <w:color w:val="000000"/>
              </w:rPr>
              <w:t>6.79</w:t>
            </w:r>
          </w:p>
        </w:tc>
        <w:tc>
          <w:tcPr>
            <w:tcW w:w="1559" w:type="dxa"/>
            <w:tcBorders>
              <w:top w:val="nil"/>
              <w:left w:val="nil"/>
              <w:bottom w:val="nil"/>
              <w:right w:val="nil"/>
            </w:tcBorders>
            <w:vAlign w:val="bottom"/>
          </w:tcPr>
          <w:p w14:paraId="63103A71" w14:textId="1A73C837" w:rsidR="00293CF0" w:rsidRDefault="00293CF0" w:rsidP="00293CF0">
            <w:pPr>
              <w:jc w:val="center"/>
              <w:rPr>
                <w:lang w:val="en-US"/>
              </w:rPr>
            </w:pPr>
            <w:r>
              <w:rPr>
                <w:rFonts w:ascii="Calibri" w:hAnsi="Calibri" w:cs="Calibri"/>
                <w:color w:val="000000"/>
              </w:rPr>
              <w:t>8.13</w:t>
            </w:r>
          </w:p>
        </w:tc>
        <w:tc>
          <w:tcPr>
            <w:tcW w:w="1559" w:type="dxa"/>
            <w:tcBorders>
              <w:top w:val="nil"/>
              <w:left w:val="nil"/>
              <w:bottom w:val="nil"/>
              <w:right w:val="nil"/>
            </w:tcBorders>
            <w:vAlign w:val="bottom"/>
          </w:tcPr>
          <w:p w14:paraId="009EEB3A" w14:textId="558632EE" w:rsidR="00293CF0" w:rsidRDefault="00293CF0" w:rsidP="00293CF0">
            <w:pPr>
              <w:jc w:val="center"/>
              <w:rPr>
                <w:lang w:val="en-US"/>
              </w:rPr>
            </w:pPr>
            <w:r>
              <w:rPr>
                <w:rFonts w:ascii="Calibri" w:hAnsi="Calibri" w:cs="Calibri"/>
                <w:color w:val="000000"/>
              </w:rPr>
              <w:t>11.</w:t>
            </w:r>
            <w:r w:rsidR="008D4935">
              <w:rPr>
                <w:rFonts w:ascii="Calibri" w:hAnsi="Calibri" w:cs="Calibri"/>
                <w:color w:val="000000"/>
              </w:rPr>
              <w:t>1</w:t>
            </w:r>
          </w:p>
        </w:tc>
      </w:tr>
      <w:tr w:rsidR="00293CF0" w14:paraId="6C16DD2A" w14:textId="77777777" w:rsidTr="008D4935">
        <w:tc>
          <w:tcPr>
            <w:tcW w:w="1794" w:type="dxa"/>
            <w:tcBorders>
              <w:top w:val="nil"/>
              <w:left w:val="nil"/>
              <w:bottom w:val="single" w:sz="4" w:space="0" w:color="auto"/>
              <w:right w:val="nil"/>
            </w:tcBorders>
          </w:tcPr>
          <w:p w14:paraId="19089382" w14:textId="553A1CEF" w:rsidR="00293CF0" w:rsidRDefault="00293CF0" w:rsidP="00293CF0">
            <w:pPr>
              <w:jc w:val="center"/>
              <w:rPr>
                <w:lang w:val="en-US"/>
              </w:rPr>
            </w:pPr>
            <w:r>
              <w:rPr>
                <w:lang w:val="en-US"/>
              </w:rPr>
              <w:t>100.0</w:t>
            </w:r>
          </w:p>
        </w:tc>
        <w:tc>
          <w:tcPr>
            <w:tcW w:w="1558" w:type="dxa"/>
            <w:tcBorders>
              <w:top w:val="nil"/>
              <w:left w:val="nil"/>
              <w:bottom w:val="single" w:sz="4" w:space="0" w:color="auto"/>
              <w:right w:val="nil"/>
            </w:tcBorders>
            <w:vAlign w:val="bottom"/>
          </w:tcPr>
          <w:p w14:paraId="790F9267" w14:textId="7972817A" w:rsidR="00293CF0" w:rsidRDefault="00293CF0" w:rsidP="00293CF0">
            <w:pPr>
              <w:jc w:val="center"/>
              <w:rPr>
                <w:lang w:val="en-US"/>
              </w:rPr>
            </w:pPr>
            <w:r>
              <w:rPr>
                <w:rFonts w:ascii="Calibri" w:hAnsi="Calibri" w:cs="Calibri"/>
                <w:color w:val="000000"/>
              </w:rPr>
              <w:t>4.68</w:t>
            </w:r>
          </w:p>
        </w:tc>
        <w:tc>
          <w:tcPr>
            <w:tcW w:w="1558" w:type="dxa"/>
            <w:tcBorders>
              <w:top w:val="nil"/>
              <w:left w:val="nil"/>
              <w:bottom w:val="single" w:sz="4" w:space="0" w:color="auto"/>
              <w:right w:val="nil"/>
            </w:tcBorders>
            <w:vAlign w:val="bottom"/>
          </w:tcPr>
          <w:p w14:paraId="657071C0" w14:textId="38DE236D" w:rsidR="00293CF0" w:rsidRDefault="00293CF0" w:rsidP="00293CF0">
            <w:pPr>
              <w:jc w:val="center"/>
              <w:rPr>
                <w:lang w:val="en-US"/>
              </w:rPr>
            </w:pPr>
            <w:r>
              <w:rPr>
                <w:rFonts w:ascii="Calibri" w:hAnsi="Calibri" w:cs="Calibri"/>
                <w:color w:val="000000"/>
              </w:rPr>
              <w:t>5.16</w:t>
            </w:r>
          </w:p>
        </w:tc>
        <w:tc>
          <w:tcPr>
            <w:tcW w:w="1558" w:type="dxa"/>
            <w:tcBorders>
              <w:top w:val="nil"/>
              <w:left w:val="nil"/>
              <w:bottom w:val="single" w:sz="4" w:space="0" w:color="auto"/>
              <w:right w:val="nil"/>
            </w:tcBorders>
            <w:vAlign w:val="bottom"/>
          </w:tcPr>
          <w:p w14:paraId="25C8C82A" w14:textId="09A7787F" w:rsidR="00293CF0" w:rsidRDefault="00293CF0" w:rsidP="00293CF0">
            <w:pPr>
              <w:jc w:val="center"/>
              <w:rPr>
                <w:lang w:val="en-US"/>
              </w:rPr>
            </w:pPr>
            <w:r>
              <w:rPr>
                <w:rFonts w:ascii="Calibri" w:hAnsi="Calibri" w:cs="Calibri"/>
                <w:color w:val="000000"/>
              </w:rPr>
              <w:t>5.81</w:t>
            </w:r>
          </w:p>
        </w:tc>
        <w:tc>
          <w:tcPr>
            <w:tcW w:w="1559" w:type="dxa"/>
            <w:tcBorders>
              <w:top w:val="nil"/>
              <w:left w:val="nil"/>
              <w:bottom w:val="single" w:sz="4" w:space="0" w:color="auto"/>
              <w:right w:val="nil"/>
            </w:tcBorders>
            <w:vAlign w:val="bottom"/>
          </w:tcPr>
          <w:p w14:paraId="22B3BEF0" w14:textId="6D6B29B8" w:rsidR="00293CF0" w:rsidRDefault="00293CF0" w:rsidP="00293CF0">
            <w:pPr>
              <w:jc w:val="center"/>
              <w:rPr>
                <w:lang w:val="en-US"/>
              </w:rPr>
            </w:pPr>
            <w:r>
              <w:rPr>
                <w:rFonts w:ascii="Calibri" w:hAnsi="Calibri" w:cs="Calibri"/>
                <w:color w:val="000000"/>
              </w:rPr>
              <w:t>6.89</w:t>
            </w:r>
          </w:p>
        </w:tc>
        <w:tc>
          <w:tcPr>
            <w:tcW w:w="1559" w:type="dxa"/>
            <w:tcBorders>
              <w:top w:val="nil"/>
              <w:left w:val="nil"/>
              <w:bottom w:val="single" w:sz="4" w:space="0" w:color="auto"/>
              <w:right w:val="nil"/>
            </w:tcBorders>
            <w:vAlign w:val="bottom"/>
          </w:tcPr>
          <w:p w14:paraId="64B0C232" w14:textId="393DF320" w:rsidR="00293CF0" w:rsidRDefault="00293CF0" w:rsidP="00293CF0">
            <w:pPr>
              <w:jc w:val="center"/>
              <w:rPr>
                <w:lang w:val="en-US"/>
              </w:rPr>
            </w:pPr>
            <w:r>
              <w:rPr>
                <w:rFonts w:ascii="Calibri" w:hAnsi="Calibri" w:cs="Calibri"/>
                <w:color w:val="000000"/>
              </w:rPr>
              <w:t>9.2</w:t>
            </w:r>
            <w:r w:rsidR="008D4935">
              <w:rPr>
                <w:rFonts w:ascii="Calibri" w:hAnsi="Calibri" w:cs="Calibri"/>
                <w:color w:val="000000"/>
              </w:rPr>
              <w:t>6</w:t>
            </w:r>
          </w:p>
        </w:tc>
      </w:tr>
    </w:tbl>
    <w:p w14:paraId="6F4FCEB6" w14:textId="77777777" w:rsidR="003D6903" w:rsidRDefault="003D6903" w:rsidP="00DD0CD7">
      <w:pPr>
        <w:rPr>
          <w:lang w:val="en-US"/>
        </w:rPr>
      </w:pPr>
    </w:p>
    <w:p w14:paraId="7F831995" w14:textId="01422C04" w:rsidR="00233DCB" w:rsidRDefault="00233DCB" w:rsidP="00233DCB">
      <w:pPr>
        <w:jc w:val="center"/>
        <w:rPr>
          <w:lang w:val="en-US"/>
        </w:rPr>
      </w:pPr>
      <w:r>
        <w:rPr>
          <w:lang w:val="en-US"/>
        </w:rPr>
        <w:t xml:space="preserve">It is my hope that hockey fans can use this table next time they curious about a </w:t>
      </w:r>
      <w:proofErr w:type="gramStart"/>
      <w:r>
        <w:rPr>
          <w:lang w:val="en-US"/>
        </w:rPr>
        <w:t>goalies</w:t>
      </w:r>
      <w:proofErr w:type="gramEnd"/>
      <w:r>
        <w:rPr>
          <w:lang w:val="en-US"/>
        </w:rPr>
        <w:t xml:space="preserve"> play and wondering….</w:t>
      </w:r>
    </w:p>
    <w:p w14:paraId="412731F1" w14:textId="77777777" w:rsidR="00233DCB" w:rsidRDefault="00233DCB" w:rsidP="00233DCB">
      <w:pPr>
        <w:jc w:val="center"/>
        <w:rPr>
          <w:lang w:val="en-US"/>
        </w:rPr>
      </w:pPr>
    </w:p>
    <w:p w14:paraId="442E0527" w14:textId="637957B9" w:rsidR="00233DCB" w:rsidRDefault="00233DCB" w:rsidP="00233DCB">
      <w:pPr>
        <w:jc w:val="center"/>
        <w:rPr>
          <w:lang w:val="en-US"/>
        </w:rPr>
      </w:pPr>
      <w:r>
        <w:rPr>
          <w:lang w:val="en-US"/>
        </w:rPr>
        <w:t xml:space="preserve">All data scraped from </w:t>
      </w:r>
      <w:hyperlink r:id="rId9" w:history="1">
        <w:r w:rsidRPr="001F7D87">
          <w:rPr>
            <w:rStyle w:val="Hyperlink"/>
            <w:lang w:val="en-US"/>
          </w:rPr>
          <w:t>www.hockey-reference.com</w:t>
        </w:r>
      </w:hyperlink>
    </w:p>
    <w:p w14:paraId="610F19BA" w14:textId="34888CC0" w:rsidR="003D6903" w:rsidRDefault="00233DCB" w:rsidP="00233DCB">
      <w:pPr>
        <w:jc w:val="center"/>
        <w:rPr>
          <w:lang w:val="en-US"/>
        </w:rPr>
      </w:pPr>
      <w:r>
        <w:rPr>
          <w:lang w:val="en-US"/>
        </w:rPr>
        <w:lastRenderedPageBreak/>
        <w:t>Python code used to perform analysis can be found at: GitHub.com</w:t>
      </w:r>
    </w:p>
    <w:p w14:paraId="30A8A7C3" w14:textId="77777777" w:rsidR="00F470F6" w:rsidRPr="00DD0CD7" w:rsidRDefault="00F470F6" w:rsidP="00DD0CD7">
      <w:pPr>
        <w:rPr>
          <w:lang w:val="en-US"/>
        </w:rPr>
      </w:pPr>
    </w:p>
    <w:sectPr w:rsidR="00F470F6" w:rsidRPr="00DD0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D4FB4"/>
    <w:multiLevelType w:val="hybridMultilevel"/>
    <w:tmpl w:val="0276D120"/>
    <w:lvl w:ilvl="0" w:tplc="BD342B9A">
      <w:start w:val="1"/>
      <w:numFmt w:val="lowerRoman"/>
      <w:lvlText w:val="%1)"/>
      <w:lvlJc w:val="left"/>
      <w:pPr>
        <w:ind w:left="1440" w:hanging="720"/>
      </w:pPr>
      <w:rPr>
        <w:rFonts w:hint="default"/>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D7"/>
    <w:rsid w:val="001A6C88"/>
    <w:rsid w:val="001E3BD0"/>
    <w:rsid w:val="002226AB"/>
    <w:rsid w:val="00233DCB"/>
    <w:rsid w:val="00261D04"/>
    <w:rsid w:val="00293CF0"/>
    <w:rsid w:val="00313F3C"/>
    <w:rsid w:val="00330384"/>
    <w:rsid w:val="003515AC"/>
    <w:rsid w:val="003D05C2"/>
    <w:rsid w:val="003D6903"/>
    <w:rsid w:val="004D2D11"/>
    <w:rsid w:val="004E38BC"/>
    <w:rsid w:val="0050476B"/>
    <w:rsid w:val="00563C40"/>
    <w:rsid w:val="0060063A"/>
    <w:rsid w:val="006C4896"/>
    <w:rsid w:val="006E235E"/>
    <w:rsid w:val="007762E0"/>
    <w:rsid w:val="00791794"/>
    <w:rsid w:val="007B12A5"/>
    <w:rsid w:val="0081063E"/>
    <w:rsid w:val="008158B1"/>
    <w:rsid w:val="00831C02"/>
    <w:rsid w:val="00874C98"/>
    <w:rsid w:val="00897CF9"/>
    <w:rsid w:val="008D4935"/>
    <w:rsid w:val="008E17A8"/>
    <w:rsid w:val="009B0A5D"/>
    <w:rsid w:val="00A4602A"/>
    <w:rsid w:val="00A55144"/>
    <w:rsid w:val="00A612E9"/>
    <w:rsid w:val="00B15618"/>
    <w:rsid w:val="00B336FD"/>
    <w:rsid w:val="00B64829"/>
    <w:rsid w:val="00B965DB"/>
    <w:rsid w:val="00BA6A1D"/>
    <w:rsid w:val="00BB2168"/>
    <w:rsid w:val="00BC57B6"/>
    <w:rsid w:val="00BF7A04"/>
    <w:rsid w:val="00C14114"/>
    <w:rsid w:val="00C85CB2"/>
    <w:rsid w:val="00CD741F"/>
    <w:rsid w:val="00D54451"/>
    <w:rsid w:val="00DB38CA"/>
    <w:rsid w:val="00DD0CD7"/>
    <w:rsid w:val="00E44362"/>
    <w:rsid w:val="00E93E75"/>
    <w:rsid w:val="00EB0D77"/>
    <w:rsid w:val="00EB315A"/>
    <w:rsid w:val="00EC7C48"/>
    <w:rsid w:val="00F12D67"/>
    <w:rsid w:val="00F14F1B"/>
    <w:rsid w:val="00F470F6"/>
    <w:rsid w:val="00F60089"/>
    <w:rsid w:val="00F84FF5"/>
    <w:rsid w:val="00FD5A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0AF1"/>
  <w15:chartTrackingRefBased/>
  <w15:docId w15:val="{89A10603-B1A9-4FF6-ABD4-D5A37A02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0A5D"/>
    <w:rPr>
      <w:color w:val="0563C1" w:themeColor="hyperlink"/>
      <w:u w:val="single"/>
    </w:rPr>
  </w:style>
  <w:style w:type="character" w:styleId="UnresolvedMention">
    <w:name w:val="Unresolved Mention"/>
    <w:basedOn w:val="DefaultParagraphFont"/>
    <w:uiPriority w:val="99"/>
    <w:semiHidden/>
    <w:unhideWhenUsed/>
    <w:rsid w:val="009B0A5D"/>
    <w:rPr>
      <w:color w:val="605E5C"/>
      <w:shd w:val="clear" w:color="auto" w:fill="E1DFDD"/>
    </w:rPr>
  </w:style>
  <w:style w:type="paragraph" w:styleId="ListParagraph">
    <w:name w:val="List Paragraph"/>
    <w:basedOn w:val="Normal"/>
    <w:uiPriority w:val="34"/>
    <w:qFormat/>
    <w:rsid w:val="00504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357721">
      <w:bodyDiv w:val="1"/>
      <w:marLeft w:val="0"/>
      <w:marRight w:val="0"/>
      <w:marTop w:val="0"/>
      <w:marBottom w:val="0"/>
      <w:divBdr>
        <w:top w:val="none" w:sz="0" w:space="0" w:color="auto"/>
        <w:left w:val="none" w:sz="0" w:space="0" w:color="auto"/>
        <w:bottom w:val="none" w:sz="0" w:space="0" w:color="auto"/>
        <w:right w:val="none" w:sz="0" w:space="0" w:color="auto"/>
      </w:divBdr>
    </w:div>
    <w:div w:id="20389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Romanchuk" TargetMode="External"/><Relationship Id="rId3" Type="http://schemas.openxmlformats.org/officeDocument/2006/relationships/styles" Target="styles.xml"/><Relationship Id="rId7" Type="http://schemas.openxmlformats.org/officeDocument/2006/relationships/hyperlink" Target="http://www.hockey-referen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ockey-reference.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r\OneDrive\Desktop\LLS_Blog\GoaliePowerSampleSiz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v>80% Power</c:v>
          </c:tx>
          <c:spPr>
            <a:ln w="28575" cap="rnd">
              <a:solidFill>
                <a:schemeClr val="accent3">
                  <a:shade val="58000"/>
                </a:schemeClr>
              </a:solidFill>
              <a:round/>
            </a:ln>
            <a:effectLst/>
          </c:spPr>
          <c:marker>
            <c:symbol val="none"/>
          </c:marker>
          <c:cat>
            <c:numRef>
              <c:f>Sheet1!$A$2:$A$30</c:f>
              <c:numCache>
                <c:formatCode>General</c:formatCode>
                <c:ptCount val="29"/>
                <c:pt idx="0">
                  <c:v>93</c:v>
                </c:pt>
                <c:pt idx="1">
                  <c:v>93.25</c:v>
                </c:pt>
                <c:pt idx="2">
                  <c:v>93.5</c:v>
                </c:pt>
                <c:pt idx="3">
                  <c:v>93.75</c:v>
                </c:pt>
                <c:pt idx="4">
                  <c:v>94</c:v>
                </c:pt>
                <c:pt idx="5">
                  <c:v>94.25</c:v>
                </c:pt>
                <c:pt idx="6">
                  <c:v>94.5</c:v>
                </c:pt>
                <c:pt idx="7">
                  <c:v>94.75</c:v>
                </c:pt>
                <c:pt idx="8">
                  <c:v>95</c:v>
                </c:pt>
                <c:pt idx="9">
                  <c:v>95.25</c:v>
                </c:pt>
                <c:pt idx="10">
                  <c:v>95.5</c:v>
                </c:pt>
                <c:pt idx="11">
                  <c:v>95.75</c:v>
                </c:pt>
                <c:pt idx="12">
                  <c:v>96</c:v>
                </c:pt>
                <c:pt idx="13">
                  <c:v>96.25</c:v>
                </c:pt>
                <c:pt idx="14">
                  <c:v>96.5</c:v>
                </c:pt>
                <c:pt idx="15">
                  <c:v>96.75</c:v>
                </c:pt>
                <c:pt idx="16">
                  <c:v>97</c:v>
                </c:pt>
                <c:pt idx="17">
                  <c:v>97.25</c:v>
                </c:pt>
                <c:pt idx="18">
                  <c:v>97.5</c:v>
                </c:pt>
                <c:pt idx="19">
                  <c:v>97.75</c:v>
                </c:pt>
                <c:pt idx="20">
                  <c:v>98</c:v>
                </c:pt>
                <c:pt idx="21">
                  <c:v>98.25</c:v>
                </c:pt>
                <c:pt idx="22">
                  <c:v>98.5</c:v>
                </c:pt>
                <c:pt idx="23">
                  <c:v>98.75</c:v>
                </c:pt>
                <c:pt idx="24">
                  <c:v>99</c:v>
                </c:pt>
                <c:pt idx="25">
                  <c:v>99.25</c:v>
                </c:pt>
                <c:pt idx="26">
                  <c:v>99.5</c:v>
                </c:pt>
                <c:pt idx="27">
                  <c:v>99.75</c:v>
                </c:pt>
                <c:pt idx="28">
                  <c:v>100</c:v>
                </c:pt>
              </c:numCache>
            </c:numRef>
          </c:cat>
          <c:val>
            <c:numRef>
              <c:f>Sheet1!$B$2:$B$30</c:f>
              <c:numCache>
                <c:formatCode>General</c:formatCode>
                <c:ptCount val="29"/>
                <c:pt idx="0">
                  <c:v>62.986837048579872</c:v>
                </c:pt>
                <c:pt idx="1">
                  <c:v>49.636423049099967</c:v>
                </c:pt>
                <c:pt idx="2">
                  <c:v>40.235899190299762</c:v>
                </c:pt>
                <c:pt idx="3">
                  <c:v>33.369060243389107</c:v>
                </c:pt>
                <c:pt idx="4">
                  <c:v>28.20192493347394</c:v>
                </c:pt>
                <c:pt idx="5">
                  <c:v>24.217452385960019</c:v>
                </c:pt>
                <c:pt idx="6">
                  <c:v>21.08124375759413</c:v>
                </c:pt>
                <c:pt idx="7">
                  <c:v>18.569259037202919</c:v>
                </c:pt>
                <c:pt idx="8">
                  <c:v>16.526804571308489</c:v>
                </c:pt>
                <c:pt idx="9">
                  <c:v>14.84429082656365</c:v>
                </c:pt>
                <c:pt idx="10">
                  <c:v>13.442310766333669</c:v>
                </c:pt>
                <c:pt idx="11">
                  <c:v>12.2621867684524</c:v>
                </c:pt>
                <c:pt idx="12">
                  <c:v>11.25978541686889</c:v>
                </c:pt>
                <c:pt idx="13">
                  <c:v>10.401410567442911</c:v>
                </c:pt>
                <c:pt idx="14">
                  <c:v>9.6609584889436135</c:v>
                </c:pt>
                <c:pt idx="15">
                  <c:v>9.0179587628664155</c:v>
                </c:pt>
                <c:pt idx="16">
                  <c:v>8.4561748198616886</c:v>
                </c:pt>
                <c:pt idx="17">
                  <c:v>7.9625937967553684</c:v>
                </c:pt>
                <c:pt idx="18">
                  <c:v>7.5266885152937499</c:v>
                </c:pt>
                <c:pt idx="19">
                  <c:v>7.1398712491395653</c:v>
                </c:pt>
                <c:pt idx="20">
                  <c:v>6.795072078958718</c:v>
                </c:pt>
                <c:pt idx="21">
                  <c:v>6.4864453327726492</c:v>
                </c:pt>
                <c:pt idx="22">
                  <c:v>6.2091091780217704</c:v>
                </c:pt>
                <c:pt idx="23">
                  <c:v>5.9589699680308454</c:v>
                </c:pt>
                <c:pt idx="24">
                  <c:v>5.7325719957501127</c:v>
                </c:pt>
                <c:pt idx="25">
                  <c:v>5.5269854886503271</c:v>
                </c:pt>
                <c:pt idx="26">
                  <c:v>5.3397121715094711</c:v>
                </c:pt>
                <c:pt idx="27">
                  <c:v>5.1686125560333904</c:v>
                </c:pt>
                <c:pt idx="28">
                  <c:v>5.0118465263838674</c:v>
                </c:pt>
              </c:numCache>
            </c:numRef>
          </c:val>
          <c:smooth val="0"/>
          <c:extLst>
            <c:ext xmlns:c16="http://schemas.microsoft.com/office/drawing/2014/chart" uri="{C3380CC4-5D6E-409C-BE32-E72D297353CC}">
              <c16:uniqueId val="{00000000-F1E1-47B1-89E1-C26EA31E8563}"/>
            </c:ext>
          </c:extLst>
        </c:ser>
        <c:ser>
          <c:idx val="1"/>
          <c:order val="1"/>
          <c:tx>
            <c:v>85% Power</c:v>
          </c:tx>
          <c:spPr>
            <a:ln w="28575" cap="rnd">
              <a:solidFill>
                <a:schemeClr val="accent3">
                  <a:shade val="86000"/>
                </a:schemeClr>
              </a:solidFill>
              <a:round/>
            </a:ln>
            <a:effectLst/>
          </c:spPr>
          <c:marker>
            <c:symbol val="none"/>
          </c:marker>
          <c:cat>
            <c:numRef>
              <c:f>Sheet1!$A$2:$A$30</c:f>
              <c:numCache>
                <c:formatCode>General</c:formatCode>
                <c:ptCount val="29"/>
                <c:pt idx="0">
                  <c:v>93</c:v>
                </c:pt>
                <c:pt idx="1">
                  <c:v>93.25</c:v>
                </c:pt>
                <c:pt idx="2">
                  <c:v>93.5</c:v>
                </c:pt>
                <c:pt idx="3">
                  <c:v>93.75</c:v>
                </c:pt>
                <c:pt idx="4">
                  <c:v>94</c:v>
                </c:pt>
                <c:pt idx="5">
                  <c:v>94.25</c:v>
                </c:pt>
                <c:pt idx="6">
                  <c:v>94.5</c:v>
                </c:pt>
                <c:pt idx="7">
                  <c:v>94.75</c:v>
                </c:pt>
                <c:pt idx="8">
                  <c:v>95</c:v>
                </c:pt>
                <c:pt idx="9">
                  <c:v>95.25</c:v>
                </c:pt>
                <c:pt idx="10">
                  <c:v>95.5</c:v>
                </c:pt>
                <c:pt idx="11">
                  <c:v>95.75</c:v>
                </c:pt>
                <c:pt idx="12">
                  <c:v>96</c:v>
                </c:pt>
                <c:pt idx="13">
                  <c:v>96.25</c:v>
                </c:pt>
                <c:pt idx="14">
                  <c:v>96.5</c:v>
                </c:pt>
                <c:pt idx="15">
                  <c:v>96.75</c:v>
                </c:pt>
                <c:pt idx="16">
                  <c:v>97</c:v>
                </c:pt>
                <c:pt idx="17">
                  <c:v>97.25</c:v>
                </c:pt>
                <c:pt idx="18">
                  <c:v>97.5</c:v>
                </c:pt>
                <c:pt idx="19">
                  <c:v>97.75</c:v>
                </c:pt>
                <c:pt idx="20">
                  <c:v>98</c:v>
                </c:pt>
                <c:pt idx="21">
                  <c:v>98.25</c:v>
                </c:pt>
                <c:pt idx="22">
                  <c:v>98.5</c:v>
                </c:pt>
                <c:pt idx="23">
                  <c:v>98.75</c:v>
                </c:pt>
                <c:pt idx="24">
                  <c:v>99</c:v>
                </c:pt>
                <c:pt idx="25">
                  <c:v>99.25</c:v>
                </c:pt>
                <c:pt idx="26">
                  <c:v>99.5</c:v>
                </c:pt>
                <c:pt idx="27">
                  <c:v>99.75</c:v>
                </c:pt>
                <c:pt idx="28">
                  <c:v>100</c:v>
                </c:pt>
              </c:numCache>
            </c:numRef>
          </c:cat>
          <c:val>
            <c:numRef>
              <c:f>Sheet1!$C$2:$C$30</c:f>
              <c:numCache>
                <c:formatCode>General</c:formatCode>
                <c:ptCount val="29"/>
                <c:pt idx="0">
                  <c:v>71.769382443305034</c:v>
                </c:pt>
                <c:pt idx="1">
                  <c:v>56.496284106868977</c:v>
                </c:pt>
                <c:pt idx="2">
                  <c:v>45.741388611555912</c:v>
                </c:pt>
                <c:pt idx="3">
                  <c:v>37.884691107771083</c:v>
                </c:pt>
                <c:pt idx="4">
                  <c:v>31.972219158417118</c:v>
                </c:pt>
                <c:pt idx="5">
                  <c:v>27.412541743816782</c:v>
                </c:pt>
                <c:pt idx="6">
                  <c:v>23.823157619837779</c:v>
                </c:pt>
                <c:pt idx="7">
                  <c:v>20.94780200207812</c:v>
                </c:pt>
                <c:pt idx="8">
                  <c:v>18.609547140979679</c:v>
                </c:pt>
                <c:pt idx="9">
                  <c:v>16.683051368361731</c:v>
                </c:pt>
                <c:pt idx="10">
                  <c:v>15.077501451369031</c:v>
                </c:pt>
                <c:pt idx="11">
                  <c:v>13.72578764231973</c:v>
                </c:pt>
                <c:pt idx="12">
                  <c:v>12.577452290506301</c:v>
                </c:pt>
                <c:pt idx="13">
                  <c:v>11.593959362666929</c:v>
                </c:pt>
                <c:pt idx="14">
                  <c:v>10.74546295178305</c:v>
                </c:pt>
                <c:pt idx="15">
                  <c:v>10.00855360301307</c:v>
                </c:pt>
                <c:pt idx="16">
                  <c:v>9.3646719122932467</c:v>
                </c:pt>
                <c:pt idx="17">
                  <c:v>8.7989362617281266</c:v>
                </c:pt>
                <c:pt idx="18">
                  <c:v>8.299309396519817</c:v>
                </c:pt>
                <c:pt idx="19">
                  <c:v>7.8559655842472891</c:v>
                </c:pt>
                <c:pt idx="20">
                  <c:v>7.4608249633077719</c:v>
                </c:pt>
                <c:pt idx="21">
                  <c:v>7.1071914780648839</c:v>
                </c:pt>
                <c:pt idx="22">
                  <c:v>6.789479516452956</c:v>
                </c:pt>
                <c:pt idx="23">
                  <c:v>6.5030011342974996</c:v>
                </c:pt>
                <c:pt idx="24">
                  <c:v>6.2437986666766312</c:v>
                </c:pt>
                <c:pt idx="25">
                  <c:v>6.0085130404876486</c:v>
                </c:pt>
                <c:pt idx="26">
                  <c:v>5.7942798568678509</c:v>
                </c:pt>
                <c:pt idx="27">
                  <c:v>5.5986442755436183</c:v>
                </c:pt>
                <c:pt idx="28">
                  <c:v>5.4194937174026618</c:v>
                </c:pt>
              </c:numCache>
            </c:numRef>
          </c:val>
          <c:smooth val="0"/>
          <c:extLst>
            <c:ext xmlns:c16="http://schemas.microsoft.com/office/drawing/2014/chart" uri="{C3380CC4-5D6E-409C-BE32-E72D297353CC}">
              <c16:uniqueId val="{00000001-F1E1-47B1-89E1-C26EA31E8563}"/>
            </c:ext>
          </c:extLst>
        </c:ser>
        <c:ser>
          <c:idx val="2"/>
          <c:order val="2"/>
          <c:tx>
            <c:v>90% Power</c:v>
          </c:tx>
          <c:spPr>
            <a:ln w="28575" cap="rnd">
              <a:solidFill>
                <a:schemeClr val="accent3">
                  <a:tint val="86000"/>
                </a:schemeClr>
              </a:solidFill>
              <a:round/>
            </a:ln>
            <a:effectLst/>
          </c:spPr>
          <c:marker>
            <c:symbol val="none"/>
          </c:marker>
          <c:cat>
            <c:numRef>
              <c:f>Sheet1!$A$2:$A$30</c:f>
              <c:numCache>
                <c:formatCode>General</c:formatCode>
                <c:ptCount val="29"/>
                <c:pt idx="0">
                  <c:v>93</c:v>
                </c:pt>
                <c:pt idx="1">
                  <c:v>93.25</c:v>
                </c:pt>
                <c:pt idx="2">
                  <c:v>93.5</c:v>
                </c:pt>
                <c:pt idx="3">
                  <c:v>93.75</c:v>
                </c:pt>
                <c:pt idx="4">
                  <c:v>94</c:v>
                </c:pt>
                <c:pt idx="5">
                  <c:v>94.25</c:v>
                </c:pt>
                <c:pt idx="6">
                  <c:v>94.5</c:v>
                </c:pt>
                <c:pt idx="7">
                  <c:v>94.75</c:v>
                </c:pt>
                <c:pt idx="8">
                  <c:v>95</c:v>
                </c:pt>
                <c:pt idx="9">
                  <c:v>95.25</c:v>
                </c:pt>
                <c:pt idx="10">
                  <c:v>95.5</c:v>
                </c:pt>
                <c:pt idx="11">
                  <c:v>95.75</c:v>
                </c:pt>
                <c:pt idx="12">
                  <c:v>96</c:v>
                </c:pt>
                <c:pt idx="13">
                  <c:v>96.25</c:v>
                </c:pt>
                <c:pt idx="14">
                  <c:v>96.5</c:v>
                </c:pt>
                <c:pt idx="15">
                  <c:v>96.75</c:v>
                </c:pt>
                <c:pt idx="16">
                  <c:v>97</c:v>
                </c:pt>
                <c:pt idx="17">
                  <c:v>97.25</c:v>
                </c:pt>
                <c:pt idx="18">
                  <c:v>97.5</c:v>
                </c:pt>
                <c:pt idx="19">
                  <c:v>97.75</c:v>
                </c:pt>
                <c:pt idx="20">
                  <c:v>98</c:v>
                </c:pt>
                <c:pt idx="21">
                  <c:v>98.25</c:v>
                </c:pt>
                <c:pt idx="22">
                  <c:v>98.5</c:v>
                </c:pt>
                <c:pt idx="23">
                  <c:v>98.75</c:v>
                </c:pt>
                <c:pt idx="24">
                  <c:v>99</c:v>
                </c:pt>
                <c:pt idx="25">
                  <c:v>99.25</c:v>
                </c:pt>
                <c:pt idx="26">
                  <c:v>99.5</c:v>
                </c:pt>
                <c:pt idx="27">
                  <c:v>99.75</c:v>
                </c:pt>
                <c:pt idx="28">
                  <c:v>100</c:v>
                </c:pt>
              </c:numCache>
            </c:numRef>
          </c:cat>
          <c:val>
            <c:numRef>
              <c:f>Sheet1!$D$2:$D$30</c:f>
              <c:numCache>
                <c:formatCode>General</c:formatCode>
                <c:ptCount val="29"/>
                <c:pt idx="0">
                  <c:v>83.658615717156152</c:v>
                </c:pt>
                <c:pt idx="1">
                  <c:v>65.782882763463803</c:v>
                </c:pt>
                <c:pt idx="2">
                  <c:v>53.194658243705582</c:v>
                </c:pt>
                <c:pt idx="3">
                  <c:v>43.998066424200317</c:v>
                </c:pt>
                <c:pt idx="4">
                  <c:v>37.076691843183987</c:v>
                </c:pt>
                <c:pt idx="5">
                  <c:v>31.73840022618533</c:v>
                </c:pt>
                <c:pt idx="6">
                  <c:v>27.535574172788031</c:v>
                </c:pt>
                <c:pt idx="7">
                  <c:v>24.168324185468979</c:v>
                </c:pt>
                <c:pt idx="8">
                  <c:v>21.429613715555099</c:v>
                </c:pt>
                <c:pt idx="9">
                  <c:v>19.172781226179989</c:v>
                </c:pt>
                <c:pt idx="10">
                  <c:v>17.291562887498849</c:v>
                </c:pt>
                <c:pt idx="11">
                  <c:v>15.707445759234529</c:v>
                </c:pt>
                <c:pt idx="12">
                  <c:v>14.361398723796331</c:v>
                </c:pt>
                <c:pt idx="13">
                  <c:v>13.208333693384439</c:v>
                </c:pt>
                <c:pt idx="14">
                  <c:v>12.213348108710329</c:v>
                </c:pt>
                <c:pt idx="15">
                  <c:v>11.34906275772089</c:v>
                </c:pt>
                <c:pt idx="16">
                  <c:v>10.59376052681252</c:v>
                </c:pt>
                <c:pt idx="17">
                  <c:v>9.9300434027429958</c:v>
                </c:pt>
                <c:pt idx="18">
                  <c:v>9.3438240299201158</c:v>
                </c:pt>
                <c:pt idx="19">
                  <c:v>8.8236176267000488</c:v>
                </c:pt>
                <c:pt idx="20">
                  <c:v>8.3599659522835363</c:v>
                </c:pt>
                <c:pt idx="21">
                  <c:v>7.9450412273599262</c:v>
                </c:pt>
                <c:pt idx="22">
                  <c:v>7.5722991345908603</c:v>
                </c:pt>
                <c:pt idx="23">
                  <c:v>7.2362583353654157</c:v>
                </c:pt>
                <c:pt idx="24">
                  <c:v>6.932274299481902</c:v>
                </c:pt>
                <c:pt idx="25">
                  <c:v>6.6564189751744172</c:v>
                </c:pt>
                <c:pt idx="26">
                  <c:v>6.4053316135502056</c:v>
                </c:pt>
                <c:pt idx="27">
                  <c:v>6.1761332098830852</c:v>
                </c:pt>
                <c:pt idx="28">
                  <c:v>5.9663432490659511</c:v>
                </c:pt>
              </c:numCache>
            </c:numRef>
          </c:val>
          <c:smooth val="0"/>
          <c:extLst>
            <c:ext xmlns:c16="http://schemas.microsoft.com/office/drawing/2014/chart" uri="{C3380CC4-5D6E-409C-BE32-E72D297353CC}">
              <c16:uniqueId val="{00000002-F1E1-47B1-89E1-C26EA31E8563}"/>
            </c:ext>
          </c:extLst>
        </c:ser>
        <c:ser>
          <c:idx val="3"/>
          <c:order val="3"/>
          <c:tx>
            <c:v>95% Power</c:v>
          </c:tx>
          <c:spPr>
            <a:ln w="28575" cap="rnd">
              <a:solidFill>
                <a:schemeClr val="accent3">
                  <a:tint val="58000"/>
                </a:schemeClr>
              </a:solidFill>
              <a:round/>
            </a:ln>
            <a:effectLst/>
          </c:spPr>
          <c:marker>
            <c:symbol val="none"/>
          </c:marker>
          <c:cat>
            <c:numRef>
              <c:f>Sheet1!$A$2:$A$30</c:f>
              <c:numCache>
                <c:formatCode>General</c:formatCode>
                <c:ptCount val="29"/>
                <c:pt idx="0">
                  <c:v>93</c:v>
                </c:pt>
                <c:pt idx="1">
                  <c:v>93.25</c:v>
                </c:pt>
                <c:pt idx="2">
                  <c:v>93.5</c:v>
                </c:pt>
                <c:pt idx="3">
                  <c:v>93.75</c:v>
                </c:pt>
                <c:pt idx="4">
                  <c:v>94</c:v>
                </c:pt>
                <c:pt idx="5">
                  <c:v>94.25</c:v>
                </c:pt>
                <c:pt idx="6">
                  <c:v>94.5</c:v>
                </c:pt>
                <c:pt idx="7">
                  <c:v>94.75</c:v>
                </c:pt>
                <c:pt idx="8">
                  <c:v>95</c:v>
                </c:pt>
                <c:pt idx="9">
                  <c:v>95.25</c:v>
                </c:pt>
                <c:pt idx="10">
                  <c:v>95.5</c:v>
                </c:pt>
                <c:pt idx="11">
                  <c:v>95.75</c:v>
                </c:pt>
                <c:pt idx="12">
                  <c:v>96</c:v>
                </c:pt>
                <c:pt idx="13">
                  <c:v>96.25</c:v>
                </c:pt>
                <c:pt idx="14">
                  <c:v>96.5</c:v>
                </c:pt>
                <c:pt idx="15">
                  <c:v>96.75</c:v>
                </c:pt>
                <c:pt idx="16">
                  <c:v>97</c:v>
                </c:pt>
                <c:pt idx="17">
                  <c:v>97.25</c:v>
                </c:pt>
                <c:pt idx="18">
                  <c:v>97.5</c:v>
                </c:pt>
                <c:pt idx="19">
                  <c:v>97.75</c:v>
                </c:pt>
                <c:pt idx="20">
                  <c:v>98</c:v>
                </c:pt>
                <c:pt idx="21">
                  <c:v>98.25</c:v>
                </c:pt>
                <c:pt idx="22">
                  <c:v>98.5</c:v>
                </c:pt>
                <c:pt idx="23">
                  <c:v>98.75</c:v>
                </c:pt>
                <c:pt idx="24">
                  <c:v>99</c:v>
                </c:pt>
                <c:pt idx="25">
                  <c:v>99.25</c:v>
                </c:pt>
                <c:pt idx="26">
                  <c:v>99.5</c:v>
                </c:pt>
                <c:pt idx="27">
                  <c:v>99.75</c:v>
                </c:pt>
                <c:pt idx="28">
                  <c:v>100</c:v>
                </c:pt>
              </c:numCache>
            </c:numRef>
          </c:cat>
          <c:val>
            <c:numRef>
              <c:f>Sheet1!$E$2:$E$30</c:f>
              <c:numCache>
                <c:formatCode>General</c:formatCode>
                <c:ptCount val="29"/>
                <c:pt idx="0">
                  <c:v>102.99958308775651</c:v>
                </c:pt>
                <c:pt idx="1">
                  <c:v>80.890260078523696</c:v>
                </c:pt>
                <c:pt idx="2">
                  <c:v>65.319884831554248</c:v>
                </c:pt>
                <c:pt idx="3">
                  <c:v>53.943813248393162</c:v>
                </c:pt>
                <c:pt idx="4">
                  <c:v>45.38137372549474</c:v>
                </c:pt>
                <c:pt idx="5">
                  <c:v>38.776611059096247</c:v>
                </c:pt>
                <c:pt idx="6">
                  <c:v>33.575974081214063</c:v>
                </c:pt>
                <c:pt idx="7">
                  <c:v>29.408606378946232</c:v>
                </c:pt>
                <c:pt idx="8">
                  <c:v>26.018487135683291</c:v>
                </c:pt>
                <c:pt idx="9">
                  <c:v>23.224258747861381</c:v>
                </c:pt>
                <c:pt idx="10">
                  <c:v>20.894537508748069</c:v>
                </c:pt>
                <c:pt idx="11">
                  <c:v>18.932245443533869</c:v>
                </c:pt>
                <c:pt idx="12">
                  <c:v>17.264403396694728</c:v>
                </c:pt>
                <c:pt idx="13">
                  <c:v>15.83527475965742</c:v>
                </c:pt>
                <c:pt idx="14">
                  <c:v>14.60171405281914</c:v>
                </c:pt>
                <c:pt idx="15">
                  <c:v>13.529885798487481</c:v>
                </c:pt>
                <c:pt idx="16">
                  <c:v>12.592956501480931</c:v>
                </c:pt>
                <c:pt idx="17">
                  <c:v>11.769414426832901</c:v>
                </c:pt>
                <c:pt idx="18">
                  <c:v>11.041868736741829</c:v>
                </c:pt>
                <c:pt idx="19">
                  <c:v>10.396118648253159</c:v>
                </c:pt>
                <c:pt idx="20">
                  <c:v>9.8204831823317633</c:v>
                </c:pt>
                <c:pt idx="21">
                  <c:v>9.3052811044425798</c:v>
                </c:pt>
                <c:pt idx="22">
                  <c:v>8.8424325788134706</c:v>
                </c:pt>
                <c:pt idx="23">
                  <c:v>8.4251546002413509</c:v>
                </c:pt>
                <c:pt idx="24">
                  <c:v>8.047715166410752</c:v>
                </c:pt>
                <c:pt idx="25">
                  <c:v>7.7052449611088107</c:v>
                </c:pt>
                <c:pt idx="26">
                  <c:v>7.3935894169900704</c:v>
                </c:pt>
                <c:pt idx="27">
                  <c:v>7.1091826732300776</c:v>
                </c:pt>
                <c:pt idx="28">
                  <c:v>6.8489522631874342</c:v>
                </c:pt>
              </c:numCache>
            </c:numRef>
          </c:val>
          <c:smooth val="0"/>
          <c:extLst>
            <c:ext xmlns:c16="http://schemas.microsoft.com/office/drawing/2014/chart" uri="{C3380CC4-5D6E-409C-BE32-E72D297353CC}">
              <c16:uniqueId val="{00000003-F1E1-47B1-89E1-C26EA31E8563}"/>
            </c:ext>
          </c:extLst>
        </c:ser>
        <c:dLbls>
          <c:showLegendKey val="0"/>
          <c:showVal val="0"/>
          <c:showCatName val="0"/>
          <c:showSerName val="0"/>
          <c:showPercent val="0"/>
          <c:showBubbleSize val="0"/>
        </c:dLbls>
        <c:smooth val="0"/>
        <c:axId val="1770213648"/>
        <c:axId val="1817095600"/>
      </c:lineChart>
      <c:catAx>
        <c:axId val="177021364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Times New Roman" panose="02020603050405020304" pitchFamily="18" charset="0"/>
                  </a:defRPr>
                </a:pPr>
                <a:r>
                  <a:rPr lang="en-CA">
                    <a:solidFill>
                      <a:sysClr val="windowText" lastClr="000000"/>
                    </a:solidFill>
                  </a:rPr>
                  <a:t>True Save Percentage (%)</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Times New Roman" panose="02020603050405020304" pitchFamily="18" charset="0"/>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Times New Roman" panose="02020603050405020304" pitchFamily="18" charset="0"/>
              </a:defRPr>
            </a:pPr>
            <a:endParaRPr lang="en-US"/>
          </a:p>
        </c:txPr>
        <c:crossAx val="1817095600"/>
        <c:crosses val="autoZero"/>
        <c:auto val="1"/>
        <c:lblAlgn val="ctr"/>
        <c:lblOffset val="100"/>
        <c:tickLblSkip val="2"/>
        <c:tickMarkSkip val="2"/>
        <c:noMultiLvlLbl val="0"/>
      </c:catAx>
      <c:valAx>
        <c:axId val="1817095600"/>
        <c:scaling>
          <c:orientation val="minMax"/>
          <c:max val="105"/>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Times New Roman" panose="02020603050405020304" pitchFamily="18" charset="0"/>
                  </a:defRPr>
                </a:pPr>
                <a:r>
                  <a:rPr lang="en-CA"/>
                  <a:t>Estimated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Times New Roman" panose="02020603050405020304" pitchFamily="18" charset="0"/>
              </a:defRPr>
            </a:pPr>
            <a:endParaRPr lang="en-US"/>
          </a:p>
        </c:txPr>
        <c:crossAx val="1770213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1000">
          <a:solidFill>
            <a:sysClr val="windowText" lastClr="000000"/>
          </a:solidFill>
          <a:latin typeface="+mn-lt"/>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079EE-4C6C-408F-A6CF-7B4A63BC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5614</TotalTime>
  <Pages>1</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16</cp:revision>
  <dcterms:created xsi:type="dcterms:W3CDTF">2020-12-27T15:56:00Z</dcterms:created>
  <dcterms:modified xsi:type="dcterms:W3CDTF">2021-01-07T01:20:00Z</dcterms:modified>
</cp:coreProperties>
</file>