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50EDA" w14:textId="5D086EF3" w:rsidR="00EF7500" w:rsidRPr="00236FF5" w:rsidRDefault="000155C9" w:rsidP="00F13002">
      <w:pPr>
        <w:jc w:val="center"/>
        <w:rPr>
          <w:sz w:val="28"/>
          <w:szCs w:val="28"/>
          <w:lang w:val="en-US"/>
        </w:rPr>
      </w:pPr>
      <w:r w:rsidRPr="00236FF5">
        <w:rPr>
          <w:sz w:val="28"/>
          <w:szCs w:val="28"/>
          <w:lang w:val="en-US"/>
        </w:rPr>
        <w:t xml:space="preserve">When does a </w:t>
      </w:r>
      <w:r w:rsidR="00B504B9" w:rsidRPr="00236FF5">
        <w:rPr>
          <w:sz w:val="28"/>
          <w:szCs w:val="28"/>
          <w:lang w:val="en-US"/>
        </w:rPr>
        <w:t>‘</w:t>
      </w:r>
      <w:r w:rsidRPr="00236FF5">
        <w:rPr>
          <w:sz w:val="28"/>
          <w:szCs w:val="28"/>
          <w:lang w:val="en-US"/>
        </w:rPr>
        <w:t>hot</w:t>
      </w:r>
      <w:r w:rsidR="00B504B9" w:rsidRPr="00236FF5">
        <w:rPr>
          <w:sz w:val="28"/>
          <w:szCs w:val="28"/>
          <w:lang w:val="en-US"/>
        </w:rPr>
        <w:t>-</w:t>
      </w:r>
      <w:r w:rsidRPr="00236FF5">
        <w:rPr>
          <w:sz w:val="28"/>
          <w:szCs w:val="28"/>
          <w:lang w:val="en-US"/>
        </w:rPr>
        <w:t>streak</w:t>
      </w:r>
      <w:r w:rsidR="00B504B9" w:rsidRPr="00236FF5">
        <w:rPr>
          <w:sz w:val="28"/>
          <w:szCs w:val="28"/>
          <w:lang w:val="en-US"/>
        </w:rPr>
        <w:t>’</w:t>
      </w:r>
      <w:r w:rsidRPr="00236FF5">
        <w:rPr>
          <w:sz w:val="28"/>
          <w:szCs w:val="28"/>
          <w:lang w:val="en-US"/>
        </w:rPr>
        <w:t xml:space="preserve"> become something more?</w:t>
      </w:r>
    </w:p>
    <w:p w14:paraId="27953A1E" w14:textId="29C81486" w:rsidR="00236FF5" w:rsidRDefault="00236FF5" w:rsidP="00F13002">
      <w:pPr>
        <w:jc w:val="center"/>
        <w:rPr>
          <w:lang w:val="en-US"/>
        </w:rPr>
      </w:pPr>
      <w:r>
        <w:rPr>
          <w:lang w:val="en-US"/>
        </w:rPr>
        <w:t>By Nicholas Romanchuk</w:t>
      </w:r>
    </w:p>
    <w:p w14:paraId="3B9E4B6D" w14:textId="77777777" w:rsidR="00DA3601" w:rsidRDefault="00282ADE">
      <w:pPr>
        <w:rPr>
          <w:lang w:val="en-US"/>
        </w:rPr>
      </w:pPr>
      <w:r>
        <w:rPr>
          <w:lang w:val="en-US"/>
        </w:rPr>
        <w:t xml:space="preserve">I think it would be difficult to overstate how useful advanced statistics can be when it comes to </w:t>
      </w:r>
      <w:r w:rsidR="00BE7D39">
        <w:rPr>
          <w:lang w:val="en-US"/>
        </w:rPr>
        <w:t xml:space="preserve">analyzing </w:t>
      </w:r>
      <w:r>
        <w:rPr>
          <w:lang w:val="en-US"/>
        </w:rPr>
        <w:t xml:space="preserve">the game of hockey. Statistics allow us to extrapolate information beyond just a sample of data </w:t>
      </w:r>
      <w:r w:rsidR="001E4D55">
        <w:rPr>
          <w:lang w:val="en-US"/>
        </w:rPr>
        <w:t>and in some instances to predict</w:t>
      </w:r>
      <w:r w:rsidR="000155C9">
        <w:rPr>
          <w:lang w:val="en-US"/>
        </w:rPr>
        <w:t xml:space="preserve"> future events with a</w:t>
      </w:r>
      <w:r w:rsidR="001E4D55">
        <w:rPr>
          <w:lang w:val="en-US"/>
        </w:rPr>
        <w:t xml:space="preserve"> </w:t>
      </w:r>
      <w:r>
        <w:rPr>
          <w:lang w:val="en-US"/>
        </w:rPr>
        <w:t>decent amount of</w:t>
      </w:r>
      <w:r w:rsidR="000155C9">
        <w:rPr>
          <w:lang w:val="en-US"/>
        </w:rPr>
        <w:t xml:space="preserve"> accuracy. For example,</w:t>
      </w:r>
      <w:r w:rsidR="00230930">
        <w:rPr>
          <w:lang w:val="en-US"/>
        </w:rPr>
        <w:t xml:space="preserve"> </w:t>
      </w:r>
      <w:r w:rsidR="00BE7D39">
        <w:rPr>
          <w:lang w:val="en-US"/>
        </w:rPr>
        <w:t xml:space="preserve">if we look at </w:t>
      </w:r>
      <w:r w:rsidR="00230930">
        <w:rPr>
          <w:lang w:val="en-US"/>
        </w:rPr>
        <w:t>T</w:t>
      </w:r>
      <w:r w:rsidR="000155C9">
        <w:rPr>
          <w:lang w:val="en-US"/>
        </w:rPr>
        <w:t xml:space="preserve">hatcher </w:t>
      </w:r>
      <w:proofErr w:type="spellStart"/>
      <w:r w:rsidR="000155C9">
        <w:rPr>
          <w:lang w:val="en-US"/>
        </w:rPr>
        <w:t>Demko</w:t>
      </w:r>
      <w:proofErr w:type="spellEnd"/>
      <w:r w:rsidR="00BE7D39">
        <w:rPr>
          <w:lang w:val="en-US"/>
        </w:rPr>
        <w:t>, who</w:t>
      </w:r>
      <w:r w:rsidR="000155C9">
        <w:rPr>
          <w:lang w:val="en-US"/>
        </w:rPr>
        <w:t xml:space="preserve"> started the 2019-20 season </w:t>
      </w:r>
      <w:hyperlink r:id="rId4" w:history="1">
        <w:r w:rsidR="000155C9" w:rsidRPr="00230930">
          <w:rPr>
            <w:rStyle w:val="Hyperlink"/>
            <w:lang w:val="en-US"/>
          </w:rPr>
          <w:t>saving 93.3% of shots in his first seven games</w:t>
        </w:r>
      </w:hyperlink>
      <w:r w:rsidR="00230930">
        <w:rPr>
          <w:lang w:val="en-US"/>
        </w:rPr>
        <w:t>. I don’t need advanced analytics to tell me he played well over those seven games. I already have the data and it’s obvious</w:t>
      </w:r>
      <w:r w:rsidR="00BE7D39">
        <w:rPr>
          <w:lang w:val="en-US"/>
        </w:rPr>
        <w:t xml:space="preserve"> </w:t>
      </w:r>
      <w:r w:rsidR="00230930">
        <w:rPr>
          <w:lang w:val="en-US"/>
        </w:rPr>
        <w:t xml:space="preserve">he played well. What interest me is whether he will continue to play well over his </w:t>
      </w:r>
      <w:r w:rsidR="00230930" w:rsidRPr="00230930">
        <w:rPr>
          <w:i/>
          <w:iCs/>
          <w:lang w:val="en-US"/>
        </w:rPr>
        <w:t>next</w:t>
      </w:r>
      <w:r w:rsidR="00230930">
        <w:rPr>
          <w:lang w:val="en-US"/>
        </w:rPr>
        <w:t xml:space="preserve"> </w:t>
      </w:r>
      <w:r w:rsidR="00230930" w:rsidRPr="00230930">
        <w:rPr>
          <w:lang w:val="en-US"/>
        </w:rPr>
        <w:t>seven</w:t>
      </w:r>
      <w:r w:rsidR="00230930">
        <w:rPr>
          <w:lang w:val="en-US"/>
        </w:rPr>
        <w:t xml:space="preserve"> games; </w:t>
      </w:r>
      <w:r w:rsidR="00582B9B">
        <w:rPr>
          <w:lang w:val="en-US"/>
        </w:rPr>
        <w:t xml:space="preserve">or </w:t>
      </w:r>
      <w:r w:rsidR="00BE7D39">
        <w:rPr>
          <w:lang w:val="en-US"/>
        </w:rPr>
        <w:t>more specifically</w:t>
      </w:r>
      <w:r w:rsidR="00230930">
        <w:rPr>
          <w:lang w:val="en-US"/>
        </w:rPr>
        <w:t xml:space="preserve">, if this sample of seven games tells us anything about how he will perform in the </w:t>
      </w:r>
      <w:r>
        <w:rPr>
          <w:lang w:val="en-US"/>
        </w:rPr>
        <w:t>long run</w:t>
      </w:r>
      <w:r w:rsidR="00230930">
        <w:rPr>
          <w:lang w:val="en-US"/>
        </w:rPr>
        <w:t>.</w:t>
      </w:r>
      <w:r w:rsidR="008B767D">
        <w:rPr>
          <w:lang w:val="en-US"/>
        </w:rPr>
        <w:t xml:space="preserve"> </w:t>
      </w:r>
    </w:p>
    <w:p w14:paraId="0170A4D2" w14:textId="3D759E56" w:rsidR="00230930" w:rsidRDefault="00282ADE">
      <w:pPr>
        <w:rPr>
          <w:lang w:val="en-US"/>
        </w:rPr>
      </w:pPr>
      <w:r>
        <w:rPr>
          <w:lang w:val="en-US"/>
        </w:rPr>
        <w:t xml:space="preserve">This </w:t>
      </w:r>
      <w:r w:rsidR="00460E9A">
        <w:rPr>
          <w:lang w:val="en-US"/>
        </w:rPr>
        <w:t>is</w:t>
      </w:r>
      <w:r>
        <w:rPr>
          <w:lang w:val="en-US"/>
        </w:rPr>
        <w:t xml:space="preserve"> where statistics can be useful, the concept of using a sample of data to make inferences about the population that sample was drawn from has already been well fleshed out by statistic</w:t>
      </w:r>
      <w:r w:rsidR="00460E9A">
        <w:rPr>
          <w:lang w:val="en-US"/>
        </w:rPr>
        <w:t>ians</w:t>
      </w:r>
      <w:r>
        <w:rPr>
          <w:lang w:val="en-US"/>
        </w:rPr>
        <w:t>.</w:t>
      </w:r>
      <w:r w:rsidR="00D8620F">
        <w:rPr>
          <w:lang w:val="en-US"/>
        </w:rPr>
        <w:t xml:space="preserve"> </w:t>
      </w:r>
      <w:r>
        <w:rPr>
          <w:lang w:val="en-US"/>
        </w:rPr>
        <w:t xml:space="preserve">I won’t go into detail here but essentially </w:t>
      </w:r>
      <w:r w:rsidR="00D8620F">
        <w:rPr>
          <w:lang w:val="en-US"/>
        </w:rPr>
        <w:t>if we take repeated samples of a population (ex. 7 game</w:t>
      </w:r>
      <w:r w:rsidR="00DA3601">
        <w:rPr>
          <w:lang w:val="en-US"/>
        </w:rPr>
        <w:t xml:space="preserve"> samples</w:t>
      </w:r>
      <w:r w:rsidR="00D8620F">
        <w:rPr>
          <w:lang w:val="en-US"/>
        </w:rPr>
        <w:t xml:space="preserve">) and calculate the mean of each sample (ex. 93.3% saves), those sample means will </w:t>
      </w:r>
      <w:hyperlink r:id="rId5" w:history="1">
        <w:r w:rsidR="00D8620F" w:rsidRPr="00CD4418">
          <w:rPr>
            <w:rStyle w:val="Hyperlink"/>
            <w:lang w:val="en-US"/>
          </w:rPr>
          <w:t>approximate a normal distribution</w:t>
        </w:r>
      </w:hyperlink>
      <w:r w:rsidR="00D8620F">
        <w:rPr>
          <w:lang w:val="en-US"/>
        </w:rPr>
        <w:t xml:space="preserve">. Since sample means behave in a predictable way relative to the underling population, we can </w:t>
      </w:r>
      <w:r w:rsidR="00460E9A">
        <w:rPr>
          <w:lang w:val="en-US"/>
        </w:rPr>
        <w:t xml:space="preserve">estimate </w:t>
      </w:r>
      <w:r w:rsidR="00D8620F">
        <w:rPr>
          <w:lang w:val="en-US"/>
        </w:rPr>
        <w:t xml:space="preserve">the probability of observing a sample of data </w:t>
      </w:r>
      <w:r w:rsidR="00460E9A">
        <w:rPr>
          <w:lang w:val="en-US"/>
        </w:rPr>
        <w:t>if it was drawn from a</w:t>
      </w:r>
      <w:r w:rsidR="00D8620F">
        <w:rPr>
          <w:lang w:val="en-US"/>
        </w:rPr>
        <w:t xml:space="preserve"> given population. And if the probability of observing </w:t>
      </w:r>
      <w:r w:rsidR="00460E9A">
        <w:rPr>
          <w:lang w:val="en-US"/>
        </w:rPr>
        <w:t>the</w:t>
      </w:r>
      <w:r w:rsidR="00D8620F">
        <w:rPr>
          <w:lang w:val="en-US"/>
        </w:rPr>
        <w:t xml:space="preserve"> sample of data is low (&lt;5%) than we can </w:t>
      </w:r>
      <w:hyperlink r:id="rId6" w:history="1">
        <w:r w:rsidR="00D8620F" w:rsidRPr="00BE7D39">
          <w:rPr>
            <w:rStyle w:val="Hyperlink"/>
            <w:lang w:val="en-US"/>
          </w:rPr>
          <w:t>reject the conclusion</w:t>
        </w:r>
      </w:hyperlink>
      <w:r w:rsidR="00D8620F">
        <w:rPr>
          <w:lang w:val="en-US"/>
        </w:rPr>
        <w:t xml:space="preserve"> that it came from the population in question. </w:t>
      </w:r>
      <w:r w:rsidR="00460E9A">
        <w:rPr>
          <w:lang w:val="en-US"/>
        </w:rPr>
        <w:t>Now this probably (pun intended) sounds like a bunch of nonsense for people who haven’t been forced to sit through a statistics class. But it essentially breaks down to this:</w:t>
      </w:r>
      <w:r>
        <w:rPr>
          <w:lang w:val="en-US"/>
        </w:rPr>
        <w:t xml:space="preserve"> i</w:t>
      </w:r>
      <w:r w:rsidR="008B767D">
        <w:rPr>
          <w:lang w:val="en-US"/>
        </w:rPr>
        <w:t xml:space="preserve">s a save percentage of 93.3% over seven games part of the normal fluctuations </w:t>
      </w:r>
      <w:r w:rsidR="00B504B9">
        <w:rPr>
          <w:lang w:val="en-US"/>
        </w:rPr>
        <w:t>we</w:t>
      </w:r>
      <w:r w:rsidR="008B767D">
        <w:rPr>
          <w:lang w:val="en-US"/>
        </w:rPr>
        <w:t xml:space="preserve"> </w:t>
      </w:r>
      <w:r w:rsidR="00460E9A">
        <w:rPr>
          <w:lang w:val="en-US"/>
        </w:rPr>
        <w:t xml:space="preserve">should </w:t>
      </w:r>
      <w:r w:rsidR="008B767D">
        <w:rPr>
          <w:lang w:val="en-US"/>
        </w:rPr>
        <w:t>expect for an average goaltender</w:t>
      </w:r>
      <w:r w:rsidR="00460E9A">
        <w:rPr>
          <w:lang w:val="en-US"/>
        </w:rPr>
        <w:t xml:space="preserve"> o</w:t>
      </w:r>
      <w:r w:rsidR="008B767D">
        <w:rPr>
          <w:lang w:val="en-US"/>
        </w:rPr>
        <w:t xml:space="preserve">r is this such a rare event that we can reasonably conclude Thatcher </w:t>
      </w:r>
      <w:proofErr w:type="spellStart"/>
      <w:r w:rsidR="008B767D">
        <w:rPr>
          <w:lang w:val="en-US"/>
        </w:rPr>
        <w:t>Demko</w:t>
      </w:r>
      <w:proofErr w:type="spellEnd"/>
      <w:r w:rsidR="008B767D">
        <w:rPr>
          <w:lang w:val="en-US"/>
        </w:rPr>
        <w:t xml:space="preserve"> </w:t>
      </w:r>
      <w:r w:rsidR="00460E9A">
        <w:rPr>
          <w:lang w:val="en-US"/>
        </w:rPr>
        <w:t>is not an average</w:t>
      </w:r>
      <w:r w:rsidR="008B767D">
        <w:rPr>
          <w:lang w:val="en-US"/>
        </w:rPr>
        <w:t xml:space="preserve"> goalie?</w:t>
      </w:r>
    </w:p>
    <w:p w14:paraId="1D932EE8" w14:textId="77777777" w:rsidR="00BE7D39" w:rsidRDefault="00EE4117">
      <w:pPr>
        <w:rPr>
          <w:lang w:val="en-US"/>
        </w:rPr>
      </w:pPr>
      <w:r>
        <w:rPr>
          <w:lang w:val="en-US"/>
        </w:rPr>
        <w:t>R</w:t>
      </w:r>
      <w:r w:rsidR="00CD4418">
        <w:rPr>
          <w:lang w:val="en-US"/>
        </w:rPr>
        <w:t xml:space="preserve">ather than look at any one goalie’s performance, I wanted to </w:t>
      </w:r>
      <w:r>
        <w:rPr>
          <w:lang w:val="en-US"/>
        </w:rPr>
        <w:t xml:space="preserve">extend this concept to </w:t>
      </w:r>
      <w:r w:rsidR="00CD4418">
        <w:rPr>
          <w:lang w:val="en-US"/>
        </w:rPr>
        <w:t xml:space="preserve">establish a general </w:t>
      </w:r>
      <w:r w:rsidR="00BE7D39">
        <w:rPr>
          <w:lang w:val="en-US"/>
        </w:rPr>
        <w:t>‘rule-of-thumb’ for hockey fans to follow:</w:t>
      </w:r>
    </w:p>
    <w:p w14:paraId="27140081" w14:textId="05649592" w:rsidR="00FE4B75" w:rsidRPr="00FE4B75" w:rsidRDefault="00CD4418" w:rsidP="00FE4B75">
      <w:pPr>
        <w:jc w:val="center"/>
        <w:rPr>
          <w:i/>
          <w:iCs/>
          <w:lang w:val="en-US"/>
        </w:rPr>
      </w:pPr>
      <w:r w:rsidRPr="00FE4B75">
        <w:rPr>
          <w:i/>
          <w:iCs/>
          <w:lang w:val="en-US"/>
        </w:rPr>
        <w:t xml:space="preserve">if </w:t>
      </w:r>
      <w:r w:rsidR="000F279D">
        <w:rPr>
          <w:i/>
          <w:iCs/>
          <w:lang w:val="en-US"/>
        </w:rPr>
        <w:t>our</w:t>
      </w:r>
      <w:r w:rsidRPr="00FE4B75">
        <w:rPr>
          <w:i/>
          <w:iCs/>
          <w:lang w:val="en-US"/>
        </w:rPr>
        <w:t xml:space="preserve"> goalie has </w:t>
      </w:r>
      <w:r w:rsidR="00FE4B75">
        <w:rPr>
          <w:i/>
          <w:iCs/>
          <w:lang w:val="en-US"/>
        </w:rPr>
        <w:t>‘</w:t>
      </w:r>
      <w:r w:rsidRPr="00FE4B75">
        <w:rPr>
          <w:b/>
          <w:bCs/>
          <w:i/>
          <w:iCs/>
          <w:lang w:val="en-US"/>
        </w:rPr>
        <w:t>x</w:t>
      </w:r>
      <w:r w:rsidR="00FE4B75">
        <w:rPr>
          <w:b/>
          <w:bCs/>
          <w:i/>
          <w:iCs/>
          <w:lang w:val="en-US"/>
        </w:rPr>
        <w:t>’</w:t>
      </w:r>
      <w:r w:rsidRPr="00FE4B75">
        <w:rPr>
          <w:i/>
          <w:iCs/>
          <w:lang w:val="en-US"/>
        </w:rPr>
        <w:t xml:space="preserve"> save percentage </w:t>
      </w:r>
      <w:r w:rsidR="00EE4117" w:rsidRPr="00FE4B75">
        <w:rPr>
          <w:i/>
          <w:iCs/>
          <w:lang w:val="en-US"/>
        </w:rPr>
        <w:t>over</w:t>
      </w:r>
      <w:r w:rsidRPr="00FE4B75">
        <w:rPr>
          <w:i/>
          <w:iCs/>
          <w:lang w:val="en-US"/>
        </w:rPr>
        <w:t xml:space="preserve"> </w:t>
      </w:r>
      <w:r w:rsidR="00FE4B75">
        <w:rPr>
          <w:i/>
          <w:iCs/>
          <w:lang w:val="en-US"/>
        </w:rPr>
        <w:t>‘</w:t>
      </w:r>
      <w:r w:rsidRPr="00FE4B75">
        <w:rPr>
          <w:b/>
          <w:bCs/>
          <w:i/>
          <w:iCs/>
          <w:lang w:val="en-US"/>
        </w:rPr>
        <w:t>n</w:t>
      </w:r>
      <w:r w:rsidR="00FE4B75">
        <w:rPr>
          <w:b/>
          <w:bCs/>
          <w:i/>
          <w:iCs/>
          <w:lang w:val="en-US"/>
        </w:rPr>
        <w:t>’</w:t>
      </w:r>
      <w:r w:rsidRPr="00FE4B75">
        <w:rPr>
          <w:b/>
          <w:bCs/>
          <w:i/>
          <w:iCs/>
          <w:lang w:val="en-US"/>
        </w:rPr>
        <w:t xml:space="preserve"> </w:t>
      </w:r>
      <w:r w:rsidRPr="00FE4B75">
        <w:rPr>
          <w:i/>
          <w:iCs/>
          <w:lang w:val="en-US"/>
        </w:rPr>
        <w:t xml:space="preserve">number of games we </w:t>
      </w:r>
      <w:r w:rsidR="00EE4117" w:rsidRPr="00FE4B75">
        <w:rPr>
          <w:i/>
          <w:iCs/>
          <w:lang w:val="en-US"/>
        </w:rPr>
        <w:t xml:space="preserve">can </w:t>
      </w:r>
      <w:r w:rsidR="00FE4B75">
        <w:rPr>
          <w:i/>
          <w:iCs/>
          <w:lang w:val="en-US"/>
        </w:rPr>
        <w:t>reject the conclusion that there is no difference between ou</w:t>
      </w:r>
      <w:r w:rsidR="000F279D">
        <w:rPr>
          <w:i/>
          <w:iCs/>
          <w:lang w:val="en-US"/>
        </w:rPr>
        <w:t>r</w:t>
      </w:r>
      <w:r w:rsidR="00FE4B75">
        <w:rPr>
          <w:i/>
          <w:iCs/>
          <w:lang w:val="en-US"/>
        </w:rPr>
        <w:t xml:space="preserve"> goalie and an average one</w:t>
      </w:r>
    </w:p>
    <w:p w14:paraId="469789D4" w14:textId="407C071D" w:rsidR="00460E9A" w:rsidRDefault="00CD4418">
      <w:pPr>
        <w:rPr>
          <w:lang w:val="en-US"/>
        </w:rPr>
      </w:pPr>
      <w:r>
        <w:rPr>
          <w:lang w:val="en-US"/>
        </w:rPr>
        <w:t xml:space="preserve">To do this, I used the estimates for </w:t>
      </w:r>
      <w:r w:rsidR="00FE4B75">
        <w:rPr>
          <w:lang w:val="en-US"/>
        </w:rPr>
        <w:t>the</w:t>
      </w:r>
      <w:r>
        <w:rPr>
          <w:lang w:val="en-US"/>
        </w:rPr>
        <w:t xml:space="preserve"> average save percentage (91.1%) and standard deviation (5.3%) from a </w:t>
      </w:r>
      <w:hyperlink r:id="rId7" w:history="1">
        <w:r w:rsidRPr="00CD4418">
          <w:rPr>
            <w:rStyle w:val="Hyperlink"/>
            <w:lang w:val="en-US"/>
          </w:rPr>
          <w:t>previous blog</w:t>
        </w:r>
      </w:hyperlink>
      <w:r>
        <w:rPr>
          <w:lang w:val="en-US"/>
        </w:rPr>
        <w:t xml:space="preserve">. I then calculated </w:t>
      </w:r>
      <w:r w:rsidR="00EE4117">
        <w:rPr>
          <w:lang w:val="en-US"/>
        </w:rPr>
        <w:t>the minimum number of games</w:t>
      </w:r>
      <w:r w:rsidR="00FE4B75">
        <w:rPr>
          <w:lang w:val="en-US"/>
        </w:rPr>
        <w:t xml:space="preserve"> (</w:t>
      </w:r>
      <w:r w:rsidR="00FE4B75" w:rsidRPr="00FE4B75">
        <w:rPr>
          <w:b/>
          <w:bCs/>
          <w:i/>
          <w:iCs/>
          <w:lang w:val="en-US"/>
        </w:rPr>
        <w:t>n</w:t>
      </w:r>
      <w:r w:rsidR="00FE4B75">
        <w:rPr>
          <w:lang w:val="en-US"/>
        </w:rPr>
        <w:t>)</w:t>
      </w:r>
      <w:r w:rsidR="00EE4117">
        <w:rPr>
          <w:lang w:val="en-US"/>
        </w:rPr>
        <w:t xml:space="preserve">, at </w:t>
      </w:r>
      <w:r>
        <w:rPr>
          <w:lang w:val="en-US"/>
        </w:rPr>
        <w:t>a hypothetical save percentage</w:t>
      </w:r>
      <w:r w:rsidR="00FE4B75">
        <w:rPr>
          <w:lang w:val="en-US"/>
        </w:rPr>
        <w:t xml:space="preserve"> (</w:t>
      </w:r>
      <w:r w:rsidR="00FE4B75" w:rsidRPr="00FE4B75">
        <w:rPr>
          <w:b/>
          <w:bCs/>
          <w:i/>
          <w:iCs/>
          <w:lang w:val="en-US"/>
        </w:rPr>
        <w:t>x</w:t>
      </w:r>
      <w:r w:rsidR="00FE4B75">
        <w:rPr>
          <w:lang w:val="en-US"/>
        </w:rPr>
        <w:t>)</w:t>
      </w:r>
      <w:r w:rsidR="00EE4117">
        <w:rPr>
          <w:lang w:val="en-US"/>
        </w:rPr>
        <w:t xml:space="preserve">, to achieve a &lt;5% probability of observing the data </w:t>
      </w:r>
      <w:r w:rsidR="00FE4B75">
        <w:rPr>
          <w:lang w:val="en-US"/>
        </w:rPr>
        <w:t xml:space="preserve">(or data more extreme) </w:t>
      </w:r>
      <w:r w:rsidR="00EE4117">
        <w:rPr>
          <w:lang w:val="en-US"/>
        </w:rPr>
        <w:t xml:space="preserve">if </w:t>
      </w:r>
      <w:r w:rsidR="00FE4B75">
        <w:rPr>
          <w:lang w:val="en-US"/>
        </w:rPr>
        <w:t xml:space="preserve">there was no difference between our goalie and an average one (91.1%). </w:t>
      </w:r>
      <w:r w:rsidR="00E82237">
        <w:rPr>
          <w:lang w:val="en-US"/>
        </w:rPr>
        <w:t xml:space="preserve">Now for any statisticians reading this blog, I fully acknowledge that some </w:t>
      </w:r>
      <w:r w:rsidR="00FE4B75">
        <w:rPr>
          <w:lang w:val="en-US"/>
        </w:rPr>
        <w:t xml:space="preserve">of the </w:t>
      </w:r>
      <w:r w:rsidR="00E82237">
        <w:rPr>
          <w:lang w:val="en-US"/>
        </w:rPr>
        <w:t xml:space="preserve">assumptions </w:t>
      </w:r>
      <w:r w:rsidR="00FE4B75">
        <w:rPr>
          <w:lang w:val="en-US"/>
        </w:rPr>
        <w:t>behind these statistical tests are being ignored; however, to make a</w:t>
      </w:r>
      <w:r w:rsidR="00E82237">
        <w:rPr>
          <w:lang w:val="en-US"/>
        </w:rPr>
        <w:t xml:space="preserve"> generalizable </w:t>
      </w:r>
      <w:r w:rsidR="00FE4B75">
        <w:rPr>
          <w:lang w:val="en-US"/>
        </w:rPr>
        <w:t>‘</w:t>
      </w:r>
      <w:r w:rsidR="00E82237">
        <w:rPr>
          <w:lang w:val="en-US"/>
        </w:rPr>
        <w:t>rule</w:t>
      </w:r>
      <w:r w:rsidR="00FE4B75">
        <w:rPr>
          <w:lang w:val="en-US"/>
        </w:rPr>
        <w:t>-</w:t>
      </w:r>
      <w:r w:rsidR="00E82237">
        <w:rPr>
          <w:lang w:val="en-US"/>
        </w:rPr>
        <w:t>of</w:t>
      </w:r>
      <w:r w:rsidR="00FE4B75">
        <w:rPr>
          <w:lang w:val="en-US"/>
        </w:rPr>
        <w:t>-</w:t>
      </w:r>
      <w:r w:rsidR="00E82237">
        <w:rPr>
          <w:lang w:val="en-US"/>
        </w:rPr>
        <w:t>thumb</w:t>
      </w:r>
      <w:r w:rsidR="00FE4B75">
        <w:rPr>
          <w:lang w:val="en-US"/>
        </w:rPr>
        <w:t>’</w:t>
      </w:r>
      <w:r w:rsidR="00E82237">
        <w:rPr>
          <w:lang w:val="en-US"/>
        </w:rPr>
        <w:t xml:space="preserve"> some concessions need to be made.</w:t>
      </w:r>
    </w:p>
    <w:p w14:paraId="50101CDC" w14:textId="152FFEF6" w:rsidR="00FB4047" w:rsidRDefault="00FB4047">
      <w:pPr>
        <w:rPr>
          <w:lang w:val="en-US"/>
        </w:rPr>
      </w:pPr>
    </w:p>
    <w:p w14:paraId="6D54F171" w14:textId="6EBF603A" w:rsidR="00FB4047" w:rsidRDefault="00FB4047">
      <w:pPr>
        <w:rPr>
          <w:lang w:val="en-US"/>
        </w:rPr>
      </w:pPr>
    </w:p>
    <w:p w14:paraId="743F7154" w14:textId="7129C829" w:rsidR="00FB4047" w:rsidRDefault="00FB4047">
      <w:pPr>
        <w:rPr>
          <w:lang w:val="en-US"/>
        </w:rPr>
      </w:pPr>
    </w:p>
    <w:p w14:paraId="6AF0CAEC" w14:textId="77777777" w:rsidR="00FE4B75" w:rsidRDefault="00FE4B75">
      <w:pPr>
        <w:rPr>
          <w:lang w:val="en-US"/>
        </w:rPr>
      </w:pPr>
    </w:p>
    <w:p w14:paraId="2A2B64A5" w14:textId="5DC0DBDE" w:rsidR="00FB4047" w:rsidRDefault="00FB404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4"/>
        <w:gridCol w:w="2835"/>
      </w:tblGrid>
      <w:tr w:rsidR="00631B5F" w14:paraId="7622869A" w14:textId="696A2CE1" w:rsidTr="00C94C8F"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948991E" w14:textId="42B9D0A0" w:rsidR="00631B5F" w:rsidRDefault="00631B5F" w:rsidP="00631B5F">
            <w:pPr>
              <w:rPr>
                <w:lang w:val="en-US"/>
              </w:rPr>
            </w:pPr>
            <w:r w:rsidRPr="00C94C8F">
              <w:rPr>
                <w:b/>
                <w:bCs/>
                <w:lang w:val="en-US"/>
              </w:rPr>
              <w:lastRenderedPageBreak/>
              <w:t>Table 1.</w:t>
            </w:r>
            <w:r>
              <w:rPr>
                <w:lang w:val="en-US"/>
              </w:rPr>
              <w:t xml:space="preserve"> </w:t>
            </w:r>
            <w:r w:rsidR="00C94C8F">
              <w:rPr>
                <w:lang w:val="en-US"/>
              </w:rPr>
              <w:t xml:space="preserve">Games needed at a given save percentage to </w:t>
            </w:r>
            <w:r w:rsidR="00C94C8F" w:rsidRPr="00C94C8F">
              <w:rPr>
                <w:lang w:val="en-US"/>
              </w:rPr>
              <w:t>achieve a &lt;5% probability of observing the data</w:t>
            </w:r>
            <w:r w:rsidR="00C94C8F">
              <w:rPr>
                <w:lang w:val="en-US"/>
              </w:rPr>
              <w:t xml:space="preserve"> </w:t>
            </w:r>
            <w:r w:rsidR="00C94C8F" w:rsidRPr="00C94C8F">
              <w:rPr>
                <w:lang w:val="en-US"/>
              </w:rPr>
              <w:t xml:space="preserve">if there was no difference between </w:t>
            </w:r>
            <w:r w:rsidR="00C94C8F">
              <w:rPr>
                <w:lang w:val="en-US"/>
              </w:rPr>
              <w:t>our goalie and an average one</w:t>
            </w:r>
          </w:p>
        </w:tc>
      </w:tr>
      <w:tr w:rsidR="00631B5F" w14:paraId="05C9D235" w14:textId="2C19AD3E" w:rsidTr="00C94C8F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EF244C9" w14:textId="0979713B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Save Percentage (%)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F45CB5A" w14:textId="34C3E211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Games (#)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017DEB7" w14:textId="4970F691" w:rsidR="00631B5F" w:rsidRDefault="00631B5F" w:rsidP="00BA2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Confidence Interval</w:t>
            </w:r>
          </w:p>
        </w:tc>
      </w:tr>
      <w:tr w:rsidR="00631B5F" w14:paraId="3102CC6C" w14:textId="399BF6B0" w:rsidTr="00C94C8F">
        <w:tc>
          <w:tcPr>
            <w:tcW w:w="3119" w:type="dxa"/>
            <w:tcBorders>
              <w:top w:val="single" w:sz="4" w:space="0" w:color="auto"/>
            </w:tcBorders>
          </w:tcPr>
          <w:p w14:paraId="2A91F9E5" w14:textId="1903CB7E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92.0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D2C9A56" w14:textId="573CB356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53935B" w14:textId="6F69F98E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91.11, 92.89</w:t>
            </w:r>
          </w:p>
        </w:tc>
      </w:tr>
      <w:tr w:rsidR="00631B5F" w14:paraId="35BC4ABB" w14:textId="6BC33B92" w:rsidTr="00C94C8F">
        <w:tc>
          <w:tcPr>
            <w:tcW w:w="3119" w:type="dxa"/>
          </w:tcPr>
          <w:p w14:paraId="53691D0E" w14:textId="1183981C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92.5</w:t>
            </w:r>
          </w:p>
        </w:tc>
        <w:tc>
          <w:tcPr>
            <w:tcW w:w="1984" w:type="dxa"/>
          </w:tcPr>
          <w:p w14:paraId="028C896B" w14:textId="25211EF2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2835" w:type="dxa"/>
          </w:tcPr>
          <w:p w14:paraId="3BD12E86" w14:textId="3E1EAC9B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91.14, 93.86</w:t>
            </w:r>
          </w:p>
        </w:tc>
      </w:tr>
      <w:tr w:rsidR="00631B5F" w14:paraId="4D4D7C5C" w14:textId="11E910A1" w:rsidTr="00C94C8F">
        <w:tc>
          <w:tcPr>
            <w:tcW w:w="3119" w:type="dxa"/>
          </w:tcPr>
          <w:p w14:paraId="138BBCE8" w14:textId="0DB773B5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93.0</w:t>
            </w:r>
          </w:p>
        </w:tc>
        <w:tc>
          <w:tcPr>
            <w:tcW w:w="1984" w:type="dxa"/>
          </w:tcPr>
          <w:p w14:paraId="72DAC301" w14:textId="3D87ED8F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5" w:type="dxa"/>
          </w:tcPr>
          <w:p w14:paraId="352FAB75" w14:textId="4BDE8245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91.19, 94.81</w:t>
            </w:r>
          </w:p>
        </w:tc>
      </w:tr>
      <w:tr w:rsidR="00631B5F" w14:paraId="579C9774" w14:textId="001401E1" w:rsidTr="00C94C8F">
        <w:tc>
          <w:tcPr>
            <w:tcW w:w="3119" w:type="dxa"/>
          </w:tcPr>
          <w:p w14:paraId="30A8C464" w14:textId="40D6E153" w:rsidR="00631B5F" w:rsidRPr="007058CE" w:rsidRDefault="00631B5F" w:rsidP="00FB4047">
            <w:pPr>
              <w:jc w:val="center"/>
              <w:rPr>
                <w:b/>
                <w:bCs/>
                <w:lang w:val="en-US"/>
              </w:rPr>
            </w:pPr>
            <w:r w:rsidRPr="007058CE">
              <w:rPr>
                <w:b/>
                <w:bCs/>
                <w:lang w:val="en-US"/>
              </w:rPr>
              <w:t>93.5</w:t>
            </w:r>
          </w:p>
        </w:tc>
        <w:tc>
          <w:tcPr>
            <w:tcW w:w="1984" w:type="dxa"/>
          </w:tcPr>
          <w:p w14:paraId="55830A8A" w14:textId="0AB2A45D" w:rsidR="00631B5F" w:rsidRPr="007058CE" w:rsidRDefault="00631B5F" w:rsidP="00FB4047">
            <w:pPr>
              <w:jc w:val="center"/>
              <w:rPr>
                <w:b/>
                <w:bCs/>
                <w:lang w:val="en-US"/>
              </w:rPr>
            </w:pPr>
            <w:r w:rsidRPr="007058CE">
              <w:rPr>
                <w:b/>
                <w:bCs/>
                <w:lang w:val="en-US"/>
              </w:rPr>
              <w:t>22</w:t>
            </w:r>
          </w:p>
        </w:tc>
        <w:tc>
          <w:tcPr>
            <w:tcW w:w="2835" w:type="dxa"/>
          </w:tcPr>
          <w:p w14:paraId="1A98BBB4" w14:textId="42EB1C18" w:rsidR="00631B5F" w:rsidRPr="007058CE" w:rsidRDefault="00631B5F" w:rsidP="00631B5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058C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91.29, 95.71</w:t>
            </w:r>
          </w:p>
        </w:tc>
      </w:tr>
      <w:tr w:rsidR="00631B5F" w14:paraId="7DCBFA11" w14:textId="096D6E9F" w:rsidTr="00C94C8F">
        <w:tc>
          <w:tcPr>
            <w:tcW w:w="3119" w:type="dxa"/>
          </w:tcPr>
          <w:p w14:paraId="2D6B1DA6" w14:textId="640BF863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94.0</w:t>
            </w:r>
          </w:p>
        </w:tc>
        <w:tc>
          <w:tcPr>
            <w:tcW w:w="1984" w:type="dxa"/>
          </w:tcPr>
          <w:p w14:paraId="015D4159" w14:textId="0B8C6B31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5" w:type="dxa"/>
          </w:tcPr>
          <w:p w14:paraId="46397525" w14:textId="05E5B863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91.40, 96.60</w:t>
            </w:r>
          </w:p>
        </w:tc>
      </w:tr>
      <w:tr w:rsidR="00631B5F" w14:paraId="6103CE73" w14:textId="063C3E95" w:rsidTr="00C94C8F">
        <w:tc>
          <w:tcPr>
            <w:tcW w:w="3119" w:type="dxa"/>
          </w:tcPr>
          <w:p w14:paraId="15455E02" w14:textId="26B1C6FC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94.5</w:t>
            </w:r>
          </w:p>
        </w:tc>
        <w:tc>
          <w:tcPr>
            <w:tcW w:w="1984" w:type="dxa"/>
          </w:tcPr>
          <w:p w14:paraId="213421B5" w14:textId="7ACADF44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14:paraId="50397FE4" w14:textId="58DF5F7E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91.50, 97.50</w:t>
            </w:r>
          </w:p>
        </w:tc>
      </w:tr>
      <w:tr w:rsidR="00631B5F" w14:paraId="2E60CF42" w14:textId="29DF7895" w:rsidTr="00C94C8F">
        <w:tc>
          <w:tcPr>
            <w:tcW w:w="3119" w:type="dxa"/>
          </w:tcPr>
          <w:p w14:paraId="6A13F102" w14:textId="7FE7EB02" w:rsidR="00631B5F" w:rsidRPr="007058CE" w:rsidRDefault="00631B5F" w:rsidP="00FB4047">
            <w:pPr>
              <w:jc w:val="center"/>
              <w:rPr>
                <w:lang w:val="en-US"/>
              </w:rPr>
            </w:pPr>
            <w:r w:rsidRPr="007058CE">
              <w:rPr>
                <w:lang w:val="en-US"/>
              </w:rPr>
              <w:t>95.0</w:t>
            </w:r>
          </w:p>
        </w:tc>
        <w:tc>
          <w:tcPr>
            <w:tcW w:w="1984" w:type="dxa"/>
          </w:tcPr>
          <w:p w14:paraId="1A11D4C3" w14:textId="767E17EB" w:rsidR="00631B5F" w:rsidRPr="007058CE" w:rsidRDefault="00631B5F" w:rsidP="00FB4047">
            <w:pPr>
              <w:jc w:val="center"/>
              <w:rPr>
                <w:lang w:val="en-US"/>
              </w:rPr>
            </w:pPr>
            <w:r w:rsidRPr="007058CE">
              <w:rPr>
                <w:lang w:val="en-US"/>
              </w:rPr>
              <w:t>10</w:t>
            </w:r>
          </w:p>
        </w:tc>
        <w:tc>
          <w:tcPr>
            <w:tcW w:w="2835" w:type="dxa"/>
          </w:tcPr>
          <w:p w14:paraId="7D21C285" w14:textId="28275EAD" w:rsidR="00631B5F" w:rsidRPr="007058CE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058CE">
              <w:rPr>
                <w:rFonts w:ascii="Calibri" w:eastAsia="Times New Roman" w:hAnsi="Calibri" w:cs="Calibri"/>
                <w:color w:val="000000"/>
                <w:lang w:eastAsia="en-CA"/>
              </w:rPr>
              <w:t>91.72, 98.28</w:t>
            </w:r>
          </w:p>
        </w:tc>
      </w:tr>
      <w:tr w:rsidR="00631B5F" w14:paraId="20082FE2" w14:textId="3FE20D9F" w:rsidTr="00C94C8F">
        <w:tc>
          <w:tcPr>
            <w:tcW w:w="3119" w:type="dxa"/>
          </w:tcPr>
          <w:p w14:paraId="7D677FB0" w14:textId="50E32C0F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95.5</w:t>
            </w:r>
          </w:p>
        </w:tc>
        <w:tc>
          <w:tcPr>
            <w:tcW w:w="1984" w:type="dxa"/>
          </w:tcPr>
          <w:p w14:paraId="069A7DC0" w14:textId="5E6886F5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5" w:type="dxa"/>
          </w:tcPr>
          <w:p w14:paraId="5E31701D" w14:textId="5202DC83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92.04, 98.96</w:t>
            </w:r>
          </w:p>
        </w:tc>
      </w:tr>
      <w:tr w:rsidR="00631B5F" w14:paraId="2CF04FDF" w14:textId="073255E8" w:rsidTr="00C94C8F">
        <w:tc>
          <w:tcPr>
            <w:tcW w:w="3119" w:type="dxa"/>
          </w:tcPr>
          <w:p w14:paraId="5E59AEB1" w14:textId="61318EA9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96.0</w:t>
            </w:r>
          </w:p>
        </w:tc>
        <w:tc>
          <w:tcPr>
            <w:tcW w:w="1984" w:type="dxa"/>
          </w:tcPr>
          <w:p w14:paraId="318FAB92" w14:textId="6B0E571E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14:paraId="3116565C" w14:textId="5C84701B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92.33, 99.67</w:t>
            </w:r>
          </w:p>
        </w:tc>
      </w:tr>
      <w:tr w:rsidR="00631B5F" w14:paraId="41C29704" w14:textId="19D83AB2" w:rsidTr="00C94C8F">
        <w:tc>
          <w:tcPr>
            <w:tcW w:w="3119" w:type="dxa"/>
          </w:tcPr>
          <w:p w14:paraId="649DDFD1" w14:textId="4A93337D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96.5</w:t>
            </w:r>
          </w:p>
        </w:tc>
        <w:tc>
          <w:tcPr>
            <w:tcW w:w="1984" w:type="dxa"/>
          </w:tcPr>
          <w:p w14:paraId="17A02FF7" w14:textId="20310C3E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14:paraId="175080E7" w14:textId="3D50BA71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92.57, 100.0</w:t>
            </w:r>
          </w:p>
        </w:tc>
      </w:tr>
      <w:tr w:rsidR="00631B5F" w14:paraId="42DB84A7" w14:textId="414E3B9A" w:rsidTr="00C94C8F">
        <w:tc>
          <w:tcPr>
            <w:tcW w:w="3119" w:type="dxa"/>
          </w:tcPr>
          <w:p w14:paraId="6204EE36" w14:textId="7B971880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97.0</w:t>
            </w:r>
          </w:p>
        </w:tc>
        <w:tc>
          <w:tcPr>
            <w:tcW w:w="1984" w:type="dxa"/>
          </w:tcPr>
          <w:p w14:paraId="7233819A" w14:textId="14AF6132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14:paraId="71514E3F" w14:textId="6131735B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92.76, 100.0</w:t>
            </w:r>
          </w:p>
        </w:tc>
      </w:tr>
      <w:tr w:rsidR="00631B5F" w14:paraId="063C220F" w14:textId="75D18CE6" w:rsidTr="00C94C8F">
        <w:tc>
          <w:tcPr>
            <w:tcW w:w="3119" w:type="dxa"/>
          </w:tcPr>
          <w:p w14:paraId="1D60E5E7" w14:textId="71EDDCA3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97.5</w:t>
            </w:r>
          </w:p>
        </w:tc>
        <w:tc>
          <w:tcPr>
            <w:tcW w:w="1984" w:type="dxa"/>
          </w:tcPr>
          <w:p w14:paraId="29608B63" w14:textId="27307742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14:paraId="03174C31" w14:textId="0468D845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93.26, 100.0</w:t>
            </w:r>
          </w:p>
        </w:tc>
      </w:tr>
      <w:tr w:rsidR="00631B5F" w14:paraId="5CDD9132" w14:textId="41F782FB" w:rsidTr="00C94C8F">
        <w:tc>
          <w:tcPr>
            <w:tcW w:w="3119" w:type="dxa"/>
          </w:tcPr>
          <w:p w14:paraId="0FB136DA" w14:textId="377FC1BF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98.0</w:t>
            </w:r>
          </w:p>
        </w:tc>
        <w:tc>
          <w:tcPr>
            <w:tcW w:w="1984" w:type="dxa"/>
          </w:tcPr>
          <w:p w14:paraId="1C91F0D6" w14:textId="095BEC62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4F68B4B2" w14:textId="62980DBF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93.35, 100.0</w:t>
            </w:r>
          </w:p>
        </w:tc>
      </w:tr>
      <w:tr w:rsidR="00631B5F" w14:paraId="4EF514A7" w14:textId="46AD3D3A" w:rsidTr="00C94C8F">
        <w:tc>
          <w:tcPr>
            <w:tcW w:w="3119" w:type="dxa"/>
          </w:tcPr>
          <w:p w14:paraId="1AB22676" w14:textId="644D2DF5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98.5</w:t>
            </w:r>
          </w:p>
        </w:tc>
        <w:tc>
          <w:tcPr>
            <w:tcW w:w="1984" w:type="dxa"/>
          </w:tcPr>
          <w:p w14:paraId="3F7A488C" w14:textId="26881111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7F12BACD" w14:textId="00A17B07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93.85, 100.0</w:t>
            </w:r>
          </w:p>
        </w:tc>
      </w:tr>
      <w:tr w:rsidR="00631B5F" w14:paraId="68E37D67" w14:textId="537BE1E8" w:rsidTr="00C94C8F">
        <w:tc>
          <w:tcPr>
            <w:tcW w:w="3119" w:type="dxa"/>
          </w:tcPr>
          <w:p w14:paraId="2EEFB2CE" w14:textId="04584736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99.0</w:t>
            </w:r>
          </w:p>
        </w:tc>
        <w:tc>
          <w:tcPr>
            <w:tcW w:w="1984" w:type="dxa"/>
          </w:tcPr>
          <w:p w14:paraId="3CAB5AA8" w14:textId="4D038C1F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5296598C" w14:textId="76B75261" w:rsidR="00631B5F" w:rsidRPr="00BA2815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94.35, 100.0</w:t>
            </w:r>
          </w:p>
        </w:tc>
      </w:tr>
      <w:tr w:rsidR="00631B5F" w14:paraId="57B4C447" w14:textId="3A824B83" w:rsidTr="00C94C8F">
        <w:tc>
          <w:tcPr>
            <w:tcW w:w="3119" w:type="dxa"/>
          </w:tcPr>
          <w:p w14:paraId="06F0EA9E" w14:textId="70595119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99.5</w:t>
            </w:r>
          </w:p>
        </w:tc>
        <w:tc>
          <w:tcPr>
            <w:tcW w:w="1984" w:type="dxa"/>
          </w:tcPr>
          <w:p w14:paraId="636561D3" w14:textId="1C235E07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3397A6F3" w14:textId="475AF773" w:rsidR="00631B5F" w:rsidRPr="00FB4047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94.85, 100.0</w:t>
            </w:r>
          </w:p>
        </w:tc>
      </w:tr>
      <w:tr w:rsidR="00631B5F" w14:paraId="79F15714" w14:textId="1B2797AC" w:rsidTr="00C94C8F">
        <w:tc>
          <w:tcPr>
            <w:tcW w:w="3119" w:type="dxa"/>
            <w:tcBorders>
              <w:bottom w:val="single" w:sz="4" w:space="0" w:color="auto"/>
            </w:tcBorders>
          </w:tcPr>
          <w:p w14:paraId="1B94C213" w14:textId="188BD099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4E60867" w14:textId="13DAE114" w:rsidR="00631B5F" w:rsidRDefault="00631B5F" w:rsidP="00FB40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8F25B07" w14:textId="624DA235" w:rsidR="00631B5F" w:rsidRPr="00FB4047" w:rsidRDefault="00631B5F" w:rsidP="00631B5F">
            <w:pPr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94.81, 100.0</w:t>
            </w:r>
          </w:p>
        </w:tc>
      </w:tr>
    </w:tbl>
    <w:p w14:paraId="65ABE139" w14:textId="77777777" w:rsidR="00BA2815" w:rsidRDefault="00BA2815">
      <w:pPr>
        <w:rPr>
          <w:lang w:val="en-US"/>
        </w:rPr>
      </w:pPr>
    </w:p>
    <w:p w14:paraId="593E3B67" w14:textId="2C36EC0C" w:rsidR="00987E37" w:rsidRDefault="00C94C8F">
      <w:pPr>
        <w:rPr>
          <w:lang w:val="en-US"/>
        </w:rPr>
      </w:pPr>
      <w:r>
        <w:rPr>
          <w:lang w:val="en-US"/>
        </w:rPr>
        <w:t>Table 1</w:t>
      </w:r>
      <w:r w:rsidR="00987E37">
        <w:rPr>
          <w:lang w:val="en-US"/>
        </w:rPr>
        <w:t xml:space="preserve"> tells us </w:t>
      </w:r>
      <w:r w:rsidR="007058CE">
        <w:rPr>
          <w:lang w:val="en-US"/>
        </w:rPr>
        <w:t xml:space="preserve">that, if </w:t>
      </w:r>
      <w:r w:rsidR="00987E37">
        <w:rPr>
          <w:lang w:val="en-US"/>
        </w:rPr>
        <w:t xml:space="preserve">there is no difference between our goalie and an average goalie, </w:t>
      </w:r>
      <w:r w:rsidR="00962B09">
        <w:rPr>
          <w:lang w:val="en-US"/>
        </w:rPr>
        <w:t>then</w:t>
      </w:r>
      <w:r w:rsidR="00987E37">
        <w:rPr>
          <w:lang w:val="en-US"/>
        </w:rPr>
        <w:t xml:space="preserve"> there is a less &lt;5% chance of observing a</w:t>
      </w:r>
      <w:r w:rsidR="007058CE">
        <w:rPr>
          <w:lang w:val="en-US"/>
        </w:rPr>
        <w:t xml:space="preserve"> random</w:t>
      </w:r>
      <w:r w:rsidR="00987E37">
        <w:rPr>
          <w:lang w:val="en-US"/>
        </w:rPr>
        <w:t xml:space="preserve"> sample of </w:t>
      </w:r>
      <w:r w:rsidR="007058CE">
        <w:rPr>
          <w:lang w:val="en-US"/>
        </w:rPr>
        <w:t>22</w:t>
      </w:r>
      <w:r w:rsidR="00987E37">
        <w:rPr>
          <w:lang w:val="en-US"/>
        </w:rPr>
        <w:t xml:space="preserve"> games where our goalie saves </w:t>
      </w:r>
      <w:r w:rsidR="00236FF5">
        <w:rPr>
          <w:rFonts w:cstheme="minorHAnsi"/>
          <w:lang w:val="en-US"/>
        </w:rPr>
        <w:t>≥</w:t>
      </w:r>
      <w:r w:rsidR="00962B09">
        <w:rPr>
          <w:lang w:val="en-US"/>
        </w:rPr>
        <w:t>9</w:t>
      </w:r>
      <w:r w:rsidR="007058CE">
        <w:rPr>
          <w:lang w:val="en-US"/>
        </w:rPr>
        <w:t>3</w:t>
      </w:r>
      <w:r w:rsidR="00236FF5">
        <w:rPr>
          <w:lang w:val="en-US"/>
        </w:rPr>
        <w:t>.</w:t>
      </w:r>
      <w:r w:rsidR="007058CE">
        <w:rPr>
          <w:lang w:val="en-US"/>
        </w:rPr>
        <w:t>5</w:t>
      </w:r>
      <w:r w:rsidR="00987E37">
        <w:rPr>
          <w:lang w:val="en-US"/>
        </w:rPr>
        <w:t>%</w:t>
      </w:r>
      <w:r w:rsidR="0030286A">
        <w:rPr>
          <w:lang w:val="en-US"/>
        </w:rPr>
        <w:t xml:space="preserve"> </w:t>
      </w:r>
      <w:r w:rsidR="00236FF5">
        <w:rPr>
          <w:lang w:val="en-US"/>
        </w:rPr>
        <w:t>of shots. Thus</w:t>
      </w:r>
      <w:r w:rsidR="00987E37">
        <w:rPr>
          <w:lang w:val="en-US"/>
        </w:rPr>
        <w:t xml:space="preserve">, </w:t>
      </w:r>
      <w:r w:rsidR="0030286A">
        <w:rPr>
          <w:lang w:val="en-US"/>
        </w:rPr>
        <w:t xml:space="preserve">based on the low probability of observing </w:t>
      </w:r>
      <w:r w:rsidR="00236FF5">
        <w:rPr>
          <w:lang w:val="en-US"/>
        </w:rPr>
        <w:t xml:space="preserve">this sample of </w:t>
      </w:r>
      <w:r w:rsidR="0030286A">
        <w:rPr>
          <w:lang w:val="en-US"/>
        </w:rPr>
        <w:t xml:space="preserve">data, </w:t>
      </w:r>
      <w:r w:rsidR="00987E37">
        <w:rPr>
          <w:lang w:val="en-US"/>
        </w:rPr>
        <w:t xml:space="preserve">we can reject the conclusion that </w:t>
      </w:r>
      <w:r w:rsidR="00236FF5">
        <w:rPr>
          <w:lang w:val="en-US"/>
        </w:rPr>
        <w:t>our goalie is average</w:t>
      </w:r>
      <w:r w:rsidR="00987E37">
        <w:rPr>
          <w:lang w:val="en-US"/>
        </w:rPr>
        <w:t xml:space="preserve">. </w:t>
      </w:r>
      <w:r w:rsidR="00236FF5">
        <w:rPr>
          <w:lang w:val="en-US"/>
        </w:rPr>
        <w:t xml:space="preserve">In addition, the </w:t>
      </w:r>
      <w:r w:rsidR="0030286A">
        <w:rPr>
          <w:lang w:val="en-US"/>
        </w:rPr>
        <w:t xml:space="preserve">confidence interval column of Table 1 gives us a range of possible values that will contain our goalies true save percentage 95% of the time. </w:t>
      </w:r>
      <w:r w:rsidR="00962B09">
        <w:rPr>
          <w:lang w:val="en-US"/>
        </w:rPr>
        <w:t xml:space="preserve">In other words, if we take </w:t>
      </w:r>
      <w:r w:rsidR="00325FD9">
        <w:rPr>
          <w:lang w:val="en-US"/>
        </w:rPr>
        <w:t>an infinite number of</w:t>
      </w:r>
      <w:r w:rsidR="00962B09">
        <w:rPr>
          <w:lang w:val="en-US"/>
        </w:rPr>
        <w:t xml:space="preserve"> samples from our goalie and calculate </w:t>
      </w:r>
      <w:r w:rsidR="00325FD9">
        <w:rPr>
          <w:lang w:val="en-US"/>
        </w:rPr>
        <w:t>the</w:t>
      </w:r>
      <w:r w:rsidR="00962B09">
        <w:rPr>
          <w:lang w:val="en-US"/>
        </w:rPr>
        <w:t xml:space="preserve"> confidence interval</w:t>
      </w:r>
      <w:r w:rsidR="00325FD9">
        <w:rPr>
          <w:lang w:val="en-US"/>
        </w:rPr>
        <w:t xml:space="preserve"> of each sample</w:t>
      </w:r>
      <w:r w:rsidR="00962B09">
        <w:rPr>
          <w:lang w:val="en-US"/>
        </w:rPr>
        <w:t xml:space="preserve">, our goalies true save percentage will be contained within </w:t>
      </w:r>
      <w:r w:rsidR="00A02995">
        <w:rPr>
          <w:lang w:val="en-US"/>
        </w:rPr>
        <w:t>the confidence interval</w:t>
      </w:r>
      <w:r w:rsidR="00962B09">
        <w:rPr>
          <w:lang w:val="en-US"/>
        </w:rPr>
        <w:t xml:space="preserve"> 95% of the time.</w:t>
      </w:r>
    </w:p>
    <w:p w14:paraId="1A7E7480" w14:textId="05FD0E7D" w:rsidR="000155C9" w:rsidRPr="000155C9" w:rsidRDefault="00962B09">
      <w:pPr>
        <w:rPr>
          <w:lang w:val="en-US"/>
        </w:rPr>
      </w:pPr>
      <w:r>
        <w:rPr>
          <w:lang w:val="en-US"/>
        </w:rPr>
        <w:t>So if I</w:t>
      </w:r>
      <w:r w:rsidR="007058CE">
        <w:rPr>
          <w:lang w:val="en-US"/>
        </w:rPr>
        <w:t>’m a casual hockey fan</w:t>
      </w:r>
      <w:r w:rsidR="000C3F7A">
        <w:rPr>
          <w:lang w:val="en-US"/>
        </w:rPr>
        <w:t>,</w:t>
      </w:r>
      <w:r w:rsidR="007058CE">
        <w:rPr>
          <w:lang w:val="en-US"/>
        </w:rPr>
        <w:t xml:space="preserve"> and the goalie for my team just saved 93.5%</w:t>
      </w:r>
      <w:r>
        <w:rPr>
          <w:lang w:val="en-US"/>
        </w:rPr>
        <w:t xml:space="preserve"> </w:t>
      </w:r>
      <w:r w:rsidR="000C3F7A">
        <w:rPr>
          <w:lang w:val="en-US"/>
        </w:rPr>
        <w:t>over a 22 game span, I can look at this table and reject the conclusion that there is no difference between my goalie and an average one. In other words, this isn’t just a random hot streak, we have enough data to suggests that there is a true difference between our goalie and the league average. F</w:t>
      </w:r>
      <w:r>
        <w:rPr>
          <w:lang w:val="en-US"/>
        </w:rPr>
        <w:t xml:space="preserve">urthermore, while there may be some regression over the course of the season, it is likely that </w:t>
      </w:r>
      <w:r w:rsidR="00BA2815">
        <w:rPr>
          <w:lang w:val="en-US"/>
        </w:rPr>
        <w:t xml:space="preserve">my </w:t>
      </w:r>
      <w:r>
        <w:rPr>
          <w:lang w:val="en-US"/>
        </w:rPr>
        <w:t>goalie</w:t>
      </w:r>
      <w:r w:rsidR="00BA2815">
        <w:rPr>
          <w:lang w:val="en-US"/>
        </w:rPr>
        <w:t>’s true save percentage lies</w:t>
      </w:r>
      <w:r>
        <w:rPr>
          <w:lang w:val="en-US"/>
        </w:rPr>
        <w:t xml:space="preserve"> between 91.2</w:t>
      </w:r>
      <w:r w:rsidR="000C3F7A">
        <w:rPr>
          <w:lang w:val="en-US"/>
        </w:rPr>
        <w:t>9</w:t>
      </w:r>
      <w:r>
        <w:rPr>
          <w:lang w:val="en-US"/>
        </w:rPr>
        <w:t>-9</w:t>
      </w:r>
      <w:r w:rsidR="000C3F7A">
        <w:rPr>
          <w:lang w:val="en-US"/>
        </w:rPr>
        <w:t>5</w:t>
      </w:r>
      <w:r>
        <w:rPr>
          <w:lang w:val="en-US"/>
        </w:rPr>
        <w:t>.</w:t>
      </w:r>
      <w:r w:rsidR="000C3F7A">
        <w:rPr>
          <w:lang w:val="en-US"/>
        </w:rPr>
        <w:t>71</w:t>
      </w:r>
      <w:r>
        <w:rPr>
          <w:lang w:val="en-US"/>
        </w:rPr>
        <w:t>%.</w:t>
      </w:r>
      <w:r w:rsidR="00DA3601">
        <w:rPr>
          <w:lang w:val="en-US"/>
        </w:rPr>
        <w:t xml:space="preserve"> Thus, we have </w:t>
      </w:r>
      <w:r w:rsidR="002D0882">
        <w:rPr>
          <w:lang w:val="en-US"/>
        </w:rPr>
        <w:t xml:space="preserve">strong </w:t>
      </w:r>
      <w:r w:rsidR="00DA3601">
        <w:rPr>
          <w:lang w:val="en-US"/>
        </w:rPr>
        <w:t>evidence to suggest our goalies strong play will continue into future games.</w:t>
      </w:r>
    </w:p>
    <w:sectPr w:rsidR="000155C9" w:rsidRPr="00015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C9"/>
    <w:rsid w:val="000155C9"/>
    <w:rsid w:val="000C3F7A"/>
    <w:rsid w:val="000F279D"/>
    <w:rsid w:val="001E4D55"/>
    <w:rsid w:val="00230930"/>
    <w:rsid w:val="00236FF5"/>
    <w:rsid w:val="00282ADE"/>
    <w:rsid w:val="002847EE"/>
    <w:rsid w:val="002D0882"/>
    <w:rsid w:val="0030286A"/>
    <w:rsid w:val="00325FD9"/>
    <w:rsid w:val="00460E9A"/>
    <w:rsid w:val="00582B9B"/>
    <w:rsid w:val="00631B5F"/>
    <w:rsid w:val="007058CE"/>
    <w:rsid w:val="008B767D"/>
    <w:rsid w:val="00962B09"/>
    <w:rsid w:val="00987E37"/>
    <w:rsid w:val="00A02995"/>
    <w:rsid w:val="00B504B9"/>
    <w:rsid w:val="00BA2815"/>
    <w:rsid w:val="00BE7D39"/>
    <w:rsid w:val="00C94C8F"/>
    <w:rsid w:val="00CD4418"/>
    <w:rsid w:val="00D2064E"/>
    <w:rsid w:val="00D8620F"/>
    <w:rsid w:val="00DA3601"/>
    <w:rsid w:val="00DB3911"/>
    <w:rsid w:val="00E82237"/>
    <w:rsid w:val="00EC6B98"/>
    <w:rsid w:val="00EE4117"/>
    <w:rsid w:val="00EF7500"/>
    <w:rsid w:val="00F13002"/>
    <w:rsid w:val="00FB4047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1CA8"/>
  <w15:chartTrackingRefBased/>
  <w15:docId w15:val="{581E78A2-8B57-4232-9355-27168748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5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B767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D441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A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ghtthelampstats.com/how-long-before-we-can-label-a-goalie-a-bu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udent%27s_t-test" TargetMode="External"/><Relationship Id="rId5" Type="http://schemas.openxmlformats.org/officeDocument/2006/relationships/hyperlink" Target="https://en.wikipedia.org/wiki/Central_limit_theorem" TargetMode="External"/><Relationship Id="rId4" Type="http://schemas.openxmlformats.org/officeDocument/2006/relationships/hyperlink" Target="https://www.hockey-reference.com/players/d/demkoth01/gamelog/20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11</cp:revision>
  <dcterms:created xsi:type="dcterms:W3CDTF">2021-02-02T15:37:00Z</dcterms:created>
  <dcterms:modified xsi:type="dcterms:W3CDTF">2021-02-08T14:15:00Z</dcterms:modified>
</cp:coreProperties>
</file>