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ind w:firstLine="0"/>
        <w:jc w:val="center"/>
      </w:pPr>
      <w:r>
        <w:rPr>
          <w:b/>
          <w:sz w:val="28"/>
          <w:rFonts w:ascii="Times New Roman" w:hAnsi="Times New Roman" w:eastAsia="Times New Roman" w:cs="Times New Roman"/>
        </w:rPr>
        <w:t>МЧС РОССИИ</w:t>
      </w:r>
    </w:p>
    <w:p>
      <w:pPr>
        <w:spacing w:after="800"/>
        <w:ind w:firstLine="0"/>
        <w:jc w:val="center"/>
      </w:pPr>
      <w:r>
        <w:rPr>
          <w:sz w:val="24"/>
          <w:rFonts w:ascii="Times New Roman" w:hAnsi="Times New Roman" w:eastAsia="Times New Roman" w:cs="Times New Roman"/>
        </w:rPr>
        <w:t>Главное управление по Республике Саха (Якутия)</w:t>
        <w:br/>
        <w:t>Центр управления в кризисных ситуациях</w:t>
      </w:r>
    </w:p>
    <w:p>
      <w:pPr>
        <w:spacing w:after="400"/>
        <w:ind w:firstLine="0"/>
        <w:jc w:val="center"/>
      </w:pPr>
      <w:r>
        <w:rPr>
          <w:b/>
          <w:sz w:val="32"/>
          <w:rFonts w:ascii="Times New Roman" w:hAnsi="Times New Roman" w:eastAsia="Times New Roman" w:cs="Times New Roman"/>
        </w:rPr>
        <w:t>ПРИМЕНЕНИЕ ИНТЕГРАЛЬНОГО ИНДИКАТОРА PSRS</w:t>
        <w:br/>
        <w:t>(Permafrost Settlement Risk Score)</w:t>
        <w:br/>
        <w:t>ДЛЯ ОЦЕНКИ РИСКА ДЕГРАДАЦИИ МЕРЗЛОТЫ</w:t>
        <w:br/>
        <w:t>ПОД ОБЪЕКТАМИ КАПИТАЛЬНОЙ ЗАСТРОЙКИ</w:t>
      </w:r>
    </w:p>
    <w:p>
      <w:pPr>
        <w:spacing w:after="1200"/>
        <w:ind w:firstLine="0"/>
        <w:jc w:val="center"/>
      </w:pPr>
      <w:r>
        <w:rPr>
          <w:i/>
          <w:sz w:val="28"/>
          <w:rFonts w:ascii="Times New Roman" w:hAnsi="Times New Roman" w:eastAsia="Times New Roman" w:cs="Times New Roman"/>
        </w:rPr>
        <w:t>Учебно-методическое пособие</w:t>
        <w:br/>
        <w:t>для сотрудников оперативного состава</w:t>
      </w:r>
    </w:p>
    <w:p>
      <w:pPr>
        <w:spacing w:after="120"/>
        <w:ind w:firstLine="0"/>
        <w:jc w:val="left"/>
      </w:pPr>
      <w:r>
        <w:rPr>
          <w:b/>
          <w:sz w:val="22"/>
          <w:rFonts w:ascii="Times New Roman" w:hAnsi="Times New Roman" w:eastAsia="Times New Roman" w:cs="Times New Roman"/>
        </w:rPr>
        <w:t>Опорные источники:</w:t>
      </w:r>
    </w:p>
    <w:p>
      <w:pPr>
        <w:spacing w:after="40"/>
        <w:ind w:firstLine="0" w:left="283"/>
        <w:jc w:val="both"/>
      </w:pPr>
      <w:r>
        <w:rPr>
          <w:sz w:val="22"/>
          <w:rFonts w:ascii="Times New Roman" w:hAnsi="Times New Roman" w:eastAsia="Times New Roman" w:cs="Times New Roman"/>
        </w:rPr>
        <w:t>• Программный модуль расчёта индикатора PSRS DecisionSupportSystem (data/permafrost_model/dss.py, web_dss/src/mathCore.js) проекта permafrost_analysis — рабочая реализация индикатора в составе СППР;</w:t>
      </w:r>
    </w:p>
    <w:p>
      <w:pPr>
        <w:spacing w:after="40"/>
        <w:ind w:firstLine="0" w:left="283"/>
        <w:jc w:val="both"/>
      </w:pPr>
      <w:r>
        <w:rPr>
          <w:sz w:val="22"/>
          <w:rFonts w:ascii="Times New Roman" w:hAnsi="Times New Roman" w:eastAsia="Times New Roman" w:cs="Times New Roman"/>
        </w:rPr>
        <w:t>• Алескеров Ф. Т. и др. Анализ деловой неопределённости с помощью LC-кривых. — М.: НИУ ВШЭ, 2025;</w:t>
      </w:r>
    </w:p>
    <w:p>
      <w:pPr>
        <w:spacing w:after="40"/>
        <w:ind w:firstLine="0" w:left="283"/>
        <w:jc w:val="both"/>
      </w:pPr>
      <w:r>
        <w:rPr>
          <w:sz w:val="22"/>
          <w:rFonts w:ascii="Times New Roman" w:hAnsi="Times New Roman" w:eastAsia="Times New Roman" w:cs="Times New Roman"/>
        </w:rPr>
        <w:t>• СП 25.13330.2012 «Основания и фундаменты на вечномерзлых грунтах» (актуализированная редакция СНиП 2.02.04-88);</w:t>
      </w:r>
    </w:p>
    <w:p>
      <w:pPr>
        <w:spacing w:after="40"/>
        <w:ind w:firstLine="0" w:left="283"/>
        <w:jc w:val="both"/>
      </w:pPr>
      <w:r>
        <w:rPr>
          <w:sz w:val="22"/>
          <w:rFonts w:ascii="Times New Roman" w:hAnsi="Times New Roman" w:eastAsia="Times New Roman" w:cs="Times New Roman"/>
        </w:rPr>
        <w:t>• Кудрявцев В. А. Основы мерзлотного прогноза при инженерно-геологических исследованиях. — М.: Изд-во МГУ, 1974.</w:t>
      </w:r>
    </w:p>
    <w:p>
      <w:pPr>
        <w:spacing w:before="800"/>
        <w:ind w:firstLine="0"/>
        <w:jc w:val="center"/>
      </w:pPr>
      <w:r>
        <w:rPr>
          <w:sz w:val="24"/>
          <w:rFonts w:ascii="Times New Roman" w:hAnsi="Times New Roman" w:eastAsia="Times New Roman" w:cs="Times New Roman"/>
        </w:rPr>
        <w:t>Якутск, 2026</w:t>
      </w:r>
    </w:p>
    <w:p>
      <w:r>
        <w:br/>
      </w:r>
    </w:p>
    <w:p>
      <w:pPr>
        <w:spacing w:before="280" w:after="120"/>
        <w:ind w:firstLine="0"/>
        <w:jc w:val="left"/>
      </w:pPr>
      <w:r>
        <w:rPr>
          <w:b/>
          <w:sz w:val="28"/>
          <w:rFonts w:ascii="Times New Roman" w:hAnsi="Times New Roman" w:eastAsia="Times New Roman" w:cs="Times New Roman"/>
        </w:rPr>
        <w:t>Содержание</w:t>
      </w:r>
    </w:p>
    <w:p>
      <w:pPr>
        <w:spacing w:after="40"/>
        <w:ind w:firstLine="0" w:left="283"/>
      </w:pPr>
      <w:r>
        <w:rPr>
          <w:sz w:val="22"/>
          <w:rFonts w:ascii="Times New Roman" w:hAnsi="Times New Roman" w:eastAsia="Times New Roman" w:cs="Times New Roman"/>
        </w:rPr>
        <w:t>1. Назначение и область применения</w:t>
      </w:r>
    </w:p>
    <w:p>
      <w:pPr>
        <w:spacing w:after="40"/>
        <w:ind w:firstLine="0" w:left="283"/>
      </w:pPr>
      <w:r>
        <w:rPr>
          <w:sz w:val="22"/>
          <w:rFonts w:ascii="Times New Roman" w:hAnsi="Times New Roman" w:eastAsia="Times New Roman" w:cs="Times New Roman"/>
        </w:rPr>
        <w:t>2. Что такое индикатор PSRS</w:t>
      </w:r>
    </w:p>
    <w:p>
      <w:pPr>
        <w:spacing w:after="40"/>
        <w:ind w:firstLine="0" w:left="283"/>
      </w:pPr>
      <w:r>
        <w:rPr>
          <w:sz w:val="22"/>
          <w:rFonts w:ascii="Times New Roman" w:hAnsi="Times New Roman" w:eastAsia="Times New Roman" w:cs="Times New Roman"/>
        </w:rPr>
        <w:t>3. Нормативно-методологическое обеспечение</w:t>
      </w:r>
    </w:p>
    <w:p>
      <w:pPr>
        <w:spacing w:after="40"/>
        <w:ind w:firstLine="0" w:left="283"/>
      </w:pPr>
      <w:r>
        <w:rPr>
          <w:sz w:val="22"/>
          <w:rFonts w:ascii="Times New Roman" w:hAnsi="Times New Roman" w:eastAsia="Times New Roman" w:cs="Times New Roman"/>
        </w:rPr>
        <w:t>4. Компоненты индикатора и источники данных</w:t>
      </w:r>
    </w:p>
    <w:p>
      <w:pPr>
        <w:spacing w:after="40"/>
        <w:ind w:firstLine="0" w:left="283"/>
      </w:pPr>
      <w:r>
        <w:rPr>
          <w:sz w:val="22"/>
          <w:rFonts w:ascii="Times New Roman" w:hAnsi="Times New Roman" w:eastAsia="Times New Roman" w:cs="Times New Roman"/>
        </w:rPr>
        <w:t>5. Алгоритм расчёта</w:t>
      </w:r>
    </w:p>
    <w:p>
      <w:pPr>
        <w:spacing w:after="40"/>
        <w:ind w:firstLine="0" w:left="283"/>
      </w:pPr>
      <w:r>
        <w:rPr>
          <w:sz w:val="22"/>
          <w:rFonts w:ascii="Times New Roman" w:hAnsi="Times New Roman" w:eastAsia="Times New Roman" w:cs="Times New Roman"/>
        </w:rPr>
        <w:t>6. Пошаговый пример расчёта (Якутск, 2023 г.)</w:t>
      </w:r>
    </w:p>
    <w:p>
      <w:pPr>
        <w:spacing w:after="40"/>
        <w:ind w:firstLine="0" w:left="283"/>
      </w:pPr>
      <w:r>
        <w:rPr>
          <w:sz w:val="22"/>
          <w:rFonts w:ascii="Times New Roman" w:hAnsi="Times New Roman" w:eastAsia="Times New Roman" w:cs="Times New Roman"/>
        </w:rPr>
        <w:t>7. Шкала PSRS и зоны риска</w:t>
      </w:r>
    </w:p>
    <w:p>
      <w:pPr>
        <w:spacing w:after="40"/>
        <w:ind w:firstLine="0" w:left="283"/>
      </w:pPr>
      <w:r>
        <w:rPr>
          <w:sz w:val="22"/>
          <w:rFonts w:ascii="Times New Roman" w:hAnsi="Times New Roman" w:eastAsia="Times New Roman" w:cs="Times New Roman"/>
        </w:rPr>
        <w:t>8. Регламент действий по зонам</w:t>
      </w:r>
    </w:p>
    <w:p>
      <w:pPr>
        <w:spacing w:after="40"/>
        <w:ind w:firstLine="0" w:left="283"/>
      </w:pPr>
      <w:r>
        <w:rPr>
          <w:sz w:val="22"/>
          <w:rFonts w:ascii="Times New Roman" w:hAnsi="Times New Roman" w:eastAsia="Times New Roman" w:cs="Times New Roman"/>
        </w:rPr>
        <w:t>9. Параметрическая верификация индикатора</w:t>
      </w:r>
    </w:p>
    <w:p>
      <w:pPr>
        <w:spacing w:after="40"/>
        <w:ind w:firstLine="0" w:left="283"/>
      </w:pPr>
      <w:r>
        <w:rPr>
          <w:sz w:val="22"/>
          <w:rFonts w:ascii="Times New Roman" w:hAnsi="Times New Roman" w:eastAsia="Times New Roman" w:cs="Times New Roman"/>
        </w:rPr>
        <w:t>10. Прецедент Норильск-2020 как обучающий кейс</w:t>
      </w:r>
    </w:p>
    <w:p>
      <w:pPr>
        <w:spacing w:after="40"/>
        <w:ind w:firstLine="0" w:left="283"/>
      </w:pPr>
      <w:r>
        <w:rPr>
          <w:sz w:val="22"/>
          <w:rFonts w:ascii="Times New Roman" w:hAnsi="Times New Roman" w:eastAsia="Times New Roman" w:cs="Times New Roman"/>
        </w:rPr>
        <w:t>11. Ограничения метода и условия применимости</w:t>
      </w:r>
    </w:p>
    <w:p>
      <w:pPr>
        <w:spacing w:after="40"/>
        <w:ind w:firstLine="0" w:left="283"/>
      </w:pPr>
      <w:r>
        <w:rPr>
          <w:sz w:val="22"/>
          <w:rFonts w:ascii="Times New Roman" w:hAnsi="Times New Roman" w:eastAsia="Times New Roman" w:cs="Times New Roman"/>
        </w:rPr>
        <w:t>12. Контрольные вопросы</w:t>
      </w:r>
    </w:p>
    <w:p>
      <w:pPr>
        <w:spacing w:after="40"/>
        <w:ind w:firstLine="0" w:left="283"/>
      </w:pPr>
      <w:r>
        <w:rPr>
          <w:sz w:val="22"/>
          <w:rFonts w:ascii="Times New Roman" w:hAnsi="Times New Roman" w:eastAsia="Times New Roman" w:cs="Times New Roman"/>
        </w:rPr>
        <w:t>Приложение А. Опорные нормы Z-нормировки</w:t>
      </w:r>
    </w:p>
    <w:p>
      <w:pPr>
        <w:spacing w:after="40"/>
        <w:ind w:firstLine="0" w:left="283"/>
      </w:pPr>
      <w:r>
        <w:rPr>
          <w:sz w:val="22"/>
          <w:rFonts w:ascii="Times New Roman" w:hAnsi="Times New Roman" w:eastAsia="Times New Roman" w:cs="Times New Roman"/>
        </w:rPr>
        <w:t>Приложение Б. Рабочий лист расчёта PSRS</w:t>
      </w:r>
    </w:p>
    <w:p>
      <w:r>
        <w:br/>
      </w:r>
    </w:p>
    <w:p>
      <w:pPr>
        <w:spacing w:before="280" w:after="120"/>
        <w:ind w:firstLine="0"/>
        <w:jc w:val="left"/>
      </w:pPr>
      <w:r>
        <w:rPr>
          <w:b/>
          <w:sz w:val="28"/>
          <w:rFonts w:ascii="Times New Roman" w:hAnsi="Times New Roman" w:eastAsia="Times New Roman" w:cs="Times New Roman"/>
        </w:rPr>
        <w:t>1. Назначение и область применения</w:t>
      </w:r>
    </w:p>
    <w:p>
      <w:pPr>
        <w:spacing w:after="120"/>
        <w:jc w:val="both"/>
      </w:pPr>
      <w:r>
        <w:rPr>
          <w:b w:val="0"/>
          <w:i w:val="0"/>
          <w:sz w:val="24"/>
          <w:rFonts w:ascii="Times New Roman" w:hAnsi="Times New Roman" w:eastAsia="Times New Roman" w:cs="Times New Roman"/>
        </w:rPr>
        <w:t>Пособие предназначено для сотрудников оперативного состава Главного управления МЧС России по Республике Саха (Якутия), специалистов Центра управления в кризисных ситуациях (ЦУКС), курсантов образовательных учреждений МЧС России и работников органов жилищно-коммунального хозяйства, занятых превентивной оценкой геокриологических рисков в криолитозоне.</w:t>
      </w:r>
    </w:p>
    <w:p>
      <w:pPr>
        <w:spacing w:after="120"/>
        <w:jc w:val="both"/>
      </w:pPr>
      <w:r>
        <w:rPr>
          <w:b w:val="0"/>
          <w:i w:val="0"/>
          <w:sz w:val="24"/>
          <w:rFonts w:ascii="Times New Roman" w:hAnsi="Times New Roman" w:eastAsia="Times New Roman" w:cs="Times New Roman"/>
        </w:rPr>
        <w:t>Документ описывает порядок расчёта и интерпретации индикатора PSRS (Permafrost Settlement Risk Score) — интегральной свёртки четырёх геокриологических переменных через стандартизацию Z-оценкой в единую балльную шкалу 0–10 для оценки риска просадки оснований капитальных сооружений, возведённых по Принципу I (СП 25.13330.2012 — сохранение мёрзлого состояния грунта).</w:t>
      </w:r>
    </w:p>
    <w:p>
      <w:pPr>
        <w:spacing w:after="120"/>
        <w:jc w:val="both"/>
      </w:pPr>
      <w:r>
        <w:rPr>
          <w:b w:val="0"/>
          <w:i w:val="0"/>
          <w:sz w:val="24"/>
          <w:rFonts w:ascii="Times New Roman" w:hAnsi="Times New Roman" w:eastAsia="Times New Roman" w:cs="Times New Roman"/>
        </w:rPr>
        <w:t>Область применения индикатора — населённые пункты и промышленные узлы в зоне сплошной криолитозоны, для которых доступны ежегодные измерения глубины сезонного протаивания (ALT) методом зондирования, суточные ряды температуры грунта на стандартных глубинах (до 320 см), суточные ряды высоты снежного покрова и осадков. Пособие ориентировано на условия Центральной Якутии (Якутский геокриологический район).</w:t>
      </w:r>
    </w:p>
    <w:p>
      <w:pPr>
        <w:spacing w:before="280" w:after="120"/>
        <w:ind w:firstLine="0"/>
        <w:jc w:val="left"/>
      </w:pPr>
      <w:r>
        <w:rPr>
          <w:b/>
          <w:sz w:val="28"/>
          <w:rFonts w:ascii="Times New Roman" w:hAnsi="Times New Roman" w:eastAsia="Times New Roman" w:cs="Times New Roman"/>
        </w:rPr>
        <w:t>2. Что такое индикатор PSRS</w:t>
      </w:r>
    </w:p>
    <w:p>
      <w:pPr>
        <w:spacing w:after="120"/>
        <w:jc w:val="both"/>
      </w:pPr>
      <w:r>
        <w:rPr>
          <w:b w:val="0"/>
          <w:i w:val="0"/>
          <w:sz w:val="24"/>
          <w:rFonts w:ascii="Times New Roman" w:hAnsi="Times New Roman" w:eastAsia="Times New Roman" w:cs="Times New Roman"/>
        </w:rPr>
        <w:t>PSRS (Permafrost Settlement Risk Score) — интегральный индикатор-агрегат, построенный как взвешенная сумма стандартизованных Z-оценок четырёх геокриологических переменных с последующей линейной трансляцией в десятибалльную шкалу с базовым уровнем 5,0. Назначение индикатора — перевести разнородные физико-температурные параметры криолитозоны в единую безразмерную балльную шкалу для дежурного оперативного штаба.</w:t>
      </w:r>
    </w:p>
    <w:p>
      <w:pPr>
        <w:spacing w:after="120"/>
        <w:jc w:val="both"/>
      </w:pPr>
      <w:r>
        <w:rPr>
          <w:b w:val="0"/>
          <w:i/>
          <w:sz w:val="24"/>
          <w:rFonts w:ascii="Times New Roman" w:hAnsi="Times New Roman" w:eastAsia="Times New Roman" w:cs="Times New Roman"/>
        </w:rPr>
        <w:t>PSRS не является верифицированной прогностической моделью. Это сводный индикатор средне- и долгосрочного стратегического планирования, помогающий ранжировать объекты и территории по степени геокриологической напряжённости. Решения по конкретным превентивным мерам принимаются на основании PSRS в сочетании с результатами инженерно-геокриологического обследования объекта.</w:t>
      </w:r>
    </w:p>
    <w:p>
      <w:pPr>
        <w:spacing w:after="120"/>
        <w:jc w:val="both"/>
      </w:pPr>
      <w:r>
        <w:rPr>
          <w:b w:val="0"/>
          <w:i w:val="0"/>
          <w:sz w:val="24"/>
          <w:rFonts w:ascii="Times New Roman" w:hAnsi="Times New Roman" w:eastAsia="Times New Roman" w:cs="Times New Roman"/>
        </w:rPr>
        <w:t>Шкала PSRS делится на три зоны:</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D9D9D9"/>
            <w:vAlign w:val="center"/>
          </w:tcPr>
          <w:p>
            <w:pPr>
              <w:ind w:firstLine="0"/>
              <w:jc w:val="center"/>
            </w:pPr>
            <w:r/>
            <w:r>
              <w:rPr>
                <w:b/>
                <w:sz w:val="22"/>
                <w:rFonts w:ascii="Times New Roman" w:hAnsi="Times New Roman" w:eastAsia="Times New Roman" w:cs="Times New Roman"/>
              </w:rPr>
              <w:t>Зона</w:t>
            </w:r>
          </w:p>
        </w:tc>
        <w:tc>
          <w:tcPr>
            <w:tcW w:type="dxa" w:w="2551"/>
            <w:shd w:val="clear" w:color="auto" w:fill="D9D9D9"/>
            <w:vAlign w:val="center"/>
          </w:tcPr>
          <w:p>
            <w:pPr>
              <w:ind w:firstLine="0"/>
              <w:jc w:val="center"/>
            </w:pPr>
            <w:r/>
            <w:r>
              <w:rPr>
                <w:b/>
                <w:sz w:val="22"/>
                <w:rFonts w:ascii="Times New Roman" w:hAnsi="Times New Roman" w:eastAsia="Times New Roman" w:cs="Times New Roman"/>
              </w:rPr>
              <w:t>Диапазон, баллов</w:t>
            </w:r>
          </w:p>
        </w:tc>
        <w:tc>
          <w:tcPr>
            <w:tcW w:type="dxa" w:w="4535"/>
            <w:shd w:val="clear" w:color="auto" w:fill="D9D9D9"/>
            <w:vAlign w:val="center"/>
          </w:tcPr>
          <w:p>
            <w:pPr>
              <w:ind w:firstLine="0"/>
              <w:jc w:val="center"/>
            </w:pPr>
            <w:r/>
            <w:r>
              <w:rPr>
                <w:b/>
                <w:sz w:val="22"/>
                <w:rFonts w:ascii="Times New Roman" w:hAnsi="Times New Roman" w:eastAsia="Times New Roman" w:cs="Times New Roman"/>
              </w:rPr>
              <w:t>Уровень риска</w:t>
            </w:r>
          </w:p>
        </w:tc>
      </w:tr>
      <w:tr>
        <w:tc>
          <w:tcPr>
            <w:tcW w:type="dxa" w:w="2268"/>
            <w:vAlign w:val="center"/>
            <w:shd w:val="clear" w:color="auto" w:fill="E2EFDA"/>
          </w:tcPr>
          <w:p>
            <w:pPr>
              <w:ind w:firstLine="0"/>
              <w:jc w:val="center"/>
            </w:pPr>
            <w:r/>
            <w:r>
              <w:rPr>
                <w:sz w:val="22"/>
                <w:rFonts w:ascii="Times New Roman" w:hAnsi="Times New Roman" w:eastAsia="Times New Roman" w:cs="Times New Roman"/>
              </w:rPr>
              <w:t>Зелёная (LOW)</w:t>
            </w:r>
          </w:p>
        </w:tc>
        <w:tc>
          <w:tcPr>
            <w:tcW w:type="dxa" w:w="2551"/>
            <w:vAlign w:val="center"/>
            <w:shd w:val="clear" w:color="auto" w:fill="E2EFDA"/>
          </w:tcPr>
          <w:p>
            <w:pPr>
              <w:ind w:firstLine="0"/>
              <w:jc w:val="center"/>
            </w:pPr>
            <w:r/>
            <w:r>
              <w:rPr>
                <w:sz w:val="22"/>
                <w:rFonts w:ascii="Times New Roman" w:hAnsi="Times New Roman" w:eastAsia="Times New Roman" w:cs="Times New Roman"/>
              </w:rPr>
              <w:t>0,0 – 3,9</w:t>
            </w:r>
          </w:p>
        </w:tc>
        <w:tc>
          <w:tcPr>
            <w:tcW w:type="dxa" w:w="4535"/>
            <w:vAlign w:val="center"/>
            <w:shd w:val="clear" w:color="auto" w:fill="E2EFDA"/>
          </w:tcPr>
          <w:p>
            <w:pPr>
              <w:ind w:firstLine="0"/>
              <w:jc w:val="center"/>
            </w:pPr>
            <w:r/>
            <w:r>
              <w:rPr>
                <w:sz w:val="22"/>
                <w:rFonts w:ascii="Times New Roman" w:hAnsi="Times New Roman" w:eastAsia="Times New Roman" w:cs="Times New Roman"/>
              </w:rPr>
              <w:t>Низкий</w:t>
            </w:r>
          </w:p>
        </w:tc>
      </w:tr>
      <w:tr>
        <w:tc>
          <w:tcPr>
            <w:tcW w:type="dxa" w:w="2268"/>
            <w:vAlign w:val="center"/>
            <w:shd w:val="clear" w:color="auto" w:fill="FFF2CC"/>
          </w:tcPr>
          <w:p>
            <w:pPr>
              <w:ind w:firstLine="0"/>
              <w:jc w:val="center"/>
            </w:pPr>
            <w:r/>
            <w:r>
              <w:rPr>
                <w:sz w:val="22"/>
                <w:rFonts w:ascii="Times New Roman" w:hAnsi="Times New Roman" w:eastAsia="Times New Roman" w:cs="Times New Roman"/>
              </w:rPr>
              <w:t>Жёлтая (MODERATE)</w:t>
            </w:r>
          </w:p>
        </w:tc>
        <w:tc>
          <w:tcPr>
            <w:tcW w:type="dxa" w:w="2551"/>
            <w:vAlign w:val="center"/>
            <w:shd w:val="clear" w:color="auto" w:fill="FFF2CC"/>
          </w:tcPr>
          <w:p>
            <w:pPr>
              <w:ind w:firstLine="0"/>
              <w:jc w:val="center"/>
            </w:pPr>
            <w:r/>
            <w:r>
              <w:rPr>
                <w:sz w:val="22"/>
                <w:rFonts w:ascii="Times New Roman" w:hAnsi="Times New Roman" w:eastAsia="Times New Roman" w:cs="Times New Roman"/>
              </w:rPr>
              <w:t>4,0 – 6,9</w:t>
            </w:r>
          </w:p>
        </w:tc>
        <w:tc>
          <w:tcPr>
            <w:tcW w:type="dxa" w:w="4535"/>
            <w:vAlign w:val="center"/>
            <w:shd w:val="clear" w:color="auto" w:fill="FFF2CC"/>
          </w:tcPr>
          <w:p>
            <w:pPr>
              <w:ind w:firstLine="0"/>
              <w:jc w:val="center"/>
            </w:pPr>
            <w:r/>
            <w:r>
              <w:rPr>
                <w:sz w:val="22"/>
                <w:rFonts w:ascii="Times New Roman" w:hAnsi="Times New Roman" w:eastAsia="Times New Roman" w:cs="Times New Roman"/>
              </w:rPr>
              <w:t>Умеренный</w:t>
            </w:r>
          </w:p>
        </w:tc>
      </w:tr>
      <w:tr>
        <w:tc>
          <w:tcPr>
            <w:tcW w:type="dxa" w:w="2268"/>
            <w:vAlign w:val="center"/>
            <w:shd w:val="clear" w:color="auto" w:fill="FCE4D6"/>
          </w:tcPr>
          <w:p>
            <w:pPr>
              <w:ind w:firstLine="0"/>
              <w:jc w:val="center"/>
            </w:pPr>
            <w:r/>
            <w:r>
              <w:rPr>
                <w:sz w:val="22"/>
                <w:rFonts w:ascii="Times New Roman" w:hAnsi="Times New Roman" w:eastAsia="Times New Roman" w:cs="Times New Roman"/>
              </w:rPr>
              <w:t>Красная (EXTREME)</w:t>
            </w:r>
          </w:p>
        </w:tc>
        <w:tc>
          <w:tcPr>
            <w:tcW w:type="dxa" w:w="2551"/>
            <w:vAlign w:val="center"/>
            <w:shd w:val="clear" w:color="auto" w:fill="FCE4D6"/>
          </w:tcPr>
          <w:p>
            <w:pPr>
              <w:ind w:firstLine="0"/>
              <w:jc w:val="center"/>
            </w:pPr>
            <w:r/>
            <w:r>
              <w:rPr>
                <w:sz w:val="22"/>
                <w:rFonts w:ascii="Times New Roman" w:hAnsi="Times New Roman" w:eastAsia="Times New Roman" w:cs="Times New Roman"/>
              </w:rPr>
              <w:t>7,0 – 10,0</w:t>
            </w:r>
          </w:p>
        </w:tc>
        <w:tc>
          <w:tcPr>
            <w:tcW w:type="dxa" w:w="4535"/>
            <w:vAlign w:val="center"/>
            <w:shd w:val="clear" w:color="auto" w:fill="FCE4D6"/>
          </w:tcPr>
          <w:p>
            <w:pPr>
              <w:ind w:firstLine="0"/>
              <w:jc w:val="center"/>
            </w:pPr>
            <w:r/>
            <w:r>
              <w:rPr>
                <w:sz w:val="22"/>
                <w:rFonts w:ascii="Times New Roman" w:hAnsi="Times New Roman" w:eastAsia="Times New Roman" w:cs="Times New Roman"/>
              </w:rPr>
              <w:t>Критический</w:t>
            </w:r>
          </w:p>
        </w:tc>
      </w:tr>
    </w:tbl>
    <w:p>
      <w:pPr>
        <w:spacing w:before="280" w:after="120"/>
        <w:ind w:firstLine="0"/>
        <w:jc w:val="left"/>
      </w:pPr>
      <w:r>
        <w:rPr>
          <w:b/>
          <w:sz w:val="28"/>
          <w:rFonts w:ascii="Times New Roman" w:hAnsi="Times New Roman" w:eastAsia="Times New Roman" w:cs="Times New Roman"/>
        </w:rPr>
        <w:t>3. Нормативно-методологическое обеспечение</w:t>
      </w:r>
    </w:p>
    <w:p>
      <w:pPr>
        <w:spacing w:after="120"/>
        <w:jc w:val="both"/>
      </w:pPr>
      <w:r>
        <w:rPr>
          <w:b w:val="0"/>
          <w:i w:val="0"/>
          <w:sz w:val="24"/>
          <w:rFonts w:ascii="Times New Roman" w:hAnsi="Times New Roman" w:eastAsia="Times New Roman" w:cs="Times New Roman"/>
        </w:rPr>
        <w:t>В основу методического аппарата PSRS заложены три источника.</w:t>
      </w:r>
    </w:p>
    <w:p>
      <w:pPr>
        <w:spacing w:after="120"/>
        <w:ind w:firstLine="0"/>
        <w:jc w:val="both"/>
      </w:pPr>
      <w:r>
        <w:rPr>
          <w:b w:val="0"/>
          <w:i w:val="0"/>
          <w:sz w:val="24"/>
          <w:rFonts w:ascii="Times New Roman" w:hAnsi="Times New Roman" w:eastAsia="Times New Roman" w:cs="Times New Roman"/>
        </w:rPr>
        <w:t>СП 25.13330.2012 «Основания и фундаменты на вечномерзлых грунтах» (актуализированная редакция СНиП 2.02.04-88) — в части регламентации температурных режимов и принципов использования вечномерзлых грунтов в качестве оснований (Принцип I — сохранение мёрзлого состояния).</w:t>
      </w:r>
    </w:p>
    <w:p>
      <w:pPr>
        <w:spacing w:after="120"/>
        <w:ind w:firstLine="0"/>
        <w:jc w:val="both"/>
      </w:pPr>
      <w:r>
        <w:rPr>
          <w:b w:val="0"/>
          <w:i w:val="0"/>
          <w:sz w:val="24"/>
          <w:rFonts w:ascii="Times New Roman" w:hAnsi="Times New Roman" w:eastAsia="Times New Roman" w:cs="Times New Roman"/>
        </w:rPr>
        <w:t>Методология мерзлотного прогноза В. А. Кудрявцева (1974 г.) — в части оценки влияния зимнего снегонакопления и термического сопротивления снежного покрова на теплообмен в системе «атмосфера — литосфера».</w:t>
      </w:r>
    </w:p>
    <w:p>
      <w:pPr>
        <w:spacing w:after="120"/>
        <w:ind w:firstLine="0"/>
        <w:jc w:val="both"/>
      </w:pPr>
      <w:r>
        <w:rPr>
          <w:b w:val="0"/>
          <w:i w:val="0"/>
          <w:sz w:val="24"/>
          <w:rFonts w:ascii="Times New Roman" w:hAnsi="Times New Roman" w:eastAsia="Times New Roman" w:cs="Times New Roman"/>
        </w:rPr>
        <w:t>Математический аппарат анализа нестационарных временных рядов с помощью LC-кривых (Life Cycle Curves) по Ф. Т. Алескерову и соавторам (НИУ ВШЭ, 2025 г.) — в части стандартизованного нормирования временных рядов и выделения временных подпериодов концентрации экстремальных аномалий теплового давления.</w:t>
      </w:r>
    </w:p>
    <w:p>
      <w:pPr>
        <w:spacing w:before="280" w:after="120"/>
        <w:ind w:firstLine="0"/>
        <w:jc w:val="left"/>
      </w:pPr>
      <w:r>
        <w:rPr>
          <w:b/>
          <w:sz w:val="28"/>
          <w:rFonts w:ascii="Times New Roman" w:hAnsi="Times New Roman" w:eastAsia="Times New Roman" w:cs="Times New Roman"/>
        </w:rPr>
        <w:t>4. Компоненты индикатора и источники данных</w:t>
      </w:r>
    </w:p>
    <w:p>
      <w:pPr>
        <w:spacing w:after="120"/>
        <w:jc w:val="both"/>
      </w:pPr>
      <w:r>
        <w:rPr>
          <w:b w:val="0"/>
          <w:i w:val="0"/>
          <w:sz w:val="24"/>
          <w:rFonts w:ascii="Times New Roman" w:hAnsi="Times New Roman" w:eastAsia="Times New Roman" w:cs="Times New Roman"/>
        </w:rPr>
        <w:t>PSRS строится по четырём независимым параметрам, отражающим как инерционную тепловую динамику грунта, так и внешние гидрометеорологические триггеры экстремального воздействия. Опорный период для расчёта Z-нормировки — 2008–2023 гг. в составе материалов диссертационного исследования; рабочие опорные нормы для оперативной практики ЦУКС заданы в Приложении А.</w:t>
      </w:r>
    </w:p>
    <w:p>
      <w:pPr>
        <w:spacing w:before="120" w:after="60"/>
        <w:ind w:firstLine="0"/>
        <w:jc w:val="left"/>
      </w:pPr>
      <w:r>
        <w:rPr>
          <w:sz w:val="22"/>
          <w:rFonts w:ascii="Times New Roman" w:hAnsi="Times New Roman" w:eastAsia="Times New Roman" w:cs="Times New Roman"/>
        </w:rPr>
        <w:t>Таблица 4.1 — Компоненты индикатора PSRS и веса</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2835"/>
            <w:shd w:val="clear" w:color="auto" w:fill="D9D9D9"/>
            <w:vAlign w:val="center"/>
          </w:tcPr>
          <w:p>
            <w:pPr>
              <w:ind w:firstLine="0"/>
              <w:jc w:val="center"/>
            </w:pPr>
            <w:r/>
            <w:r>
              <w:rPr>
                <w:b/>
                <w:sz w:val="20"/>
                <w:rFonts w:ascii="Times New Roman" w:hAnsi="Times New Roman" w:eastAsia="Times New Roman" w:cs="Times New Roman"/>
              </w:rPr>
              <w:t>Параметр</w:t>
            </w:r>
          </w:p>
        </w:tc>
        <w:tc>
          <w:tcPr>
            <w:tcW w:type="dxa" w:w="907"/>
            <w:shd w:val="clear" w:color="auto" w:fill="D9D9D9"/>
            <w:vAlign w:val="center"/>
          </w:tcPr>
          <w:p>
            <w:pPr>
              <w:ind w:firstLine="0"/>
              <w:jc w:val="center"/>
            </w:pPr>
            <w:r/>
            <w:r>
              <w:rPr>
                <w:b/>
                <w:sz w:val="20"/>
                <w:rFonts w:ascii="Times New Roman" w:hAnsi="Times New Roman" w:eastAsia="Times New Roman" w:cs="Times New Roman"/>
              </w:rPr>
              <w:t>Обозначение</w:t>
            </w:r>
          </w:p>
        </w:tc>
        <w:tc>
          <w:tcPr>
            <w:tcW w:type="dxa" w:w="4195"/>
            <w:shd w:val="clear" w:color="auto" w:fill="D9D9D9"/>
            <w:vAlign w:val="center"/>
          </w:tcPr>
          <w:p>
            <w:pPr>
              <w:ind w:firstLine="0"/>
              <w:jc w:val="center"/>
            </w:pPr>
            <w:r/>
            <w:r>
              <w:rPr>
                <w:b/>
                <w:sz w:val="20"/>
                <w:rFonts w:ascii="Times New Roman" w:hAnsi="Times New Roman" w:eastAsia="Times New Roman" w:cs="Times New Roman"/>
              </w:rPr>
              <w:t>Источник данных</w:t>
            </w:r>
          </w:p>
        </w:tc>
        <w:tc>
          <w:tcPr>
            <w:tcW w:type="dxa" w:w="567"/>
            <w:shd w:val="clear" w:color="auto" w:fill="D9D9D9"/>
            <w:vAlign w:val="center"/>
          </w:tcPr>
          <w:p>
            <w:pPr>
              <w:ind w:firstLine="0"/>
              <w:jc w:val="center"/>
            </w:pPr>
            <w:r/>
            <w:r>
              <w:rPr>
                <w:b/>
                <w:sz w:val="20"/>
                <w:rFonts w:ascii="Times New Roman" w:hAnsi="Times New Roman" w:eastAsia="Times New Roman" w:cs="Times New Roman"/>
              </w:rPr>
              <w:t>Вес</w:t>
            </w:r>
          </w:p>
        </w:tc>
      </w:tr>
      <w:tr>
        <w:tc>
          <w:tcPr>
            <w:tcW w:type="dxa" w:w="2835"/>
            <w:vAlign w:val="center"/>
          </w:tcPr>
          <w:p>
            <w:pPr>
              <w:ind w:firstLine="0"/>
              <w:jc w:val="center"/>
            </w:pPr>
            <w:r/>
            <w:r>
              <w:rPr>
                <w:sz w:val="20"/>
                <w:rFonts w:ascii="Times New Roman" w:hAnsi="Times New Roman" w:eastAsia="Times New Roman" w:cs="Times New Roman"/>
              </w:rPr>
              <w:t>Глубина сезонного протаивания (ALT)</w:t>
            </w:r>
          </w:p>
        </w:tc>
        <w:tc>
          <w:tcPr>
            <w:tcW w:type="dxa" w:w="907"/>
            <w:vAlign w:val="center"/>
          </w:tcPr>
          <w:p>
            <w:pPr>
              <w:ind w:firstLine="0"/>
              <w:jc w:val="center"/>
            </w:pPr>
            <w:r/>
            <w:r>
              <w:rPr>
                <w:sz w:val="20"/>
                <w:rFonts w:ascii="Times New Roman" w:hAnsi="Times New Roman" w:eastAsia="Times New Roman" w:cs="Times New Roman"/>
              </w:rPr>
              <w:t>Z_ALT</w:t>
            </w:r>
          </w:p>
        </w:tc>
        <w:tc>
          <w:tcPr>
            <w:tcW w:type="dxa" w:w="4195"/>
            <w:vAlign w:val="center"/>
          </w:tcPr>
          <w:p>
            <w:pPr>
              <w:ind w:firstLine="0"/>
              <w:jc w:val="center"/>
            </w:pPr>
            <w:r/>
            <w:r>
              <w:rPr>
                <w:sz w:val="20"/>
                <w:rFonts w:ascii="Times New Roman" w:hAnsi="Times New Roman" w:eastAsia="Times New Roman" w:cs="Times New Roman"/>
              </w:rPr>
              <w:t>Программа CALM (площадки R42 «Туймаада», R43 «Нелегер»); ежегодные полевые измерения зондированием</w:t>
            </w:r>
          </w:p>
        </w:tc>
        <w:tc>
          <w:tcPr>
            <w:tcW w:type="dxa" w:w="567"/>
            <w:vAlign w:val="center"/>
          </w:tcPr>
          <w:p>
            <w:pPr>
              <w:ind w:firstLine="0"/>
              <w:jc w:val="center"/>
            </w:pPr>
            <w:r/>
            <w:r>
              <w:rPr>
                <w:sz w:val="20"/>
                <w:rFonts w:ascii="Times New Roman" w:hAnsi="Times New Roman" w:eastAsia="Times New Roman" w:cs="Times New Roman"/>
              </w:rPr>
              <w:t>0,40</w:t>
            </w:r>
          </w:p>
        </w:tc>
      </w:tr>
      <w:tr>
        <w:tc>
          <w:tcPr>
            <w:tcW w:type="dxa" w:w="2835"/>
            <w:vAlign w:val="center"/>
          </w:tcPr>
          <w:p>
            <w:pPr>
              <w:ind w:firstLine="0"/>
              <w:jc w:val="center"/>
            </w:pPr>
            <w:r/>
            <w:r>
              <w:rPr>
                <w:sz w:val="20"/>
                <w:rFonts w:ascii="Times New Roman" w:hAnsi="Times New Roman" w:eastAsia="Times New Roman" w:cs="Times New Roman"/>
              </w:rPr>
              <w:t>Среднегодовая температура грунта на глубине 3,2 м</w:t>
            </w:r>
          </w:p>
        </w:tc>
        <w:tc>
          <w:tcPr>
            <w:tcW w:type="dxa" w:w="907"/>
            <w:vAlign w:val="center"/>
          </w:tcPr>
          <w:p>
            <w:pPr>
              <w:ind w:firstLine="0"/>
              <w:jc w:val="center"/>
            </w:pPr>
            <w:r/>
            <w:r>
              <w:rPr>
                <w:sz w:val="20"/>
                <w:rFonts w:ascii="Times New Roman" w:hAnsi="Times New Roman" w:eastAsia="Times New Roman" w:cs="Times New Roman"/>
              </w:rPr>
              <w:t>Z_T320</w:t>
            </w:r>
          </w:p>
        </w:tc>
        <w:tc>
          <w:tcPr>
            <w:tcW w:type="dxa" w:w="4195"/>
            <w:vAlign w:val="center"/>
          </w:tcPr>
          <w:p>
            <w:pPr>
              <w:ind w:firstLine="0"/>
              <w:jc w:val="center"/>
            </w:pPr>
            <w:r/>
            <w:r>
              <w:rPr>
                <w:sz w:val="20"/>
                <w:rFonts w:ascii="Times New Roman" w:hAnsi="Times New Roman" w:eastAsia="Times New Roman" w:cs="Times New Roman"/>
              </w:rPr>
              <w:t>Архив ВНИИГМИ-МЦД (АИСОРИ-М, форма wr373144a3), ст. Якутск ID 24959</w:t>
            </w:r>
          </w:p>
        </w:tc>
        <w:tc>
          <w:tcPr>
            <w:tcW w:type="dxa" w:w="567"/>
            <w:vAlign w:val="center"/>
          </w:tcPr>
          <w:p>
            <w:pPr>
              <w:ind w:firstLine="0"/>
              <w:jc w:val="center"/>
            </w:pPr>
            <w:r/>
            <w:r>
              <w:rPr>
                <w:sz w:val="20"/>
                <w:rFonts w:ascii="Times New Roman" w:hAnsi="Times New Roman" w:eastAsia="Times New Roman" w:cs="Times New Roman"/>
              </w:rPr>
              <w:t>0,30</w:t>
            </w:r>
          </w:p>
        </w:tc>
      </w:tr>
      <w:tr>
        <w:tc>
          <w:tcPr>
            <w:tcW w:type="dxa" w:w="2835"/>
            <w:vAlign w:val="center"/>
          </w:tcPr>
          <w:p>
            <w:pPr>
              <w:ind w:firstLine="0"/>
              <w:jc w:val="center"/>
            </w:pPr>
            <w:r/>
            <w:r>
              <w:rPr>
                <w:sz w:val="20"/>
                <w:rFonts w:ascii="Times New Roman" w:hAnsi="Times New Roman" w:eastAsia="Times New Roman" w:cs="Times New Roman"/>
              </w:rPr>
              <w:t>Максимальная высота снежного покрова за зиму</w:t>
            </w:r>
          </w:p>
        </w:tc>
        <w:tc>
          <w:tcPr>
            <w:tcW w:type="dxa" w:w="907"/>
            <w:vAlign w:val="center"/>
          </w:tcPr>
          <w:p>
            <w:pPr>
              <w:ind w:firstLine="0"/>
              <w:jc w:val="center"/>
            </w:pPr>
            <w:r/>
            <w:r>
              <w:rPr>
                <w:sz w:val="20"/>
                <w:rFonts w:ascii="Times New Roman" w:hAnsi="Times New Roman" w:eastAsia="Times New Roman" w:cs="Times New Roman"/>
              </w:rPr>
              <w:t>Z_snow</w:t>
            </w:r>
          </w:p>
        </w:tc>
        <w:tc>
          <w:tcPr>
            <w:tcW w:type="dxa" w:w="4195"/>
            <w:vAlign w:val="center"/>
          </w:tcPr>
          <w:p>
            <w:pPr>
              <w:ind w:firstLine="0"/>
              <w:jc w:val="center"/>
            </w:pPr>
            <w:r/>
            <w:r>
              <w:rPr>
                <w:sz w:val="20"/>
                <w:rFonts w:ascii="Times New Roman" w:hAnsi="Times New Roman" w:eastAsia="Times New Roman" w:cs="Times New Roman"/>
              </w:rPr>
              <w:t>Архив ВНИИГМИ-МЦД (meteo.ru); опорная метеостанция</w:t>
            </w:r>
          </w:p>
        </w:tc>
        <w:tc>
          <w:tcPr>
            <w:tcW w:type="dxa" w:w="567"/>
            <w:vAlign w:val="center"/>
          </w:tcPr>
          <w:p>
            <w:pPr>
              <w:ind w:firstLine="0"/>
              <w:jc w:val="center"/>
            </w:pPr>
            <w:r/>
            <w:r>
              <w:rPr>
                <w:sz w:val="20"/>
                <w:rFonts w:ascii="Times New Roman" w:hAnsi="Times New Roman" w:eastAsia="Times New Roman" w:cs="Times New Roman"/>
              </w:rPr>
              <w:t>0,20</w:t>
            </w:r>
          </w:p>
        </w:tc>
      </w:tr>
      <w:tr>
        <w:tc>
          <w:tcPr>
            <w:tcW w:type="dxa" w:w="2835"/>
            <w:vAlign w:val="center"/>
          </w:tcPr>
          <w:p>
            <w:pPr>
              <w:ind w:firstLine="0"/>
              <w:jc w:val="center"/>
            </w:pPr>
            <w:r/>
            <w:r>
              <w:rPr>
                <w:sz w:val="20"/>
                <w:rFonts w:ascii="Times New Roman" w:hAnsi="Times New Roman" w:eastAsia="Times New Roman" w:cs="Times New Roman"/>
              </w:rPr>
              <w:t>Частота эпизодов «дождь по снегу» (ROS), дней за зимний сезон</w:t>
            </w:r>
          </w:p>
        </w:tc>
        <w:tc>
          <w:tcPr>
            <w:tcW w:type="dxa" w:w="907"/>
            <w:vAlign w:val="center"/>
          </w:tcPr>
          <w:p>
            <w:pPr>
              <w:ind w:firstLine="0"/>
              <w:jc w:val="center"/>
            </w:pPr>
            <w:r/>
            <w:r>
              <w:rPr>
                <w:sz w:val="20"/>
                <w:rFonts w:ascii="Times New Roman" w:hAnsi="Times New Roman" w:eastAsia="Times New Roman" w:cs="Times New Roman"/>
              </w:rPr>
              <w:t>Z_ros</w:t>
            </w:r>
          </w:p>
        </w:tc>
        <w:tc>
          <w:tcPr>
            <w:tcW w:type="dxa" w:w="4195"/>
            <w:vAlign w:val="center"/>
          </w:tcPr>
          <w:p>
            <w:pPr>
              <w:ind w:firstLine="0"/>
              <w:jc w:val="center"/>
            </w:pPr>
            <w:r/>
            <w:r>
              <w:rPr>
                <w:sz w:val="20"/>
                <w:rFonts w:ascii="Times New Roman" w:hAnsi="Times New Roman" w:eastAsia="Times New Roman" w:cs="Times New Roman"/>
              </w:rPr>
              <w:t>Расчёт по суточным рядам осадков и температуры архива ВНИИГМИ-МЦД</w:t>
            </w:r>
          </w:p>
        </w:tc>
        <w:tc>
          <w:tcPr>
            <w:tcW w:type="dxa" w:w="567"/>
            <w:vAlign w:val="center"/>
          </w:tcPr>
          <w:p>
            <w:pPr>
              <w:ind w:firstLine="0"/>
              <w:jc w:val="center"/>
            </w:pPr>
            <w:r/>
            <w:r>
              <w:rPr>
                <w:sz w:val="20"/>
                <w:rFonts w:ascii="Times New Roman" w:hAnsi="Times New Roman" w:eastAsia="Times New Roman" w:cs="Times New Roman"/>
              </w:rPr>
              <w:t>0,10</w:t>
            </w:r>
          </w:p>
        </w:tc>
      </w:tr>
    </w:tbl>
    <w:p>
      <w:pPr>
        <w:spacing w:before="80" w:after="160"/>
        <w:ind w:firstLine="0" w:left="170"/>
        <w:jc w:val="both"/>
      </w:pPr>
      <w:r>
        <w:rPr>
          <w:i/>
          <w:sz w:val="22"/>
          <w:rFonts w:ascii="Times New Roman" w:hAnsi="Times New Roman" w:eastAsia="Times New Roman" w:cs="Times New Roman"/>
        </w:rPr>
        <w:t>Примечание о знаке компонент. Все четыре компоненты входят в формулу с положительными весами. Для ROS это требует пояснения: несмотря на то, что эпизоды «дождь по снегу» локально ухудшают теплоизоляционные свойства снежного покрова (что само по себе способствует более глубокому зимнему промерзанию грунта), главным геокриологическим эффектом ROS является сам факт зимней оттепели: положительная температура воздуха при наличии снега передаёт тепло мерзлоте напрямую, а изменённый после серии ROS-эпизодов снежный покров весной тает быстрее, обнажая грунт и удлиняя сезон протаивания. Эмпирическая проверка методом главных компонент на ряду наблюдений 2008–2023 гг. подтверждает выбранный знак: загрузка ROS на первой главной компоненте составляет +0,302, то есть ROS положительно ковариирует с остальными компонентами риска (ALT, T320, Hsnow).</w:t>
      </w:r>
    </w:p>
    <w:p>
      <w:pPr>
        <w:spacing w:after="120"/>
        <w:jc w:val="both"/>
      </w:pPr>
      <w:r>
        <w:rPr>
          <w:b w:val="0"/>
          <w:i w:val="0"/>
          <w:sz w:val="24"/>
          <w:rFonts w:ascii="Times New Roman" w:hAnsi="Times New Roman" w:eastAsia="Times New Roman" w:cs="Times New Roman"/>
        </w:rPr>
        <w:t>Веса 0,4 / 0,3 / 0,2 / 0,1 закреплены в рабочей программной реализации индикатора в составе СППР (модуль PSRS_Scorer, файл data/permafrost_model/dss.py) и отражают экспертный приоритет глубины сезонного протаивания и температуры грунта над переменными зимней атмосферной предыстории. Знак каждой Z-оценки прямой: увеличение значения соответствующей переменной повышает риск деградации мерзлоты.</w:t>
      </w:r>
    </w:p>
    <w:p>
      <w:pPr>
        <w:spacing w:before="280" w:after="120"/>
        <w:ind w:firstLine="0"/>
        <w:jc w:val="left"/>
      </w:pPr>
      <w:r>
        <w:rPr>
          <w:b/>
          <w:sz w:val="28"/>
          <w:rFonts w:ascii="Times New Roman" w:hAnsi="Times New Roman" w:eastAsia="Times New Roman" w:cs="Times New Roman"/>
        </w:rPr>
        <w:t>5. Алгоритм расчёта</w:t>
      </w:r>
    </w:p>
    <w:p>
      <w:pPr>
        <w:spacing w:after="120"/>
        <w:jc w:val="both"/>
      </w:pPr>
      <w:r>
        <w:rPr>
          <w:b w:val="0"/>
          <w:i w:val="0"/>
          <w:sz w:val="24"/>
          <w:rFonts w:ascii="Times New Roman" w:hAnsi="Times New Roman" w:eastAsia="Times New Roman" w:cs="Times New Roman"/>
        </w:rPr>
        <w:t>Расчёт PSRS для каждого года t выполняется в три этапа.</w:t>
      </w:r>
    </w:p>
    <w:p>
      <w:pPr>
        <w:spacing w:after="120"/>
        <w:ind w:firstLine="0"/>
        <w:jc w:val="both"/>
      </w:pPr>
      <w:r>
        <w:rPr>
          <w:b/>
          <w:i w:val="0"/>
          <w:sz w:val="24"/>
          <w:rFonts w:ascii="Times New Roman" w:hAnsi="Times New Roman" w:eastAsia="Times New Roman" w:cs="Times New Roman"/>
        </w:rPr>
        <w:t>Шаг 5.1. Снять текущие значения четырёх переменных.</w:t>
      </w:r>
    </w:p>
    <w:p>
      <w:pPr>
        <w:spacing w:after="120"/>
        <w:ind w:firstLine="0"/>
        <w:jc w:val="both"/>
      </w:pPr>
      <w:r>
        <w:rPr>
          <w:b w:val="0"/>
          <w:i w:val="0"/>
          <w:sz w:val="24"/>
          <w:rFonts w:ascii="Times New Roman" w:hAnsi="Times New Roman" w:eastAsia="Times New Roman" w:cs="Times New Roman"/>
        </w:rPr>
        <w:t>ALT_t — глубина сезонного протаивания, см (по результатам осенних замеров на опорной площадке CALM); T320_t — среднегодовая температура грунта на 3,2 м, °C (по архиву ВНИИГМИ-МЦД); Hsnow_t — максимальная высота снежного покрова за зиму t/(t+1), см; ROS_t — число дней с эпизодом «дождь по снегу» за зимний сезон.</w:t>
      </w:r>
    </w:p>
    <w:p>
      <w:pPr>
        <w:spacing w:after="120"/>
        <w:ind w:firstLine="0"/>
        <w:jc w:val="both"/>
      </w:pPr>
      <w:r>
        <w:rPr>
          <w:b/>
          <w:i w:val="0"/>
          <w:sz w:val="24"/>
          <w:rFonts w:ascii="Times New Roman" w:hAnsi="Times New Roman" w:eastAsia="Times New Roman" w:cs="Times New Roman"/>
        </w:rPr>
        <w:t>Шаг 5.2. Перевести каждое значение в стандартизованную Z-оценку.</w:t>
      </w:r>
    </w:p>
    <w:p>
      <w:pPr>
        <w:spacing w:before="80" w:after="160"/>
        <w:ind w:firstLine="0"/>
        <w:jc w:val="center"/>
      </w:pPr>
      <w:r>
        <w:rPr>
          <w:i/>
          <w:sz w:val="26"/>
          <w:rFonts w:ascii="Times New Roman" w:hAnsi="Times New Roman" w:eastAsia="Times New Roman" w:cs="Times New Roman"/>
        </w:rPr>
        <w:t>Z_X = (X_t − X̄) / σ_X,</w:t>
      </w:r>
    </w:p>
    <w:p>
      <w:pPr>
        <w:spacing w:after="120"/>
        <w:jc w:val="both"/>
      </w:pPr>
      <w:r>
        <w:rPr>
          <w:b w:val="0"/>
          <w:i w:val="0"/>
          <w:sz w:val="24"/>
          <w:rFonts w:ascii="Times New Roman" w:hAnsi="Times New Roman" w:eastAsia="Times New Roman" w:cs="Times New Roman"/>
        </w:rPr>
        <w:t>где X̄ и σ_X — климатическая норма (среднее) и стандартное отклонение переменной X. Опорные значения X̄ и σ_X для Якутского геокриологического района приведены в Приложении А.</w:t>
      </w:r>
    </w:p>
    <w:p>
      <w:pPr>
        <w:spacing w:after="120"/>
        <w:ind w:firstLine="0"/>
        <w:jc w:val="both"/>
      </w:pPr>
      <w:r>
        <w:rPr>
          <w:b/>
          <w:i w:val="0"/>
          <w:sz w:val="24"/>
          <w:rFonts w:ascii="Times New Roman" w:hAnsi="Times New Roman" w:eastAsia="Times New Roman" w:cs="Times New Roman"/>
        </w:rPr>
        <w:t>Шаг 5.3. Подставить Z-оценки в формулу PSRS.</w:t>
      </w:r>
    </w:p>
    <w:p>
      <w:pPr>
        <w:spacing w:before="80" w:after="160"/>
        <w:ind w:firstLine="0"/>
        <w:jc w:val="center"/>
      </w:pPr>
      <w:r>
        <w:rPr>
          <w:i/>
          <w:sz w:val="26"/>
          <w:rFonts w:ascii="Times New Roman" w:hAnsi="Times New Roman" w:eastAsia="Times New Roman" w:cs="Times New Roman"/>
        </w:rPr>
        <w:t>PSRS = clip(5,0 + 1,6·(0,40·Z_ALT + 0,30·Z_T320 + 0,20·Z_snow + 0,10·Z_ros), 0, 10),</w:t>
      </w:r>
    </w:p>
    <w:p>
      <w:pPr>
        <w:spacing w:after="120"/>
        <w:jc w:val="both"/>
      </w:pPr>
      <w:r>
        <w:rPr>
          <w:b w:val="0"/>
          <w:i w:val="0"/>
          <w:sz w:val="24"/>
          <w:rFonts w:ascii="Times New Roman" w:hAnsi="Times New Roman" w:eastAsia="Times New Roman" w:cs="Times New Roman"/>
        </w:rPr>
        <w:t>где clip(x, 0, 10) — функция отсечения: значения меньше 0 заменяются на 0, значения больше 10 — на 10. Базовый сдвиг 5,0 переносит точку «современной климатической нормы 2008–2023 гг.» в середину шкалы. В Якутском геокриологическом районе эта норма уже не соответствует исторически стабильному состоянию криолитозоны: за опорный период температура грунта на 3,2 м перешла через нулевую изотерму, тренд потепления составляет +0,221 °C/десятилетие, ALT по урбанизированной площадке R42 растёт на +5,2 см/десятилетие. Поэтому PSRS = 5,0 при нулевых отклонениях от современной нормы трактуется не как ложная тревога, а как объективная фиксация уже не штатного состояния мерзлоты; зелёная зона достигается только при отрицательных отклонениях современных параметров (более холодные годы, отступившая ALT, меньший снежный покров). Масштабный коэффициент 1,6 обеспечивает, что отклонение в одно стандартное отклонение (1σ) по всем компонентам одновременно переводит PSRS на 1,6 балла от базы.</w:t>
      </w:r>
    </w:p>
    <w:p>
      <w:pPr>
        <w:spacing w:before="280" w:after="120"/>
        <w:ind w:firstLine="0"/>
        <w:jc w:val="left"/>
      </w:pPr>
      <w:r>
        <w:rPr>
          <w:b/>
          <w:sz w:val="28"/>
          <w:rFonts w:ascii="Times New Roman" w:hAnsi="Times New Roman" w:eastAsia="Times New Roman" w:cs="Times New Roman"/>
        </w:rPr>
        <w:t>6. Пошаговый пример расчёта (Якутск, 2023 г.)</w:t>
      </w:r>
    </w:p>
    <w:p>
      <w:pPr>
        <w:spacing w:after="120"/>
        <w:jc w:val="both"/>
      </w:pPr>
      <w:r>
        <w:rPr>
          <w:b w:val="0"/>
          <w:i w:val="0"/>
          <w:sz w:val="24"/>
          <w:rFonts w:ascii="Times New Roman" w:hAnsi="Times New Roman" w:eastAsia="Times New Roman" w:cs="Times New Roman"/>
        </w:rPr>
        <w:t>Рассчитаем PSRS для г. Якутска по данным 2023 г. на площадке CALM R42 «Туймаада».</w:t>
      </w:r>
    </w:p>
    <w:p>
      <w:pPr>
        <w:spacing w:before="120" w:after="60"/>
        <w:ind w:firstLine="0"/>
        <w:jc w:val="left"/>
      </w:pPr>
      <w:r>
        <w:rPr>
          <w:sz w:val="22"/>
          <w:rFonts w:ascii="Times New Roman" w:hAnsi="Times New Roman" w:eastAsia="Times New Roman" w:cs="Times New Roman"/>
        </w:rPr>
        <w:t>Таблица 6.1 — Исходные данные для расчёта PSRS (Якутск, 2023 г.)</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154"/>
            <w:shd w:val="clear" w:color="auto" w:fill="D9D9D9"/>
            <w:vAlign w:val="center"/>
          </w:tcPr>
          <w:p>
            <w:pPr>
              <w:ind w:firstLine="0"/>
              <w:jc w:val="center"/>
            </w:pPr>
            <w:r/>
            <w:r>
              <w:rPr>
                <w:b/>
                <w:sz w:val="22"/>
                <w:rFonts w:ascii="Times New Roman" w:hAnsi="Times New Roman" w:eastAsia="Times New Roman" w:cs="Times New Roman"/>
              </w:rPr>
              <w:t>Параметр</w:t>
            </w:r>
          </w:p>
        </w:tc>
        <w:tc>
          <w:tcPr>
            <w:tcW w:type="dxa" w:w="1701"/>
            <w:shd w:val="clear" w:color="auto" w:fill="D9D9D9"/>
            <w:vAlign w:val="center"/>
          </w:tcPr>
          <w:p>
            <w:pPr>
              <w:ind w:firstLine="0"/>
              <w:jc w:val="center"/>
            </w:pPr>
            <w:r/>
            <w:r>
              <w:rPr>
                <w:b/>
                <w:sz w:val="22"/>
                <w:rFonts w:ascii="Times New Roman" w:hAnsi="Times New Roman" w:eastAsia="Times New Roman" w:cs="Times New Roman"/>
              </w:rPr>
              <w:t>X_t (2023 г.)</w:t>
            </w:r>
          </w:p>
        </w:tc>
        <w:tc>
          <w:tcPr>
            <w:tcW w:type="dxa" w:w="1701"/>
            <w:shd w:val="clear" w:color="auto" w:fill="D9D9D9"/>
            <w:vAlign w:val="center"/>
          </w:tcPr>
          <w:p>
            <w:pPr>
              <w:ind w:firstLine="0"/>
              <w:jc w:val="center"/>
            </w:pPr>
            <w:r/>
            <w:r>
              <w:rPr>
                <w:b/>
                <w:sz w:val="22"/>
                <w:rFonts w:ascii="Times New Roman" w:hAnsi="Times New Roman" w:eastAsia="Times New Roman" w:cs="Times New Roman"/>
              </w:rPr>
              <w:t>X̄ (норма)</w:t>
            </w:r>
          </w:p>
        </w:tc>
        <w:tc>
          <w:tcPr>
            <w:tcW w:type="dxa" w:w="1134"/>
            <w:shd w:val="clear" w:color="auto" w:fill="D9D9D9"/>
            <w:vAlign w:val="center"/>
          </w:tcPr>
          <w:p>
            <w:pPr>
              <w:ind w:firstLine="0"/>
              <w:jc w:val="center"/>
            </w:pPr>
            <w:r/>
            <w:r>
              <w:rPr>
                <w:b/>
                <w:sz w:val="22"/>
                <w:rFonts w:ascii="Times New Roman" w:hAnsi="Times New Roman" w:eastAsia="Times New Roman" w:cs="Times New Roman"/>
              </w:rPr>
              <w:t>σ_X</w:t>
            </w:r>
          </w:p>
        </w:tc>
        <w:tc>
          <w:tcPr>
            <w:tcW w:type="dxa" w:w="1701"/>
            <w:shd w:val="clear" w:color="auto" w:fill="D9D9D9"/>
            <w:vAlign w:val="center"/>
          </w:tcPr>
          <w:p>
            <w:pPr>
              <w:ind w:firstLine="0"/>
              <w:jc w:val="center"/>
            </w:pPr>
            <w:r/>
            <w:r>
              <w:rPr>
                <w:b/>
                <w:sz w:val="22"/>
                <w:rFonts w:ascii="Times New Roman" w:hAnsi="Times New Roman" w:eastAsia="Times New Roman" w:cs="Times New Roman"/>
              </w:rPr>
              <w:t>Z-оценка</w:t>
            </w:r>
          </w:p>
        </w:tc>
      </w:tr>
      <w:tr>
        <w:tc>
          <w:tcPr>
            <w:tcW w:type="dxa" w:w="2154"/>
            <w:vAlign w:val="center"/>
          </w:tcPr>
          <w:p>
            <w:pPr>
              <w:ind w:firstLine="0"/>
              <w:jc w:val="center"/>
            </w:pPr>
            <w:r/>
            <w:r>
              <w:rPr>
                <w:sz w:val="22"/>
                <w:rFonts w:ascii="Times New Roman" w:hAnsi="Times New Roman" w:eastAsia="Times New Roman" w:cs="Times New Roman"/>
              </w:rPr>
              <w:t>ALT, см</w:t>
            </w:r>
          </w:p>
        </w:tc>
        <w:tc>
          <w:tcPr>
            <w:tcW w:type="dxa" w:w="1701"/>
            <w:vAlign w:val="center"/>
          </w:tcPr>
          <w:p>
            <w:pPr>
              <w:ind w:firstLine="0"/>
              <w:jc w:val="center"/>
            </w:pPr>
            <w:r/>
            <w:r>
              <w:rPr>
                <w:sz w:val="22"/>
                <w:rFonts w:ascii="Times New Roman" w:hAnsi="Times New Roman" w:eastAsia="Times New Roman" w:cs="Times New Roman"/>
              </w:rPr>
              <w:t>238</w:t>
            </w:r>
          </w:p>
        </w:tc>
        <w:tc>
          <w:tcPr>
            <w:tcW w:type="dxa" w:w="1701"/>
            <w:vAlign w:val="center"/>
          </w:tcPr>
          <w:p>
            <w:pPr>
              <w:ind w:firstLine="0"/>
              <w:jc w:val="center"/>
            </w:pPr>
            <w:r/>
            <w:r>
              <w:rPr>
                <w:sz w:val="22"/>
                <w:rFonts w:ascii="Times New Roman" w:hAnsi="Times New Roman" w:eastAsia="Times New Roman" w:cs="Times New Roman"/>
              </w:rPr>
              <w:t>221,5</w:t>
            </w:r>
          </w:p>
        </w:tc>
        <w:tc>
          <w:tcPr>
            <w:tcW w:type="dxa" w:w="1134"/>
            <w:vAlign w:val="center"/>
          </w:tcPr>
          <w:p>
            <w:pPr>
              <w:ind w:firstLine="0"/>
              <w:jc w:val="center"/>
            </w:pPr>
            <w:r/>
            <w:r>
              <w:rPr>
                <w:sz w:val="22"/>
                <w:rFonts w:ascii="Times New Roman" w:hAnsi="Times New Roman" w:eastAsia="Times New Roman" w:cs="Times New Roman"/>
              </w:rPr>
              <w:t>12,8</w:t>
            </w:r>
          </w:p>
        </w:tc>
        <w:tc>
          <w:tcPr>
            <w:tcW w:type="dxa" w:w="1701"/>
            <w:vAlign w:val="center"/>
          </w:tcPr>
          <w:p>
            <w:pPr>
              <w:ind w:firstLine="0"/>
              <w:jc w:val="center"/>
            </w:pPr>
            <w:r/>
            <w:r>
              <w:rPr>
                <w:sz w:val="22"/>
                <w:rFonts w:ascii="Times New Roman" w:hAnsi="Times New Roman" w:eastAsia="Times New Roman" w:cs="Times New Roman"/>
              </w:rPr>
              <w:t>+1,29</w:t>
            </w:r>
          </w:p>
        </w:tc>
      </w:tr>
      <w:tr>
        <w:tc>
          <w:tcPr>
            <w:tcW w:type="dxa" w:w="2154"/>
            <w:vAlign w:val="center"/>
          </w:tcPr>
          <w:p>
            <w:pPr>
              <w:ind w:firstLine="0"/>
              <w:jc w:val="center"/>
            </w:pPr>
            <w:r/>
            <w:r>
              <w:rPr>
                <w:sz w:val="22"/>
                <w:rFonts w:ascii="Times New Roman" w:hAnsi="Times New Roman" w:eastAsia="Times New Roman" w:cs="Times New Roman"/>
              </w:rPr>
              <w:t>T320, °C</w:t>
            </w:r>
          </w:p>
        </w:tc>
        <w:tc>
          <w:tcPr>
            <w:tcW w:type="dxa" w:w="1701"/>
            <w:vAlign w:val="center"/>
          </w:tcPr>
          <w:p>
            <w:pPr>
              <w:ind w:firstLine="0"/>
              <w:jc w:val="center"/>
            </w:pPr>
            <w:r/>
            <w:r>
              <w:rPr>
                <w:sz w:val="22"/>
                <w:rFonts w:ascii="Times New Roman" w:hAnsi="Times New Roman" w:eastAsia="Times New Roman" w:cs="Times New Roman"/>
              </w:rPr>
              <w:t>+0,15</w:t>
            </w:r>
          </w:p>
        </w:tc>
        <w:tc>
          <w:tcPr>
            <w:tcW w:type="dxa" w:w="1701"/>
            <w:vAlign w:val="center"/>
          </w:tcPr>
          <w:p>
            <w:pPr>
              <w:ind w:firstLine="0"/>
              <w:jc w:val="center"/>
            </w:pPr>
            <w:r/>
            <w:r>
              <w:rPr>
                <w:sz w:val="22"/>
                <w:rFonts w:ascii="Times New Roman" w:hAnsi="Times New Roman" w:eastAsia="Times New Roman" w:cs="Times New Roman"/>
              </w:rPr>
              <w:t>−0,58</w:t>
            </w:r>
          </w:p>
        </w:tc>
        <w:tc>
          <w:tcPr>
            <w:tcW w:type="dxa" w:w="1134"/>
            <w:vAlign w:val="center"/>
          </w:tcPr>
          <w:p>
            <w:pPr>
              <w:ind w:firstLine="0"/>
              <w:jc w:val="center"/>
            </w:pPr>
            <w:r/>
            <w:r>
              <w:rPr>
                <w:sz w:val="22"/>
                <w:rFonts w:ascii="Times New Roman" w:hAnsi="Times New Roman" w:eastAsia="Times New Roman" w:cs="Times New Roman"/>
              </w:rPr>
              <w:t>0,32</w:t>
            </w:r>
          </w:p>
        </w:tc>
        <w:tc>
          <w:tcPr>
            <w:tcW w:type="dxa" w:w="1701"/>
            <w:vAlign w:val="center"/>
          </w:tcPr>
          <w:p>
            <w:pPr>
              <w:ind w:firstLine="0"/>
              <w:jc w:val="center"/>
            </w:pPr>
            <w:r/>
            <w:r>
              <w:rPr>
                <w:sz w:val="22"/>
                <w:rFonts w:ascii="Times New Roman" w:hAnsi="Times New Roman" w:eastAsia="Times New Roman" w:cs="Times New Roman"/>
              </w:rPr>
              <w:t>+2,28</w:t>
            </w:r>
          </w:p>
        </w:tc>
      </w:tr>
      <w:tr>
        <w:tc>
          <w:tcPr>
            <w:tcW w:type="dxa" w:w="2154"/>
            <w:vAlign w:val="center"/>
          </w:tcPr>
          <w:p>
            <w:pPr>
              <w:ind w:firstLine="0"/>
              <w:jc w:val="center"/>
            </w:pPr>
            <w:r/>
            <w:r>
              <w:rPr>
                <w:sz w:val="22"/>
                <w:rFonts w:ascii="Times New Roman" w:hAnsi="Times New Roman" w:eastAsia="Times New Roman" w:cs="Times New Roman"/>
              </w:rPr>
              <w:t>Hsnow, см</w:t>
            </w:r>
          </w:p>
        </w:tc>
        <w:tc>
          <w:tcPr>
            <w:tcW w:type="dxa" w:w="1701"/>
            <w:vAlign w:val="center"/>
          </w:tcPr>
          <w:p>
            <w:pPr>
              <w:ind w:firstLine="0"/>
              <w:jc w:val="center"/>
            </w:pPr>
            <w:r/>
            <w:r>
              <w:rPr>
                <w:sz w:val="22"/>
                <w:rFonts w:ascii="Times New Roman" w:hAnsi="Times New Roman" w:eastAsia="Times New Roman" w:cs="Times New Roman"/>
              </w:rPr>
              <w:t>61</w:t>
            </w:r>
          </w:p>
        </w:tc>
        <w:tc>
          <w:tcPr>
            <w:tcW w:type="dxa" w:w="1701"/>
            <w:vAlign w:val="center"/>
          </w:tcPr>
          <w:p>
            <w:pPr>
              <w:ind w:firstLine="0"/>
              <w:jc w:val="center"/>
            </w:pPr>
            <w:r/>
            <w:r>
              <w:rPr>
                <w:sz w:val="22"/>
                <w:rFonts w:ascii="Times New Roman" w:hAnsi="Times New Roman" w:eastAsia="Times New Roman" w:cs="Times New Roman"/>
              </w:rPr>
              <w:t>35,4</w:t>
            </w:r>
          </w:p>
        </w:tc>
        <w:tc>
          <w:tcPr>
            <w:tcW w:type="dxa" w:w="1134"/>
            <w:vAlign w:val="center"/>
          </w:tcPr>
          <w:p>
            <w:pPr>
              <w:ind w:firstLine="0"/>
              <w:jc w:val="center"/>
            </w:pPr>
            <w:r/>
            <w:r>
              <w:rPr>
                <w:sz w:val="22"/>
                <w:rFonts w:ascii="Times New Roman" w:hAnsi="Times New Roman" w:eastAsia="Times New Roman" w:cs="Times New Roman"/>
              </w:rPr>
              <w:t>8,6</w:t>
            </w:r>
          </w:p>
        </w:tc>
        <w:tc>
          <w:tcPr>
            <w:tcW w:type="dxa" w:w="1701"/>
            <w:vAlign w:val="center"/>
          </w:tcPr>
          <w:p>
            <w:pPr>
              <w:ind w:firstLine="0"/>
              <w:jc w:val="center"/>
            </w:pPr>
            <w:r/>
            <w:r>
              <w:rPr>
                <w:sz w:val="22"/>
                <w:rFonts w:ascii="Times New Roman" w:hAnsi="Times New Roman" w:eastAsia="Times New Roman" w:cs="Times New Roman"/>
              </w:rPr>
              <w:t>+2,98</w:t>
            </w:r>
          </w:p>
        </w:tc>
      </w:tr>
      <w:tr>
        <w:tc>
          <w:tcPr>
            <w:tcW w:type="dxa" w:w="2154"/>
            <w:vAlign w:val="center"/>
          </w:tcPr>
          <w:p>
            <w:pPr>
              <w:ind w:firstLine="0"/>
              <w:jc w:val="center"/>
            </w:pPr>
            <w:r/>
            <w:r>
              <w:rPr>
                <w:sz w:val="22"/>
                <w:rFonts w:ascii="Times New Roman" w:hAnsi="Times New Roman" w:eastAsia="Times New Roman" w:cs="Times New Roman"/>
              </w:rPr>
              <w:t>ROS, дней</w:t>
            </w:r>
          </w:p>
        </w:tc>
        <w:tc>
          <w:tcPr>
            <w:tcW w:type="dxa" w:w="1701"/>
            <w:vAlign w:val="center"/>
          </w:tcPr>
          <w:p>
            <w:pPr>
              <w:ind w:firstLine="0"/>
              <w:jc w:val="center"/>
            </w:pPr>
            <w:r/>
            <w:r>
              <w:rPr>
                <w:sz w:val="22"/>
                <w:rFonts w:ascii="Times New Roman" w:hAnsi="Times New Roman" w:eastAsia="Times New Roman" w:cs="Times New Roman"/>
              </w:rPr>
              <w:t>5</w:t>
            </w:r>
          </w:p>
        </w:tc>
        <w:tc>
          <w:tcPr>
            <w:tcW w:type="dxa" w:w="1701"/>
            <w:vAlign w:val="center"/>
          </w:tcPr>
          <w:p>
            <w:pPr>
              <w:ind w:firstLine="0"/>
              <w:jc w:val="center"/>
            </w:pPr>
            <w:r/>
            <w:r>
              <w:rPr>
                <w:sz w:val="22"/>
                <w:rFonts w:ascii="Times New Roman" w:hAnsi="Times New Roman" w:eastAsia="Times New Roman" w:cs="Times New Roman"/>
              </w:rPr>
              <w:t>1,6</w:t>
            </w:r>
          </w:p>
        </w:tc>
        <w:tc>
          <w:tcPr>
            <w:tcW w:type="dxa" w:w="1134"/>
            <w:vAlign w:val="center"/>
          </w:tcPr>
          <w:p>
            <w:pPr>
              <w:ind w:firstLine="0"/>
              <w:jc w:val="center"/>
            </w:pPr>
            <w:r/>
            <w:r>
              <w:rPr>
                <w:sz w:val="22"/>
                <w:rFonts w:ascii="Times New Roman" w:hAnsi="Times New Roman" w:eastAsia="Times New Roman" w:cs="Times New Roman"/>
              </w:rPr>
              <w:t>1,1</w:t>
            </w:r>
          </w:p>
        </w:tc>
        <w:tc>
          <w:tcPr>
            <w:tcW w:type="dxa" w:w="1701"/>
            <w:vAlign w:val="center"/>
          </w:tcPr>
          <w:p>
            <w:pPr>
              <w:ind w:firstLine="0"/>
              <w:jc w:val="center"/>
            </w:pPr>
            <w:r/>
            <w:r>
              <w:rPr>
                <w:sz w:val="22"/>
                <w:rFonts w:ascii="Times New Roman" w:hAnsi="Times New Roman" w:eastAsia="Times New Roman" w:cs="Times New Roman"/>
              </w:rPr>
              <w:t>+3,09</w:t>
            </w:r>
          </w:p>
        </w:tc>
      </w:tr>
    </w:tbl>
    <w:p>
      <w:pPr>
        <w:spacing w:after="120"/>
        <w:jc w:val="both"/>
      </w:pPr>
      <w:r>
        <w:rPr>
          <w:b w:val="0"/>
          <w:i w:val="0"/>
          <w:sz w:val="24"/>
          <w:rFonts w:ascii="Times New Roman" w:hAnsi="Times New Roman" w:eastAsia="Times New Roman" w:cs="Times New Roman"/>
        </w:rPr>
        <w:t>Подставим Z-оценки в формулу:</w:t>
      </w:r>
    </w:p>
    <w:p>
      <w:pPr>
        <w:spacing w:before="80" w:after="160"/>
        <w:ind w:firstLine="0"/>
        <w:jc w:val="center"/>
      </w:pPr>
      <w:r>
        <w:rPr>
          <w:i/>
          <w:sz w:val="26"/>
          <w:rFonts w:ascii="Times New Roman" w:hAnsi="Times New Roman" w:eastAsia="Times New Roman" w:cs="Times New Roman"/>
        </w:rPr>
        <w:t>PSRS = clip(5,0 + 1,6·(0,40·1,29 + 0,30·2,28 + 0,20·2,98 + 0,10·3,09), 0, 10)</w:t>
      </w:r>
    </w:p>
    <w:p>
      <w:pPr>
        <w:spacing w:before="80" w:after="160"/>
        <w:ind w:firstLine="0"/>
        <w:jc w:val="center"/>
      </w:pPr>
      <w:r>
        <w:rPr>
          <w:i/>
          <w:sz w:val="26"/>
          <w:rFonts w:ascii="Times New Roman" w:hAnsi="Times New Roman" w:eastAsia="Times New Roman" w:cs="Times New Roman"/>
        </w:rPr>
        <w:t>= clip(5,0 + 1,6·(0,516 + 0,684 + 0,596 + 0,309), 0, 10)</w:t>
      </w:r>
    </w:p>
    <w:p>
      <w:pPr>
        <w:spacing w:before="80" w:after="160"/>
        <w:ind w:firstLine="0"/>
        <w:jc w:val="center"/>
      </w:pPr>
      <w:r>
        <w:rPr>
          <w:i/>
          <w:sz w:val="26"/>
          <w:rFonts w:ascii="Times New Roman" w:hAnsi="Times New Roman" w:eastAsia="Times New Roman" w:cs="Times New Roman"/>
        </w:rPr>
        <w:t>= clip(5,0 + 1,6·2,105, 0, 10) = clip(5,0 + 3,368, 0, 10) = 8,37 ≈ 8,4</w:t>
      </w:r>
    </w:p>
    <w:p>
      <w:pPr>
        <w:spacing w:after="120"/>
        <w:jc w:val="both"/>
      </w:pPr>
      <w:r>
        <w:rPr>
          <w:b w:val="0"/>
          <w:i w:val="0"/>
          <w:sz w:val="24"/>
          <w:rFonts w:ascii="Times New Roman" w:hAnsi="Times New Roman" w:eastAsia="Times New Roman" w:cs="Times New Roman"/>
        </w:rPr>
        <w:t>Полученное значение PSRS ≈ 8,4 относится к красной зоне (раздел 7). Управленческий режим — чрезвычайный (раздел 8).</w:t>
      </w:r>
    </w:p>
    <w:p>
      <w:pPr>
        <w:spacing w:after="120"/>
        <w:jc w:val="both"/>
      </w:pPr>
      <w:r>
        <w:rPr>
          <w:b w:val="0"/>
          <w:i/>
          <w:sz w:val="24"/>
          <w:rFonts w:ascii="Times New Roman" w:hAnsi="Times New Roman" w:eastAsia="Times New Roman" w:cs="Times New Roman"/>
        </w:rPr>
        <w:t>Учебные значения подобраны так, чтобы продемонстрировать срабатывание красной зоны при множественном наложении неблагоприятных факторов. В оперативной практике значения берутся из официальных архивных протоколов за соответствующий период.</w:t>
      </w:r>
    </w:p>
    <w:p>
      <w:pPr>
        <w:spacing w:before="280" w:after="120"/>
        <w:ind w:firstLine="0"/>
        <w:jc w:val="left"/>
      </w:pPr>
      <w:r>
        <w:rPr>
          <w:b/>
          <w:sz w:val="28"/>
          <w:rFonts w:ascii="Times New Roman" w:hAnsi="Times New Roman" w:eastAsia="Times New Roman" w:cs="Times New Roman"/>
        </w:rPr>
        <w:t>7. Шкала PSRS и зоны риска</w:t>
      </w:r>
    </w:p>
    <w:p>
      <w:pPr>
        <w:spacing w:before="120" w:after="60"/>
        <w:ind w:firstLine="0"/>
        <w:jc w:val="left"/>
      </w:pPr>
      <w:r>
        <w:rPr>
          <w:sz w:val="22"/>
          <w:rFonts w:ascii="Times New Roman" w:hAnsi="Times New Roman" w:eastAsia="Times New Roman" w:cs="Times New Roman"/>
        </w:rPr>
        <w:t>Таблица 7.1 — Шкала PSRS и физическое состояние грунтов оснований</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587"/>
            <w:shd w:val="clear" w:color="auto" w:fill="D9D9D9"/>
            <w:vAlign w:val="center"/>
          </w:tcPr>
          <w:p>
            <w:pPr>
              <w:ind w:firstLine="0"/>
              <w:jc w:val="center"/>
            </w:pPr>
            <w:r/>
            <w:r>
              <w:rPr>
                <w:b/>
                <w:sz w:val="20"/>
                <w:rFonts w:ascii="Times New Roman" w:hAnsi="Times New Roman" w:eastAsia="Times New Roman" w:cs="Times New Roman"/>
              </w:rPr>
              <w:t>Диапазон, баллов</w:t>
            </w:r>
          </w:p>
        </w:tc>
        <w:tc>
          <w:tcPr>
            <w:tcW w:type="dxa" w:w="1701"/>
            <w:shd w:val="clear" w:color="auto" w:fill="D9D9D9"/>
            <w:vAlign w:val="center"/>
          </w:tcPr>
          <w:p>
            <w:pPr>
              <w:ind w:firstLine="0"/>
              <w:jc w:val="center"/>
            </w:pPr>
            <w:r/>
            <w:r>
              <w:rPr>
                <w:b/>
                <w:sz w:val="20"/>
                <w:rFonts w:ascii="Times New Roman" w:hAnsi="Times New Roman" w:eastAsia="Times New Roman" w:cs="Times New Roman"/>
              </w:rPr>
              <w:t>Зона</w:t>
            </w:r>
          </w:p>
        </w:tc>
        <w:tc>
          <w:tcPr>
            <w:tcW w:type="dxa" w:w="1134"/>
            <w:shd w:val="clear" w:color="auto" w:fill="D9D9D9"/>
            <w:vAlign w:val="center"/>
          </w:tcPr>
          <w:p>
            <w:pPr>
              <w:ind w:firstLine="0"/>
              <w:jc w:val="center"/>
            </w:pPr>
            <w:r/>
            <w:r>
              <w:rPr>
                <w:b/>
                <w:sz w:val="20"/>
                <w:rFonts w:ascii="Times New Roman" w:hAnsi="Times New Roman" w:eastAsia="Times New Roman" w:cs="Times New Roman"/>
              </w:rPr>
              <w:t>Уровень риска</w:t>
            </w:r>
          </w:p>
        </w:tc>
        <w:tc>
          <w:tcPr>
            <w:tcW w:type="dxa" w:w="4649"/>
            <w:shd w:val="clear" w:color="auto" w:fill="D9D9D9"/>
            <w:vAlign w:val="center"/>
          </w:tcPr>
          <w:p>
            <w:pPr>
              <w:ind w:firstLine="0"/>
              <w:jc w:val="center"/>
            </w:pPr>
            <w:r/>
            <w:r>
              <w:rPr>
                <w:b/>
                <w:sz w:val="20"/>
                <w:rFonts w:ascii="Times New Roman" w:hAnsi="Times New Roman" w:eastAsia="Times New Roman" w:cs="Times New Roman"/>
              </w:rPr>
              <w:t>Физическое состояние грунтов оснований</w:t>
            </w:r>
          </w:p>
        </w:tc>
      </w:tr>
      <w:tr>
        <w:tc>
          <w:tcPr>
            <w:tcW w:type="dxa" w:w="1587"/>
            <w:vAlign w:val="center"/>
            <w:shd w:val="clear" w:color="auto" w:fill="E2EFDA"/>
          </w:tcPr>
          <w:p>
            <w:pPr>
              <w:ind w:firstLine="0"/>
              <w:jc w:val="center"/>
            </w:pPr>
            <w:r/>
            <w:r>
              <w:rPr>
                <w:sz w:val="20"/>
                <w:rFonts w:ascii="Times New Roman" w:hAnsi="Times New Roman" w:eastAsia="Times New Roman" w:cs="Times New Roman"/>
              </w:rPr>
              <w:t>0,0 – 3,9</w:t>
            </w:r>
          </w:p>
        </w:tc>
        <w:tc>
          <w:tcPr>
            <w:tcW w:type="dxa" w:w="1701"/>
            <w:vAlign w:val="center"/>
            <w:shd w:val="clear" w:color="auto" w:fill="E2EFDA"/>
          </w:tcPr>
          <w:p>
            <w:pPr>
              <w:ind w:firstLine="0"/>
              <w:jc w:val="center"/>
            </w:pPr>
            <w:r/>
            <w:r>
              <w:rPr>
                <w:sz w:val="20"/>
                <w:rFonts w:ascii="Times New Roman" w:hAnsi="Times New Roman" w:eastAsia="Times New Roman" w:cs="Times New Roman"/>
              </w:rPr>
              <w:t>Зелёная (LOW)</w:t>
            </w:r>
          </w:p>
        </w:tc>
        <w:tc>
          <w:tcPr>
            <w:tcW w:type="dxa" w:w="1134"/>
            <w:vAlign w:val="center"/>
            <w:shd w:val="clear" w:color="auto" w:fill="E2EFDA"/>
          </w:tcPr>
          <w:p>
            <w:pPr>
              <w:ind w:firstLine="0"/>
              <w:jc w:val="center"/>
            </w:pPr>
            <w:r/>
            <w:r>
              <w:rPr>
                <w:sz w:val="20"/>
                <w:rFonts w:ascii="Times New Roman" w:hAnsi="Times New Roman" w:eastAsia="Times New Roman" w:cs="Times New Roman"/>
              </w:rPr>
              <w:t>Низкий</w:t>
            </w:r>
          </w:p>
        </w:tc>
        <w:tc>
          <w:tcPr>
            <w:tcW w:type="dxa" w:w="4649"/>
            <w:vAlign w:val="center"/>
            <w:shd w:val="clear" w:color="auto" w:fill="E2EFDA"/>
          </w:tcPr>
          <w:p>
            <w:pPr>
              <w:ind w:firstLine="0"/>
              <w:jc w:val="center"/>
            </w:pPr>
            <w:r/>
            <w:r>
              <w:rPr>
                <w:sz w:val="20"/>
                <w:rFonts w:ascii="Times New Roman" w:hAnsi="Times New Roman" w:eastAsia="Times New Roman" w:cs="Times New Roman"/>
              </w:rPr>
              <w:t>Грунты устойчиво сохраняют мёрзлое состояние. Среднегодовая температура на глубине 3,2 м находится в отрицательном диапазоне (ниже −0,5 °C). Годовые флуктуации ALT не превышают среднемноголетнюю норму.</w:t>
            </w:r>
          </w:p>
        </w:tc>
      </w:tr>
      <w:tr>
        <w:tc>
          <w:tcPr>
            <w:tcW w:type="dxa" w:w="1587"/>
            <w:vAlign w:val="center"/>
            <w:shd w:val="clear" w:color="auto" w:fill="FFF2CC"/>
          </w:tcPr>
          <w:p>
            <w:pPr>
              <w:ind w:firstLine="0"/>
              <w:jc w:val="center"/>
            </w:pPr>
            <w:r/>
            <w:r>
              <w:rPr>
                <w:sz w:val="20"/>
                <w:rFonts w:ascii="Times New Roman" w:hAnsi="Times New Roman" w:eastAsia="Times New Roman" w:cs="Times New Roman"/>
              </w:rPr>
              <w:t>4,0 – 6,9</w:t>
            </w:r>
          </w:p>
        </w:tc>
        <w:tc>
          <w:tcPr>
            <w:tcW w:type="dxa" w:w="1701"/>
            <w:vAlign w:val="center"/>
            <w:shd w:val="clear" w:color="auto" w:fill="FFF2CC"/>
          </w:tcPr>
          <w:p>
            <w:pPr>
              <w:ind w:firstLine="0"/>
              <w:jc w:val="center"/>
            </w:pPr>
            <w:r/>
            <w:r>
              <w:rPr>
                <w:sz w:val="20"/>
                <w:rFonts w:ascii="Times New Roman" w:hAnsi="Times New Roman" w:eastAsia="Times New Roman" w:cs="Times New Roman"/>
              </w:rPr>
              <w:t>Жёлтая (MODERATE)</w:t>
            </w:r>
          </w:p>
        </w:tc>
        <w:tc>
          <w:tcPr>
            <w:tcW w:type="dxa" w:w="1134"/>
            <w:vAlign w:val="center"/>
            <w:shd w:val="clear" w:color="auto" w:fill="FFF2CC"/>
          </w:tcPr>
          <w:p>
            <w:pPr>
              <w:ind w:firstLine="0"/>
              <w:jc w:val="center"/>
            </w:pPr>
            <w:r/>
            <w:r>
              <w:rPr>
                <w:sz w:val="20"/>
                <w:rFonts w:ascii="Times New Roman" w:hAnsi="Times New Roman" w:eastAsia="Times New Roman" w:cs="Times New Roman"/>
              </w:rPr>
              <w:t>Умеренный</w:t>
            </w:r>
          </w:p>
        </w:tc>
        <w:tc>
          <w:tcPr>
            <w:tcW w:type="dxa" w:w="4649"/>
            <w:vAlign w:val="center"/>
            <w:shd w:val="clear" w:color="auto" w:fill="FFF2CC"/>
          </w:tcPr>
          <w:p>
            <w:pPr>
              <w:ind w:firstLine="0"/>
              <w:jc w:val="center"/>
            </w:pPr>
            <w:r/>
            <w:r>
              <w:rPr>
                <w:sz w:val="20"/>
                <w:rFonts w:ascii="Times New Roman" w:hAnsi="Times New Roman" w:eastAsia="Times New Roman" w:cs="Times New Roman"/>
              </w:rPr>
              <w:t>Один или несколько параметров отклонены на ≥1σ в сторону неблагоприятных значений. Приближение температуры грунта к нулевой завесе. Локальные очаги аномального протаивания.</w:t>
            </w:r>
          </w:p>
        </w:tc>
      </w:tr>
      <w:tr>
        <w:tc>
          <w:tcPr>
            <w:tcW w:type="dxa" w:w="1587"/>
            <w:vAlign w:val="center"/>
            <w:shd w:val="clear" w:color="auto" w:fill="FCE4D6"/>
          </w:tcPr>
          <w:p>
            <w:pPr>
              <w:ind w:firstLine="0"/>
              <w:jc w:val="center"/>
            </w:pPr>
            <w:r/>
            <w:r>
              <w:rPr>
                <w:sz w:val="20"/>
                <w:rFonts w:ascii="Times New Roman" w:hAnsi="Times New Roman" w:eastAsia="Times New Roman" w:cs="Times New Roman"/>
              </w:rPr>
              <w:t>7,0 – 10,0</w:t>
            </w:r>
          </w:p>
        </w:tc>
        <w:tc>
          <w:tcPr>
            <w:tcW w:type="dxa" w:w="1701"/>
            <w:vAlign w:val="center"/>
            <w:shd w:val="clear" w:color="auto" w:fill="FCE4D6"/>
          </w:tcPr>
          <w:p>
            <w:pPr>
              <w:ind w:firstLine="0"/>
              <w:jc w:val="center"/>
            </w:pPr>
            <w:r/>
            <w:r>
              <w:rPr>
                <w:sz w:val="20"/>
                <w:rFonts w:ascii="Times New Roman" w:hAnsi="Times New Roman" w:eastAsia="Times New Roman" w:cs="Times New Roman"/>
              </w:rPr>
              <w:t>Красная (EXTREME)</w:t>
            </w:r>
          </w:p>
        </w:tc>
        <w:tc>
          <w:tcPr>
            <w:tcW w:type="dxa" w:w="1134"/>
            <w:vAlign w:val="center"/>
            <w:shd w:val="clear" w:color="auto" w:fill="FCE4D6"/>
          </w:tcPr>
          <w:p>
            <w:pPr>
              <w:ind w:firstLine="0"/>
              <w:jc w:val="center"/>
            </w:pPr>
            <w:r/>
            <w:r>
              <w:rPr>
                <w:sz w:val="20"/>
                <w:rFonts w:ascii="Times New Roman" w:hAnsi="Times New Roman" w:eastAsia="Times New Roman" w:cs="Times New Roman"/>
              </w:rPr>
              <w:t>Критический</w:t>
            </w:r>
          </w:p>
        </w:tc>
        <w:tc>
          <w:tcPr>
            <w:tcW w:type="dxa" w:w="4649"/>
            <w:vAlign w:val="center"/>
            <w:shd w:val="clear" w:color="auto" w:fill="FCE4D6"/>
          </w:tcPr>
          <w:p>
            <w:pPr>
              <w:ind w:firstLine="0"/>
              <w:jc w:val="center"/>
            </w:pPr>
            <w:r/>
            <w:r>
              <w:rPr>
                <w:sz w:val="20"/>
                <w:rFonts w:ascii="Times New Roman" w:hAnsi="Times New Roman" w:eastAsia="Times New Roman" w:cs="Times New Roman"/>
              </w:rPr>
              <w:t>Множественное наложение неблагоприятных факторов. Возможен переход температуры на 3,2 м через нулевую изотерму; критическая нагрузка на свайные фундаменты, риск осадки оснований.</w:t>
            </w:r>
          </w:p>
        </w:tc>
      </w:tr>
    </w:tbl>
    <w:p>
      <w:pPr>
        <w:spacing w:before="280" w:after="120"/>
        <w:ind w:firstLine="0"/>
        <w:jc w:val="left"/>
      </w:pPr>
      <w:r>
        <w:rPr>
          <w:b/>
          <w:sz w:val="28"/>
          <w:rFonts w:ascii="Times New Roman" w:hAnsi="Times New Roman" w:eastAsia="Times New Roman" w:cs="Times New Roman"/>
        </w:rPr>
        <w:t>8. Регламент действий по зонам PSRS</w:t>
      </w:r>
    </w:p>
    <w:p>
      <w:pPr>
        <w:spacing w:before="120" w:after="60"/>
        <w:ind w:firstLine="0"/>
        <w:jc w:val="left"/>
      </w:pPr>
      <w:r>
        <w:rPr>
          <w:sz w:val="22"/>
          <w:rFonts w:ascii="Times New Roman" w:hAnsi="Times New Roman" w:eastAsia="Times New Roman" w:cs="Times New Roman"/>
        </w:rPr>
        <w:t>Таблица 8.1 — Регламент превентивных и реактивных действий</w:t>
      </w:r>
    </w:p>
    <w:tbl>
      <w:tblPr>
        <w:tblStyle w:val="TableGrid"/>
        <w:tblW w:type="auto" w:w="0"/>
        <w:jc w:val="center"/>
        <w:tblLook w:firstColumn="1" w:firstRow="1" w:lastColumn="0" w:lastRow="0" w:noHBand="0" w:noVBand="1" w:val="04A0"/>
      </w:tblPr>
      <w:tblGrid>
        <w:gridCol w:w="4819"/>
        <w:gridCol w:w="4819"/>
      </w:tblGrid>
      <w:tr>
        <w:tc>
          <w:tcPr>
            <w:tcW w:type="dxa" w:w="1984"/>
            <w:shd w:val="clear" w:color="auto" w:fill="D9D9D9"/>
            <w:vAlign w:val="center"/>
          </w:tcPr>
          <w:p>
            <w:pPr>
              <w:ind w:firstLine="0"/>
              <w:jc w:val="center"/>
            </w:pPr>
            <w:r/>
            <w:r>
              <w:rPr>
                <w:b/>
                <w:sz w:val="20"/>
                <w:rFonts w:ascii="Times New Roman" w:hAnsi="Times New Roman" w:eastAsia="Times New Roman" w:cs="Times New Roman"/>
              </w:rPr>
              <w:t>Зона</w:t>
            </w:r>
          </w:p>
        </w:tc>
        <w:tc>
          <w:tcPr>
            <w:tcW w:type="dxa" w:w="7087"/>
            <w:shd w:val="clear" w:color="auto" w:fill="D9D9D9"/>
            <w:vAlign w:val="center"/>
          </w:tcPr>
          <w:p>
            <w:pPr>
              <w:ind w:firstLine="0"/>
              <w:jc w:val="center"/>
            </w:pPr>
            <w:r/>
            <w:r>
              <w:rPr>
                <w:b/>
                <w:sz w:val="20"/>
                <w:rFonts w:ascii="Times New Roman" w:hAnsi="Times New Roman" w:eastAsia="Times New Roman" w:cs="Times New Roman"/>
              </w:rPr>
              <w:t>Действия эксплуатирующих и ведомственных служб</w:t>
            </w:r>
          </w:p>
        </w:tc>
      </w:tr>
      <w:tr>
        <w:tc>
          <w:tcPr>
            <w:tcW w:type="dxa" w:w="1984"/>
            <w:vAlign w:val="center"/>
            <w:shd w:val="clear" w:color="auto" w:fill="E2EFDA"/>
          </w:tcPr>
          <w:p>
            <w:pPr>
              <w:ind w:firstLine="0"/>
              <w:jc w:val="center"/>
            </w:pPr>
            <w:r/>
            <w:r>
              <w:rPr>
                <w:sz w:val="20"/>
                <w:rFonts w:ascii="Times New Roman" w:hAnsi="Times New Roman" w:eastAsia="Times New Roman" w:cs="Times New Roman"/>
              </w:rPr>
              <w:t>Зелёная</w:t>
              <w:br/>
              <w:t>(LOW, 0,0 – 3,9)</w:t>
            </w:r>
          </w:p>
        </w:tc>
        <w:tc>
          <w:tcPr>
            <w:tcW w:type="dxa" w:w="7087"/>
            <w:vAlign w:val="center"/>
            <w:shd w:val="clear" w:color="auto" w:fill="E2EFDA"/>
          </w:tcPr>
          <w:p>
            <w:pPr>
              <w:ind w:firstLine="0"/>
              <w:jc w:val="center"/>
            </w:pPr>
            <w:r/>
            <w:r>
              <w:rPr>
                <w:sz w:val="20"/>
                <w:rFonts w:ascii="Times New Roman" w:hAnsi="Times New Roman" w:eastAsia="Times New Roman" w:cs="Times New Roman"/>
              </w:rPr>
              <w:t>1. Плановый мониторинг: ежегодное геофизическое и термическое обследование фундаментов зданий.</w:t>
              <w:br/>
              <w:t>2. Контроль скважин: снятие температурных показателей термометрических скважин 2 раза в год.</w:t>
              <w:br/>
              <w:t>3. Обычный режим эксплуатации объектов жизнеобеспечения населённого пункта.</w:t>
            </w:r>
          </w:p>
        </w:tc>
      </w:tr>
      <w:tr>
        <w:tc>
          <w:tcPr>
            <w:tcW w:type="dxa" w:w="1984"/>
            <w:vAlign w:val="center"/>
            <w:shd w:val="clear" w:color="auto" w:fill="FFF2CC"/>
          </w:tcPr>
          <w:p>
            <w:pPr>
              <w:ind w:firstLine="0"/>
              <w:jc w:val="center"/>
            </w:pPr>
            <w:r/>
            <w:r>
              <w:rPr>
                <w:sz w:val="20"/>
                <w:rFonts w:ascii="Times New Roman" w:hAnsi="Times New Roman" w:eastAsia="Times New Roman" w:cs="Times New Roman"/>
              </w:rPr>
              <w:t>Жёлтая</w:t>
              <w:br/>
              <w:t>(MODERATE, 4,0 – 6,9)</w:t>
            </w:r>
          </w:p>
        </w:tc>
        <w:tc>
          <w:tcPr>
            <w:tcW w:type="dxa" w:w="7087"/>
            <w:vAlign w:val="center"/>
            <w:shd w:val="clear" w:color="auto" w:fill="FFF2CC"/>
          </w:tcPr>
          <w:p>
            <w:pPr>
              <w:ind w:firstLine="0"/>
              <w:jc w:val="center"/>
            </w:pPr>
            <w:r/>
            <w:r>
              <w:rPr>
                <w:sz w:val="20"/>
                <w:rFonts w:ascii="Times New Roman" w:hAnsi="Times New Roman" w:eastAsia="Times New Roman" w:cs="Times New Roman"/>
              </w:rPr>
              <w:t>1. Усиленный мониторинг: переход на ежемесячное обследование фундаментов в тёплый сезон.</w:t>
              <w:br/>
              <w:t>2. Инженерная превенция: активация сезонно-действующих охлаждающих устройств (термосифонов).</w:t>
              <w:br/>
              <w:t>3. Активный дренаж: организация скорейшего отвода талых и дождевых вод от свайных полей во избежание обводнения.</w:t>
              <w:br/>
              <w:t>4. Проверка готовности муниципальных коммунальных аварийных бригад.</w:t>
            </w:r>
          </w:p>
        </w:tc>
      </w:tr>
      <w:tr>
        <w:tc>
          <w:tcPr>
            <w:tcW w:type="dxa" w:w="1984"/>
            <w:vAlign w:val="center"/>
            <w:shd w:val="clear" w:color="auto" w:fill="FCE4D6"/>
          </w:tcPr>
          <w:p>
            <w:pPr>
              <w:ind w:firstLine="0"/>
              <w:jc w:val="center"/>
            </w:pPr>
            <w:r/>
            <w:r>
              <w:rPr>
                <w:sz w:val="20"/>
                <w:rFonts w:ascii="Times New Roman" w:hAnsi="Times New Roman" w:eastAsia="Times New Roman" w:cs="Times New Roman"/>
              </w:rPr>
              <w:t>Красная</w:t>
              <w:br/>
              <w:t>(EXTREME, 7,0 – 10,0)</w:t>
            </w:r>
          </w:p>
        </w:tc>
        <w:tc>
          <w:tcPr>
            <w:tcW w:type="dxa" w:w="7087"/>
            <w:vAlign w:val="center"/>
            <w:shd w:val="clear" w:color="auto" w:fill="FCE4D6"/>
          </w:tcPr>
          <w:p>
            <w:pPr>
              <w:ind w:firstLine="0"/>
              <w:jc w:val="center"/>
            </w:pPr>
            <w:r/>
            <w:r>
              <w:rPr>
                <w:sz w:val="20"/>
                <w:rFonts w:ascii="Times New Roman" w:hAnsi="Times New Roman" w:eastAsia="Times New Roman" w:cs="Times New Roman"/>
              </w:rPr>
              <w:t>1. Экстренное реагирование: введение режима ЧС регионального или муниципального характера.</w:t>
              <w:br/>
              <w:t>2. Защита населения: экстренное выселение жителей из деформированных зданий с угрозой обрушения.</w:t>
              <w:br/>
              <w:t>3. Защита инфраструктуры: локальное отключение газораспределительных сетей и ЛЭП в аварийных зонах.</w:t>
              <w:br/>
              <w:t>4. Инженерная защита: проведение срочных строительно-монтажных работ по укреплению несущих свай.</w:t>
              <w:br/>
              <w:t>5. Развёртывание оперативного штаба МЧС России по координации спасательных сил.</w:t>
            </w:r>
          </w:p>
        </w:tc>
      </w:tr>
    </w:tbl>
    <w:p>
      <w:pPr>
        <w:spacing w:after="120"/>
        <w:jc w:val="both"/>
      </w:pPr>
      <w:r>
        <w:rPr>
          <w:b w:val="0"/>
          <w:i w:val="0"/>
          <w:sz w:val="24"/>
          <w:rFonts w:ascii="Times New Roman" w:hAnsi="Times New Roman" w:eastAsia="Times New Roman" w:cs="Times New Roman"/>
        </w:rPr>
        <w:t>Решение о переходе территории между зонами PSRS принимается дежурным оперативным штабом ЦУКС на основании ежегодного пересчёта индикатора после получения осенних данных CALM. Подтверждённое превышение пороговых значений оформляется протоколом и доводится до руководства ГУ МЧС России по Республике Саха (Якутия). Указанный регламент согласован с программной реализацией СППР (модуль DecisionSupportSystem.evaluate_year, файл data/permafrost_model/dss.py).</w:t>
      </w:r>
    </w:p>
    <w:p>
      <w:pPr>
        <w:spacing w:before="280" w:after="120"/>
        <w:ind w:firstLine="0"/>
        <w:jc w:val="left"/>
      </w:pPr>
      <w:r>
        <w:rPr>
          <w:b/>
          <w:sz w:val="28"/>
          <w:rFonts w:ascii="Times New Roman" w:hAnsi="Times New Roman" w:eastAsia="Times New Roman" w:cs="Times New Roman"/>
        </w:rPr>
        <w:t>9. Параметрическая верификация индикатора</w:t>
      </w:r>
    </w:p>
    <w:p>
      <w:pPr>
        <w:spacing w:after="120"/>
        <w:jc w:val="both"/>
      </w:pPr>
      <w:r>
        <w:rPr>
          <w:b w:val="0"/>
          <w:i w:val="0"/>
          <w:sz w:val="24"/>
          <w:rFonts w:ascii="Times New Roman" w:hAnsi="Times New Roman" w:eastAsia="Times New Roman" w:cs="Times New Roman"/>
        </w:rPr>
        <w:t>Сквозная количественная статистика по деформациям оснований зданий и разрывам городских коммуникаций в оперативных базах данных МЧС России отсутствует: массивы МЧС ориентированы преимущественно на быструю фиксацию гидрометеорологических и техногенных ЧС (половодья, заторы, пожары). Прямая эмпирическая верификация шкалы PSRS по числу зарегистрированных аварий поэтому невозможна.</w:t>
      </w:r>
    </w:p>
    <w:p>
      <w:pPr>
        <w:spacing w:after="120"/>
        <w:jc w:val="both"/>
      </w:pPr>
      <w:r>
        <w:rPr>
          <w:b w:val="0"/>
          <w:i w:val="0"/>
          <w:sz w:val="24"/>
          <w:rFonts w:ascii="Times New Roman" w:hAnsi="Times New Roman" w:eastAsia="Times New Roman" w:cs="Times New Roman"/>
        </w:rPr>
        <w:t>В отсутствие реестра инженерных инцидентов параметрическая верификация индикатора в исследовательском контуре опирается на два независимых способа.</w:t>
      </w:r>
    </w:p>
    <w:p>
      <w:pPr>
        <w:spacing w:after="120"/>
        <w:ind w:firstLine="0"/>
        <w:jc w:val="both"/>
      </w:pPr>
      <w:r>
        <w:rPr>
          <w:b/>
          <w:i w:val="0"/>
          <w:sz w:val="24"/>
          <w:rFonts w:ascii="Times New Roman" w:hAnsi="Times New Roman" w:eastAsia="Times New Roman" w:cs="Times New Roman"/>
        </w:rPr>
        <w:t>Способ 9.1. Сопоставление с глубоким геодинамическим фоном.</w:t>
      </w:r>
    </w:p>
    <w:p>
      <w:pPr>
        <w:spacing w:after="120"/>
        <w:jc w:val="both"/>
      </w:pPr>
      <w:r>
        <w:rPr>
          <w:b w:val="0"/>
          <w:i w:val="0"/>
          <w:sz w:val="24"/>
          <w:rFonts w:ascii="Times New Roman" w:hAnsi="Times New Roman" w:eastAsia="Times New Roman" w:cs="Times New Roman"/>
        </w:rPr>
        <w:t>Годовые баллы PSRS сопоставляются с натурными данными векового хода температуры грунтов в глубоких скважинах (глубина более 10 м), не подверженных краткосрочным шумам. Опорный материал — станция «Чабыда» Института мерзлотоведения им. П. И. Мельникова СО РАН, включённая в международную сеть GTN-P. Положительные тренды PSRS должны согласовываться с трендом потепления грунтов на горизонтах ниже зоны теплового влияния.</w:t>
      </w:r>
    </w:p>
    <w:p>
      <w:pPr>
        <w:spacing w:after="120"/>
        <w:ind w:firstLine="0"/>
        <w:jc w:val="both"/>
      </w:pPr>
      <w:r>
        <w:rPr>
          <w:b/>
          <w:i w:val="0"/>
          <w:sz w:val="24"/>
          <w:rFonts w:ascii="Times New Roman" w:hAnsi="Times New Roman" w:eastAsia="Times New Roman" w:cs="Times New Roman"/>
        </w:rPr>
        <w:t>Способ 9.2. Анализ фазовых сдвигов в LC-пространстве.</w:t>
      </w:r>
    </w:p>
    <w:p>
      <w:pPr>
        <w:spacing w:after="120"/>
        <w:jc w:val="both"/>
      </w:pPr>
      <w:r>
        <w:rPr>
          <w:b w:val="0"/>
          <w:i w:val="0"/>
          <w:sz w:val="24"/>
          <w:rFonts w:ascii="Times New Roman" w:hAnsi="Times New Roman" w:eastAsia="Times New Roman" w:cs="Times New Roman"/>
        </w:rPr>
        <w:t>Адекватность динамики PSRS оценивается через сопоставление траектории индикатора с долгосрочной траекторией кумулятивной тепловой нагрузки DDT (Degree-Days Temperature), построенной методом LC-кривых Алескерова и соавторов (2025). Геокриологический индикатор PSRS признаётся физически адекватным, если экстремумы интегрального балла следуют за переломами кумулятивного термического эффекта атмосферы с устойчивым лагом 2–3 года, соответствующим инерции теплопереноса в суглинистых отложениях Центральной Якутии.</w:t>
      </w:r>
    </w:p>
    <w:p>
      <w:pPr>
        <w:spacing w:before="280" w:after="120"/>
        <w:ind w:firstLine="0"/>
        <w:jc w:val="left"/>
      </w:pPr>
      <w:r>
        <w:rPr>
          <w:b/>
          <w:sz w:val="28"/>
          <w:rFonts w:ascii="Times New Roman" w:hAnsi="Times New Roman" w:eastAsia="Times New Roman" w:cs="Times New Roman"/>
        </w:rPr>
        <w:t>10. Прецедент Норильск-2020 как обучающий кейс</w:t>
      </w:r>
    </w:p>
    <w:p>
      <w:pPr>
        <w:spacing w:after="120"/>
        <w:jc w:val="both"/>
      </w:pPr>
      <w:r>
        <w:rPr>
          <w:b w:val="0"/>
          <w:i w:val="0"/>
          <w:sz w:val="24"/>
          <w:rFonts w:ascii="Times New Roman" w:hAnsi="Times New Roman" w:eastAsia="Times New Roman" w:cs="Times New Roman"/>
        </w:rPr>
        <w:t>29 мая 2020 г. на ТЭЦ-3 АО «НТЭК» в Норильске произошло разрушение резервуара хранения дизельного топлива. Разлив составил около 21 тыс. тонн нефтепродуктов. По заключению Ростехнадзора и независимых экспертов, первичной физической причиной аварии стала просадка свайного основания резервуара вследствие оттаивания многолетнемёрзлых грунтов в зоне фундамента. Аварии присвоен федеральный уровень ЧС.</w:t>
      </w:r>
    </w:p>
    <w:p>
      <w:pPr>
        <w:spacing w:after="120"/>
        <w:jc w:val="both"/>
      </w:pPr>
      <w:r>
        <w:rPr>
          <w:b w:val="0"/>
          <w:i w:val="0"/>
          <w:sz w:val="24"/>
          <w:rFonts w:ascii="Times New Roman" w:hAnsi="Times New Roman" w:eastAsia="Times New Roman" w:cs="Times New Roman"/>
        </w:rPr>
        <w:t>С точки зрения PSRS этот случай — наглядная физическая реализация сценария критической (красной) зоны: накопленное потепление грунта, превышение проектной глубины протаивания, потеря несущей способности основания. PSRS не предсказывал бы дату аварии, но за несколько сезонов перед ней по площадке мог давать устойчивые значения 7,5–9,0 при условии регулярного снятия показателей.</w:t>
      </w:r>
    </w:p>
    <w:p>
      <w:pPr>
        <w:spacing w:after="120"/>
        <w:jc w:val="both"/>
      </w:pPr>
      <w:r>
        <w:rPr>
          <w:b w:val="0"/>
          <w:i w:val="0"/>
          <w:sz w:val="24"/>
          <w:rFonts w:ascii="Times New Roman" w:hAnsi="Times New Roman" w:eastAsia="Times New Roman" w:cs="Times New Roman"/>
        </w:rPr>
        <w:t>Учебный вывод для курсантов: PSRS — инструмент превентивного мониторинга, а не реактивной идентификации. Корректное применение индикатора в Норильске или в Якутске предполагает ежегодный пересчёт и оперативное реагирование на переход в жёлтую зону задолго до момента отказа основания.</w:t>
      </w:r>
    </w:p>
    <w:p>
      <w:pPr>
        <w:spacing w:before="280" w:after="120"/>
        <w:ind w:firstLine="0"/>
        <w:jc w:val="left"/>
      </w:pPr>
      <w:r>
        <w:rPr>
          <w:b/>
          <w:sz w:val="28"/>
          <w:rFonts w:ascii="Times New Roman" w:hAnsi="Times New Roman" w:eastAsia="Times New Roman" w:cs="Times New Roman"/>
        </w:rPr>
        <w:t>11. Ограничения метода и условия применимости</w:t>
      </w:r>
    </w:p>
    <w:p>
      <w:pPr>
        <w:spacing w:after="120"/>
        <w:jc w:val="both"/>
      </w:pPr>
      <w:r>
        <w:rPr>
          <w:b w:val="0"/>
          <w:i w:val="0"/>
          <w:sz w:val="24"/>
          <w:rFonts w:ascii="Times New Roman" w:hAnsi="Times New Roman" w:eastAsia="Times New Roman" w:cs="Times New Roman"/>
        </w:rPr>
        <w:t>Перед использованием PSRS необходимо учитывать пять методологических ограничений.</w:t>
      </w:r>
    </w:p>
    <w:p>
      <w:pPr>
        <w:spacing w:after="120"/>
        <w:ind w:firstLine="0"/>
        <w:jc w:val="both"/>
      </w:pPr>
      <w:r>
        <w:rPr>
          <w:b w:val="0"/>
          <w:i w:val="0"/>
          <w:sz w:val="24"/>
          <w:rFonts w:ascii="Times New Roman" w:hAnsi="Times New Roman" w:eastAsia="Times New Roman" w:cs="Times New Roman"/>
        </w:rPr>
        <w:t>Ограничение 1. Веса 0,4 / 0,3 / 0,2 / 0,1 в формуле PSRS являются экспертно установленными и не получены регрессией на инцидентах деформации зданий. При появлении верифицированной базы инцидентов веса должны переоцениваться методом наименьших квадратов или методом аналитической иерархии.</w:t>
      </w:r>
    </w:p>
    <w:p>
      <w:pPr>
        <w:spacing w:after="120"/>
        <w:ind w:firstLine="0"/>
        <w:jc w:val="both"/>
      </w:pPr>
      <w:r>
        <w:rPr>
          <w:b w:val="0"/>
          <w:i w:val="0"/>
          <w:sz w:val="24"/>
          <w:rFonts w:ascii="Times New Roman" w:hAnsi="Times New Roman" w:eastAsia="Times New Roman" w:cs="Times New Roman"/>
        </w:rPr>
        <w:t>Ограничение 2. Опорные значения X̄ и σ_X для Z-нормировки рассчитаны по доступному ряду наблюдений; они подлежат периодическому обновлению по мере поступления новых данных. Зафиксированные в Приложении А значения соответствуют программной реализации СППР на момент подготовки пособия (2026 г.).</w:t>
      </w:r>
    </w:p>
    <w:p>
      <w:pPr>
        <w:spacing w:after="120"/>
        <w:ind w:firstLine="0"/>
        <w:jc w:val="both"/>
      </w:pPr>
      <w:r>
        <w:rPr>
          <w:b w:val="0"/>
          <w:i w:val="0"/>
          <w:sz w:val="24"/>
          <w:rFonts w:ascii="Times New Roman" w:hAnsi="Times New Roman" w:eastAsia="Times New Roman" w:cs="Times New Roman"/>
        </w:rPr>
        <w:t>Ограничение 3. PSRS откалиброван для Якутского геокриологического района. Применение в других районах сплошной криолитозоны (Норильск, Воркута, Чукотка) требует перекалибровки опорных X̄ и σ_X на местных рядах CALM, ВНИИГМИ-МЦД и метеостанций соответствующего региона.</w:t>
      </w:r>
    </w:p>
    <w:p>
      <w:pPr>
        <w:spacing w:after="120"/>
        <w:ind w:firstLine="0"/>
        <w:jc w:val="both"/>
      </w:pPr>
      <w:r>
        <w:rPr>
          <w:b w:val="0"/>
          <w:i w:val="0"/>
          <w:sz w:val="24"/>
          <w:rFonts w:ascii="Times New Roman" w:hAnsi="Times New Roman" w:eastAsia="Times New Roman" w:cs="Times New Roman"/>
        </w:rPr>
        <w:t>Ограничение 4. Индикатор учитывает только параметры природно-климатического характера. Антропогенные факторы (плотность застройки, состояние теплоизоляции инженерных коммуникаций, техническое состояние свайных оснований) в формулу PSRS не входят и учитываются на следующем этапе — при инженерном обследовании конкретного объекта.</w:t>
      </w:r>
    </w:p>
    <w:p>
      <w:pPr>
        <w:spacing w:after="120"/>
        <w:ind w:firstLine="0"/>
        <w:jc w:val="both"/>
      </w:pPr>
      <w:r>
        <w:rPr>
          <w:b w:val="0"/>
          <w:i w:val="0"/>
          <w:sz w:val="24"/>
          <w:rFonts w:ascii="Times New Roman" w:hAnsi="Times New Roman" w:eastAsia="Times New Roman" w:cs="Times New Roman"/>
        </w:rPr>
        <w:t>Ограничение 5. PSRS не предсказывает событие. Высокое значение PSRS означает повышенную геокриологическую напряжённость территории, но не определяет, какой именно объект и в какой именно срок может потерять несущую способность. Принятие решений о превентивных мерах требует инженерного обследования и согласования с экспертами ИМЗ СО РАН.</w:t>
      </w:r>
    </w:p>
    <w:p>
      <w:pPr>
        <w:spacing w:before="280" w:after="120"/>
        <w:ind w:firstLine="0"/>
        <w:jc w:val="left"/>
      </w:pPr>
      <w:r>
        <w:rPr>
          <w:b/>
          <w:sz w:val="28"/>
          <w:rFonts w:ascii="Times New Roman" w:hAnsi="Times New Roman" w:eastAsia="Times New Roman" w:cs="Times New Roman"/>
        </w:rPr>
        <w:t>12. Контрольные вопросы</w:t>
      </w:r>
    </w:p>
    <w:p>
      <w:pPr>
        <w:spacing w:after="80"/>
        <w:ind w:firstLine="0" w:left="397"/>
      </w:pPr>
      <w:r>
        <w:rPr>
          <w:sz w:val="22"/>
          <w:rFonts w:ascii="Times New Roman" w:hAnsi="Times New Roman" w:eastAsia="Times New Roman" w:cs="Times New Roman"/>
        </w:rPr>
        <w:t>1. Перечислите четыре параметра, входящие в индикатор PSRS, и их веса.</w:t>
      </w:r>
    </w:p>
    <w:p>
      <w:pPr>
        <w:spacing w:after="80"/>
        <w:ind w:firstLine="0" w:left="397"/>
      </w:pPr>
      <w:r>
        <w:rPr>
          <w:sz w:val="22"/>
          <w:rFonts w:ascii="Times New Roman" w:hAnsi="Times New Roman" w:eastAsia="Times New Roman" w:cs="Times New Roman"/>
        </w:rPr>
        <w:t>2. Запишите по памяти формулу Z-нормирования параметра.</w:t>
      </w:r>
    </w:p>
    <w:p>
      <w:pPr>
        <w:spacing w:after="80"/>
        <w:ind w:firstLine="0" w:left="397"/>
      </w:pPr>
      <w:r>
        <w:rPr>
          <w:sz w:val="22"/>
          <w:rFonts w:ascii="Times New Roman" w:hAnsi="Times New Roman" w:eastAsia="Times New Roman" w:cs="Times New Roman"/>
        </w:rPr>
        <w:t>3. Запишите по памяти полную формулу PSRS, включая функцию отсечения, базовый сдвиг и масштабный коэффициент.</w:t>
      </w:r>
    </w:p>
    <w:p>
      <w:pPr>
        <w:spacing w:after="80"/>
        <w:ind w:firstLine="0" w:left="397"/>
      </w:pPr>
      <w:r>
        <w:rPr>
          <w:sz w:val="22"/>
          <w:rFonts w:ascii="Times New Roman" w:hAnsi="Times New Roman" w:eastAsia="Times New Roman" w:cs="Times New Roman"/>
        </w:rPr>
        <w:t>4. Назовите три зоны риска PSRS и их балльные диапазоны.</w:t>
      </w:r>
    </w:p>
    <w:p>
      <w:pPr>
        <w:spacing w:after="80"/>
        <w:ind w:firstLine="0" w:left="397"/>
      </w:pPr>
      <w:r>
        <w:rPr>
          <w:sz w:val="22"/>
          <w:rFonts w:ascii="Times New Roman" w:hAnsi="Times New Roman" w:eastAsia="Times New Roman" w:cs="Times New Roman"/>
        </w:rPr>
        <w:t>5. Какие управленческие действия предусмотрены регламентом при переходе территории в жёлтую зону?</w:t>
      </w:r>
    </w:p>
    <w:p>
      <w:pPr>
        <w:spacing w:after="80"/>
        <w:ind w:firstLine="0" w:left="397"/>
      </w:pPr>
      <w:r>
        <w:rPr>
          <w:sz w:val="22"/>
          <w:rFonts w:ascii="Times New Roman" w:hAnsi="Times New Roman" w:eastAsia="Times New Roman" w:cs="Times New Roman"/>
        </w:rPr>
        <w:t>6. Чем отличается режим жёлтой зоны от красной с точки зрения оперативных мер по защите населения?</w:t>
      </w:r>
    </w:p>
    <w:p>
      <w:pPr>
        <w:spacing w:after="80"/>
        <w:ind w:firstLine="0" w:left="397"/>
      </w:pPr>
      <w:r>
        <w:rPr>
          <w:sz w:val="22"/>
          <w:rFonts w:ascii="Times New Roman" w:hAnsi="Times New Roman" w:eastAsia="Times New Roman" w:cs="Times New Roman"/>
        </w:rPr>
        <w:t>7. Какие два способа параметрической верификации PSRS используются в исследовательском контуре в отсутствие реестра инженерных инцидентов?</w:t>
      </w:r>
    </w:p>
    <w:p>
      <w:pPr>
        <w:spacing w:after="80"/>
        <w:ind w:firstLine="0" w:left="397"/>
      </w:pPr>
      <w:r>
        <w:rPr>
          <w:sz w:val="22"/>
          <w:rFonts w:ascii="Times New Roman" w:hAnsi="Times New Roman" w:eastAsia="Times New Roman" w:cs="Times New Roman"/>
        </w:rPr>
        <w:t>8. Какова физическая причина лага 2–3 года между переломами DDT и экстремумами PSRS?</w:t>
      </w:r>
    </w:p>
    <w:p>
      <w:pPr>
        <w:spacing w:after="80"/>
        <w:ind w:firstLine="0" w:left="397"/>
      </w:pPr>
      <w:r>
        <w:rPr>
          <w:sz w:val="22"/>
          <w:rFonts w:ascii="Times New Roman" w:hAnsi="Times New Roman" w:eastAsia="Times New Roman" w:cs="Times New Roman"/>
        </w:rPr>
        <w:t>9. Опишите физическую механику аварии в Норильске в мае 2020 г. и поясните, почему этот случай соответствует красной зоне PSRS.</w:t>
      </w:r>
    </w:p>
    <w:p>
      <w:pPr>
        <w:spacing w:after="80"/>
        <w:ind w:firstLine="0" w:left="397"/>
      </w:pPr>
      <w:r>
        <w:rPr>
          <w:sz w:val="22"/>
          <w:rFonts w:ascii="Times New Roman" w:hAnsi="Times New Roman" w:eastAsia="Times New Roman" w:cs="Times New Roman"/>
        </w:rPr>
        <w:t>10. Курсант снял показания на опорной площадке: ALT = 235 см, T320 = +0,1 °C, Hsnow = 45 см, ROS = 3 дня. Рассчитайте Z-оценки и итоговое PSRS, используя нормы Приложения А, и определите зону риска.</w:t>
      </w:r>
    </w:p>
    <w:p>
      <w:pPr>
        <w:spacing w:before="280" w:after="120"/>
        <w:ind w:firstLine="0"/>
        <w:jc w:val="left"/>
      </w:pPr>
      <w:r>
        <w:rPr>
          <w:b/>
          <w:sz w:val="28"/>
          <w:rFonts w:ascii="Times New Roman" w:hAnsi="Times New Roman" w:eastAsia="Times New Roman" w:cs="Times New Roman"/>
        </w:rPr>
        <w:t>Приложение А. Опорные нормы Z-нормировки (Якутск)</w:t>
      </w:r>
    </w:p>
    <w:p>
      <w:pPr>
        <w:spacing w:after="120"/>
        <w:jc w:val="both"/>
      </w:pPr>
      <w:r>
        <w:rPr>
          <w:b w:val="0"/>
          <w:i w:val="0"/>
          <w:sz w:val="24"/>
          <w:rFonts w:ascii="Times New Roman" w:hAnsi="Times New Roman" w:eastAsia="Times New Roman" w:cs="Times New Roman"/>
        </w:rPr>
        <w:t>Опорные значения X̄ (среднее) и σ_X (стандартное отклонение) для расчёта Z-оценок компонент PSRS на территории Якутского геокриологического района. Значения зафиксированы в рабочей программной реализации индикатора (PSRS_Scorer, data/permafrost_model/dss.py).</w:t>
      </w:r>
    </w:p>
    <w:p>
      <w:pPr>
        <w:spacing w:before="120" w:after="60"/>
        <w:ind w:firstLine="0"/>
        <w:jc w:val="left"/>
      </w:pPr>
      <w:r>
        <w:rPr>
          <w:sz w:val="22"/>
          <w:rFonts w:ascii="Times New Roman" w:hAnsi="Times New Roman" w:eastAsia="Times New Roman" w:cs="Times New Roman"/>
        </w:rPr>
        <w:t>Таблица А.1 — Опорные нормы для Z-нормировки (Якутск)</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701"/>
            <w:shd w:val="clear" w:color="auto" w:fill="D9D9D9"/>
            <w:vAlign w:val="center"/>
          </w:tcPr>
          <w:p>
            <w:pPr>
              <w:ind w:firstLine="0"/>
              <w:jc w:val="center"/>
            </w:pPr>
            <w:r/>
            <w:r>
              <w:rPr>
                <w:b/>
                <w:sz w:val="20"/>
                <w:rFonts w:ascii="Times New Roman" w:hAnsi="Times New Roman" w:eastAsia="Times New Roman" w:cs="Times New Roman"/>
              </w:rPr>
              <w:t>Параметр</w:t>
            </w:r>
          </w:p>
        </w:tc>
        <w:tc>
          <w:tcPr>
            <w:tcW w:type="dxa" w:w="1417"/>
            <w:shd w:val="clear" w:color="auto" w:fill="D9D9D9"/>
            <w:vAlign w:val="center"/>
          </w:tcPr>
          <w:p>
            <w:pPr>
              <w:ind w:firstLine="0"/>
              <w:jc w:val="center"/>
            </w:pPr>
            <w:r/>
            <w:r>
              <w:rPr>
                <w:b/>
                <w:sz w:val="20"/>
                <w:rFonts w:ascii="Times New Roman" w:hAnsi="Times New Roman" w:eastAsia="Times New Roman" w:cs="Times New Roman"/>
              </w:rPr>
              <w:t>X̄ (среднее)</w:t>
            </w:r>
          </w:p>
        </w:tc>
        <w:tc>
          <w:tcPr>
            <w:tcW w:type="dxa" w:w="1984"/>
            <w:shd w:val="clear" w:color="auto" w:fill="D9D9D9"/>
            <w:vAlign w:val="center"/>
          </w:tcPr>
          <w:p>
            <w:pPr>
              <w:ind w:firstLine="0"/>
              <w:jc w:val="center"/>
            </w:pPr>
            <w:r/>
            <w:r>
              <w:rPr>
                <w:b/>
                <w:sz w:val="20"/>
                <w:rFonts w:ascii="Times New Roman" w:hAnsi="Times New Roman" w:eastAsia="Times New Roman" w:cs="Times New Roman"/>
              </w:rPr>
              <w:t>σ_X (стандартное отклонение)</w:t>
            </w:r>
          </w:p>
        </w:tc>
        <w:tc>
          <w:tcPr>
            <w:tcW w:type="dxa" w:w="3402"/>
            <w:shd w:val="clear" w:color="auto" w:fill="D9D9D9"/>
            <w:vAlign w:val="center"/>
          </w:tcPr>
          <w:p>
            <w:pPr>
              <w:ind w:firstLine="0"/>
              <w:jc w:val="center"/>
            </w:pPr>
            <w:r/>
            <w:r>
              <w:rPr>
                <w:b/>
                <w:sz w:val="20"/>
                <w:rFonts w:ascii="Times New Roman" w:hAnsi="Times New Roman" w:eastAsia="Times New Roman" w:cs="Times New Roman"/>
              </w:rPr>
              <w:t>Источник</w:t>
            </w:r>
          </w:p>
        </w:tc>
      </w:tr>
      <w:tr>
        <w:tc>
          <w:tcPr>
            <w:tcW w:type="dxa" w:w="1701"/>
            <w:vAlign w:val="center"/>
          </w:tcPr>
          <w:p>
            <w:pPr>
              <w:ind w:firstLine="0"/>
              <w:jc w:val="center"/>
            </w:pPr>
            <w:r/>
            <w:r>
              <w:rPr>
                <w:sz w:val="20"/>
                <w:rFonts w:ascii="Times New Roman" w:hAnsi="Times New Roman" w:eastAsia="Times New Roman" w:cs="Times New Roman"/>
              </w:rPr>
              <w:t>ALT, см</w:t>
            </w:r>
          </w:p>
        </w:tc>
        <w:tc>
          <w:tcPr>
            <w:tcW w:type="dxa" w:w="1417"/>
            <w:vAlign w:val="center"/>
          </w:tcPr>
          <w:p>
            <w:pPr>
              <w:ind w:firstLine="0"/>
              <w:jc w:val="center"/>
            </w:pPr>
            <w:r/>
            <w:r>
              <w:rPr>
                <w:sz w:val="20"/>
                <w:rFonts w:ascii="Times New Roman" w:hAnsi="Times New Roman" w:eastAsia="Times New Roman" w:cs="Times New Roman"/>
              </w:rPr>
              <w:t>221,5</w:t>
            </w:r>
          </w:p>
        </w:tc>
        <w:tc>
          <w:tcPr>
            <w:tcW w:type="dxa" w:w="1984"/>
            <w:vAlign w:val="center"/>
          </w:tcPr>
          <w:p>
            <w:pPr>
              <w:ind w:firstLine="0"/>
              <w:jc w:val="center"/>
            </w:pPr>
            <w:r/>
            <w:r>
              <w:rPr>
                <w:sz w:val="20"/>
                <w:rFonts w:ascii="Times New Roman" w:hAnsi="Times New Roman" w:eastAsia="Times New Roman" w:cs="Times New Roman"/>
              </w:rPr>
              <w:t>12,8</w:t>
            </w:r>
          </w:p>
        </w:tc>
        <w:tc>
          <w:tcPr>
            <w:tcW w:type="dxa" w:w="3402"/>
            <w:vAlign w:val="center"/>
          </w:tcPr>
          <w:p>
            <w:pPr>
              <w:ind w:firstLine="0"/>
              <w:jc w:val="center"/>
            </w:pPr>
            <w:r/>
            <w:r>
              <w:rPr>
                <w:sz w:val="20"/>
                <w:rFonts w:ascii="Times New Roman" w:hAnsi="Times New Roman" w:eastAsia="Times New Roman" w:cs="Times New Roman"/>
              </w:rPr>
              <w:t>Программа CALM (R42, R43); архив PSRS_Scorer.stats['alt']</w:t>
            </w:r>
          </w:p>
        </w:tc>
      </w:tr>
      <w:tr>
        <w:tc>
          <w:tcPr>
            <w:tcW w:type="dxa" w:w="1701"/>
            <w:vAlign w:val="center"/>
          </w:tcPr>
          <w:p>
            <w:pPr>
              <w:ind w:firstLine="0"/>
              <w:jc w:val="center"/>
            </w:pPr>
            <w:r/>
            <w:r>
              <w:rPr>
                <w:sz w:val="20"/>
                <w:rFonts w:ascii="Times New Roman" w:hAnsi="Times New Roman" w:eastAsia="Times New Roman" w:cs="Times New Roman"/>
              </w:rPr>
              <w:t>T320, °C</w:t>
            </w:r>
          </w:p>
        </w:tc>
        <w:tc>
          <w:tcPr>
            <w:tcW w:type="dxa" w:w="1417"/>
            <w:vAlign w:val="center"/>
          </w:tcPr>
          <w:p>
            <w:pPr>
              <w:ind w:firstLine="0"/>
              <w:jc w:val="center"/>
            </w:pPr>
            <w:r/>
            <w:r>
              <w:rPr>
                <w:sz w:val="20"/>
                <w:rFonts w:ascii="Times New Roman" w:hAnsi="Times New Roman" w:eastAsia="Times New Roman" w:cs="Times New Roman"/>
              </w:rPr>
              <w:t>−0,58</w:t>
            </w:r>
          </w:p>
        </w:tc>
        <w:tc>
          <w:tcPr>
            <w:tcW w:type="dxa" w:w="1984"/>
            <w:vAlign w:val="center"/>
          </w:tcPr>
          <w:p>
            <w:pPr>
              <w:ind w:firstLine="0"/>
              <w:jc w:val="center"/>
            </w:pPr>
            <w:r/>
            <w:r>
              <w:rPr>
                <w:sz w:val="20"/>
                <w:rFonts w:ascii="Times New Roman" w:hAnsi="Times New Roman" w:eastAsia="Times New Roman" w:cs="Times New Roman"/>
              </w:rPr>
              <w:t>0,32</w:t>
            </w:r>
          </w:p>
        </w:tc>
        <w:tc>
          <w:tcPr>
            <w:tcW w:type="dxa" w:w="3402"/>
            <w:vAlign w:val="center"/>
          </w:tcPr>
          <w:p>
            <w:pPr>
              <w:ind w:firstLine="0"/>
              <w:jc w:val="center"/>
            </w:pPr>
            <w:r/>
            <w:r>
              <w:rPr>
                <w:sz w:val="20"/>
                <w:rFonts w:ascii="Times New Roman" w:hAnsi="Times New Roman" w:eastAsia="Times New Roman" w:cs="Times New Roman"/>
              </w:rPr>
              <w:t>ВНИИГМИ-МЦД, форма wr373144a3; PSRS_Scorer.stats['t320']</w:t>
            </w:r>
          </w:p>
        </w:tc>
      </w:tr>
      <w:tr>
        <w:tc>
          <w:tcPr>
            <w:tcW w:type="dxa" w:w="1701"/>
            <w:vAlign w:val="center"/>
          </w:tcPr>
          <w:p>
            <w:pPr>
              <w:ind w:firstLine="0"/>
              <w:jc w:val="center"/>
            </w:pPr>
            <w:r/>
            <w:r>
              <w:rPr>
                <w:sz w:val="20"/>
                <w:rFonts w:ascii="Times New Roman" w:hAnsi="Times New Roman" w:eastAsia="Times New Roman" w:cs="Times New Roman"/>
              </w:rPr>
              <w:t>Hsnow, см</w:t>
            </w:r>
          </w:p>
        </w:tc>
        <w:tc>
          <w:tcPr>
            <w:tcW w:type="dxa" w:w="1417"/>
            <w:vAlign w:val="center"/>
          </w:tcPr>
          <w:p>
            <w:pPr>
              <w:ind w:firstLine="0"/>
              <w:jc w:val="center"/>
            </w:pPr>
            <w:r/>
            <w:r>
              <w:rPr>
                <w:sz w:val="20"/>
                <w:rFonts w:ascii="Times New Roman" w:hAnsi="Times New Roman" w:eastAsia="Times New Roman" w:cs="Times New Roman"/>
              </w:rPr>
              <w:t>35,4</w:t>
            </w:r>
          </w:p>
        </w:tc>
        <w:tc>
          <w:tcPr>
            <w:tcW w:type="dxa" w:w="1984"/>
            <w:vAlign w:val="center"/>
          </w:tcPr>
          <w:p>
            <w:pPr>
              <w:ind w:firstLine="0"/>
              <w:jc w:val="center"/>
            </w:pPr>
            <w:r/>
            <w:r>
              <w:rPr>
                <w:sz w:val="20"/>
                <w:rFonts w:ascii="Times New Roman" w:hAnsi="Times New Roman" w:eastAsia="Times New Roman" w:cs="Times New Roman"/>
              </w:rPr>
              <w:t>8,6</w:t>
            </w:r>
          </w:p>
        </w:tc>
        <w:tc>
          <w:tcPr>
            <w:tcW w:type="dxa" w:w="3402"/>
            <w:vAlign w:val="center"/>
          </w:tcPr>
          <w:p>
            <w:pPr>
              <w:ind w:firstLine="0"/>
              <w:jc w:val="center"/>
            </w:pPr>
            <w:r/>
            <w:r>
              <w:rPr>
                <w:sz w:val="20"/>
                <w:rFonts w:ascii="Times New Roman" w:hAnsi="Times New Roman" w:eastAsia="Times New Roman" w:cs="Times New Roman"/>
              </w:rPr>
              <w:t>ВНИИГМИ-МЦД, портал meteo.ru; PSRS_Scorer.stats['snow']</w:t>
            </w:r>
          </w:p>
        </w:tc>
      </w:tr>
      <w:tr>
        <w:tc>
          <w:tcPr>
            <w:tcW w:type="dxa" w:w="1701"/>
            <w:vAlign w:val="center"/>
          </w:tcPr>
          <w:p>
            <w:pPr>
              <w:ind w:firstLine="0"/>
              <w:jc w:val="center"/>
            </w:pPr>
            <w:r/>
            <w:r>
              <w:rPr>
                <w:sz w:val="20"/>
                <w:rFonts w:ascii="Times New Roman" w:hAnsi="Times New Roman" w:eastAsia="Times New Roman" w:cs="Times New Roman"/>
              </w:rPr>
              <w:t>ROS, дней</w:t>
            </w:r>
          </w:p>
        </w:tc>
        <w:tc>
          <w:tcPr>
            <w:tcW w:type="dxa" w:w="1417"/>
            <w:vAlign w:val="center"/>
          </w:tcPr>
          <w:p>
            <w:pPr>
              <w:ind w:firstLine="0"/>
              <w:jc w:val="center"/>
            </w:pPr>
            <w:r/>
            <w:r>
              <w:rPr>
                <w:sz w:val="20"/>
                <w:rFonts w:ascii="Times New Roman" w:hAnsi="Times New Roman" w:eastAsia="Times New Roman" w:cs="Times New Roman"/>
              </w:rPr>
              <w:t>1,6</w:t>
            </w:r>
          </w:p>
        </w:tc>
        <w:tc>
          <w:tcPr>
            <w:tcW w:type="dxa" w:w="1984"/>
            <w:vAlign w:val="center"/>
          </w:tcPr>
          <w:p>
            <w:pPr>
              <w:ind w:firstLine="0"/>
              <w:jc w:val="center"/>
            </w:pPr>
            <w:r/>
            <w:r>
              <w:rPr>
                <w:sz w:val="20"/>
                <w:rFonts w:ascii="Times New Roman" w:hAnsi="Times New Roman" w:eastAsia="Times New Roman" w:cs="Times New Roman"/>
              </w:rPr>
              <w:t>1,1</w:t>
            </w:r>
          </w:p>
        </w:tc>
        <w:tc>
          <w:tcPr>
            <w:tcW w:type="dxa" w:w="3402"/>
            <w:vAlign w:val="center"/>
          </w:tcPr>
          <w:p>
            <w:pPr>
              <w:ind w:firstLine="0"/>
              <w:jc w:val="center"/>
            </w:pPr>
            <w:r/>
            <w:r>
              <w:rPr>
                <w:sz w:val="20"/>
                <w:rFonts w:ascii="Times New Roman" w:hAnsi="Times New Roman" w:eastAsia="Times New Roman" w:cs="Times New Roman"/>
              </w:rPr>
              <w:t>Расчёт по суточным рядам осадков и T; PSRS_Scorer.stats['ros']</w:t>
            </w:r>
          </w:p>
        </w:tc>
      </w:tr>
    </w:tbl>
    <w:p>
      <w:pPr>
        <w:spacing w:after="120"/>
        <w:jc w:val="both"/>
      </w:pPr>
      <w:r>
        <w:rPr>
          <w:b w:val="0"/>
          <w:i w:val="0"/>
          <w:sz w:val="24"/>
          <w:rFonts w:ascii="Times New Roman" w:hAnsi="Times New Roman" w:eastAsia="Times New Roman" w:cs="Times New Roman"/>
        </w:rPr>
        <w:t>Опорные значения подлежат периодическому обновлению по мере поступления новых данных CALM и архивов ВНИИГМИ-МЦД; обновлённые нормы должны фиксироваться в программной реализации СППР с указанием даты и источника пересмотра.</w:t>
      </w:r>
    </w:p>
    <w:p>
      <w:pPr>
        <w:spacing w:before="280" w:after="120"/>
        <w:ind w:firstLine="0"/>
        <w:jc w:val="left"/>
      </w:pPr>
      <w:r>
        <w:rPr>
          <w:b/>
          <w:sz w:val="28"/>
          <w:rFonts w:ascii="Times New Roman" w:hAnsi="Times New Roman" w:eastAsia="Times New Roman" w:cs="Times New Roman"/>
        </w:rPr>
        <w:t>Приложение Б. Образец рабочего листа расчёта PSRS</w:t>
      </w:r>
    </w:p>
    <w:p>
      <w:pPr>
        <w:spacing w:before="120" w:after="60"/>
        <w:ind w:firstLine="0"/>
        <w:jc w:val="left"/>
      </w:pPr>
      <w:r>
        <w:rPr>
          <w:sz w:val="22"/>
          <w:rFonts w:ascii="Times New Roman" w:hAnsi="Times New Roman" w:eastAsia="Times New Roman" w:cs="Times New Roman"/>
        </w:rPr>
        <w:t>Рабочий лист для оперативного расчёта PSRS дежурным сотрудником ЦУКС</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850"/>
            <w:shd w:val="clear" w:color="auto" w:fill="D9D9D9"/>
            <w:vAlign w:val="center"/>
          </w:tcPr>
          <w:p>
            <w:pPr>
              <w:ind w:firstLine="0"/>
              <w:jc w:val="center"/>
            </w:pPr>
            <w:r/>
            <w:r>
              <w:rPr>
                <w:b/>
                <w:sz w:val="20"/>
                <w:rFonts w:ascii="Times New Roman" w:hAnsi="Times New Roman" w:eastAsia="Times New Roman" w:cs="Times New Roman"/>
              </w:rPr>
              <w:t>№ строки</w:t>
            </w:r>
          </w:p>
        </w:tc>
        <w:tc>
          <w:tcPr>
            <w:tcW w:type="dxa" w:w="4535"/>
            <w:shd w:val="clear" w:color="auto" w:fill="D9D9D9"/>
            <w:vAlign w:val="center"/>
          </w:tcPr>
          <w:p>
            <w:pPr>
              <w:ind w:firstLine="0"/>
              <w:jc w:val="center"/>
            </w:pPr>
            <w:r/>
            <w:r>
              <w:rPr>
                <w:b/>
                <w:sz w:val="20"/>
                <w:rFonts w:ascii="Times New Roman" w:hAnsi="Times New Roman" w:eastAsia="Times New Roman" w:cs="Times New Roman"/>
              </w:rPr>
              <w:t>Параметр / действие</w:t>
            </w:r>
          </w:p>
        </w:tc>
        <w:tc>
          <w:tcPr>
            <w:tcW w:type="dxa" w:w="1417"/>
            <w:shd w:val="clear" w:color="auto" w:fill="D9D9D9"/>
            <w:vAlign w:val="center"/>
          </w:tcPr>
          <w:p>
            <w:pPr>
              <w:ind w:firstLine="0"/>
              <w:jc w:val="center"/>
            </w:pPr>
            <w:r/>
            <w:r>
              <w:rPr>
                <w:b/>
                <w:sz w:val="20"/>
                <w:rFonts w:ascii="Times New Roman" w:hAnsi="Times New Roman" w:eastAsia="Times New Roman" w:cs="Times New Roman"/>
              </w:rPr>
              <w:t>Значение</w:t>
            </w:r>
          </w:p>
        </w:tc>
        <w:tc>
          <w:tcPr>
            <w:tcW w:type="dxa" w:w="2835"/>
            <w:shd w:val="clear" w:color="auto" w:fill="D9D9D9"/>
            <w:vAlign w:val="center"/>
          </w:tcPr>
          <w:p>
            <w:pPr>
              <w:ind w:firstLine="0"/>
              <w:jc w:val="center"/>
            </w:pPr>
            <w:r/>
            <w:r>
              <w:rPr>
                <w:b/>
                <w:sz w:val="20"/>
                <w:rFonts w:ascii="Times New Roman" w:hAnsi="Times New Roman" w:eastAsia="Times New Roman" w:cs="Times New Roman"/>
              </w:rPr>
              <w:t>Источник / отметка</w:t>
            </w:r>
          </w:p>
        </w:tc>
      </w:tr>
      <w:tr>
        <w:tc>
          <w:tcPr>
            <w:tcW w:type="dxa" w:w="850"/>
            <w:vAlign w:val="center"/>
          </w:tcPr>
          <w:p>
            <w:pPr>
              <w:ind w:firstLine="0"/>
              <w:jc w:val="center"/>
            </w:pPr>
            <w:r/>
            <w:r>
              <w:rPr>
                <w:sz w:val="20"/>
                <w:rFonts w:ascii="Times New Roman" w:hAnsi="Times New Roman" w:eastAsia="Times New Roman" w:cs="Times New Roman"/>
              </w:rPr>
              <w:t>Б1</w:t>
            </w:r>
          </w:p>
        </w:tc>
        <w:tc>
          <w:tcPr>
            <w:tcW w:type="dxa" w:w="4535"/>
            <w:vAlign w:val="center"/>
          </w:tcPr>
          <w:p>
            <w:pPr>
              <w:ind w:firstLine="0"/>
              <w:jc w:val="center"/>
            </w:pPr>
            <w:r/>
            <w:r>
              <w:rPr>
                <w:sz w:val="20"/>
                <w:rFonts w:ascii="Times New Roman" w:hAnsi="Times New Roman" w:eastAsia="Times New Roman" w:cs="Times New Roman"/>
              </w:rPr>
              <w:t>Год расчёта</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t>Календарный год t</w:t>
            </w:r>
          </w:p>
        </w:tc>
      </w:tr>
      <w:tr>
        <w:tc>
          <w:tcPr>
            <w:tcW w:type="dxa" w:w="850"/>
            <w:vAlign w:val="center"/>
          </w:tcPr>
          <w:p>
            <w:pPr>
              <w:ind w:firstLine="0"/>
              <w:jc w:val="center"/>
            </w:pPr>
            <w:r/>
            <w:r>
              <w:rPr>
                <w:sz w:val="20"/>
                <w:rFonts w:ascii="Times New Roman" w:hAnsi="Times New Roman" w:eastAsia="Times New Roman" w:cs="Times New Roman"/>
              </w:rPr>
              <w:t>Б2</w:t>
            </w:r>
          </w:p>
        </w:tc>
        <w:tc>
          <w:tcPr>
            <w:tcW w:type="dxa" w:w="4535"/>
            <w:vAlign w:val="center"/>
          </w:tcPr>
          <w:p>
            <w:pPr>
              <w:ind w:firstLine="0"/>
              <w:jc w:val="center"/>
            </w:pPr>
            <w:r/>
            <w:r>
              <w:rPr>
                <w:sz w:val="20"/>
                <w:rFonts w:ascii="Times New Roman" w:hAnsi="Times New Roman" w:eastAsia="Times New Roman" w:cs="Times New Roman"/>
              </w:rPr>
              <w:t>Площадка CALM</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t>R42 / R43 / иная</w:t>
            </w:r>
          </w:p>
        </w:tc>
      </w:tr>
      <w:tr>
        <w:tc>
          <w:tcPr>
            <w:tcW w:type="dxa" w:w="850"/>
            <w:vAlign w:val="center"/>
          </w:tcPr>
          <w:p>
            <w:pPr>
              <w:ind w:firstLine="0"/>
              <w:jc w:val="center"/>
            </w:pPr>
            <w:r/>
            <w:r>
              <w:rPr>
                <w:sz w:val="20"/>
                <w:rFonts w:ascii="Times New Roman" w:hAnsi="Times New Roman" w:eastAsia="Times New Roman" w:cs="Times New Roman"/>
              </w:rPr>
              <w:t>Б3</w:t>
            </w:r>
          </w:p>
        </w:tc>
        <w:tc>
          <w:tcPr>
            <w:tcW w:type="dxa" w:w="4535"/>
            <w:vAlign w:val="center"/>
          </w:tcPr>
          <w:p>
            <w:pPr>
              <w:ind w:firstLine="0"/>
              <w:jc w:val="center"/>
            </w:pPr>
            <w:r/>
            <w:r>
              <w:rPr>
                <w:sz w:val="20"/>
                <w:rFonts w:ascii="Times New Roman" w:hAnsi="Times New Roman" w:eastAsia="Times New Roman" w:cs="Times New Roman"/>
              </w:rPr>
              <w:t>ALT_t, см</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t>Протокол осенних замеров</w:t>
            </w:r>
          </w:p>
        </w:tc>
      </w:tr>
      <w:tr>
        <w:tc>
          <w:tcPr>
            <w:tcW w:type="dxa" w:w="850"/>
            <w:vAlign w:val="center"/>
          </w:tcPr>
          <w:p>
            <w:pPr>
              <w:ind w:firstLine="0"/>
              <w:jc w:val="center"/>
            </w:pPr>
            <w:r/>
            <w:r>
              <w:rPr>
                <w:sz w:val="20"/>
                <w:rFonts w:ascii="Times New Roman" w:hAnsi="Times New Roman" w:eastAsia="Times New Roman" w:cs="Times New Roman"/>
              </w:rPr>
              <w:t>Б4</w:t>
            </w:r>
          </w:p>
        </w:tc>
        <w:tc>
          <w:tcPr>
            <w:tcW w:type="dxa" w:w="4535"/>
            <w:vAlign w:val="center"/>
          </w:tcPr>
          <w:p>
            <w:pPr>
              <w:ind w:firstLine="0"/>
              <w:jc w:val="center"/>
            </w:pPr>
            <w:r/>
            <w:r>
              <w:rPr>
                <w:sz w:val="20"/>
                <w:rFonts w:ascii="Times New Roman" w:hAnsi="Times New Roman" w:eastAsia="Times New Roman" w:cs="Times New Roman"/>
              </w:rPr>
              <w:t>X̄_ALT = 221,5</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t>Прил. А, табл. А.1</w:t>
            </w:r>
          </w:p>
        </w:tc>
      </w:tr>
      <w:tr>
        <w:tc>
          <w:tcPr>
            <w:tcW w:type="dxa" w:w="850"/>
            <w:vAlign w:val="center"/>
          </w:tcPr>
          <w:p>
            <w:pPr>
              <w:ind w:firstLine="0"/>
              <w:jc w:val="center"/>
            </w:pPr>
            <w:r/>
            <w:r>
              <w:rPr>
                <w:sz w:val="20"/>
                <w:rFonts w:ascii="Times New Roman" w:hAnsi="Times New Roman" w:eastAsia="Times New Roman" w:cs="Times New Roman"/>
              </w:rPr>
              <w:t>Б5</w:t>
            </w:r>
          </w:p>
        </w:tc>
        <w:tc>
          <w:tcPr>
            <w:tcW w:type="dxa" w:w="4535"/>
            <w:vAlign w:val="center"/>
          </w:tcPr>
          <w:p>
            <w:pPr>
              <w:ind w:firstLine="0"/>
              <w:jc w:val="center"/>
            </w:pPr>
            <w:r/>
            <w:r>
              <w:rPr>
                <w:sz w:val="20"/>
                <w:rFonts w:ascii="Times New Roman" w:hAnsi="Times New Roman" w:eastAsia="Times New Roman" w:cs="Times New Roman"/>
              </w:rPr>
              <w:t>σ_ALT = 12,8</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t>Прил. А, табл. А.1</w:t>
            </w:r>
          </w:p>
        </w:tc>
      </w:tr>
      <w:tr>
        <w:tc>
          <w:tcPr>
            <w:tcW w:type="dxa" w:w="850"/>
            <w:vAlign w:val="center"/>
          </w:tcPr>
          <w:p>
            <w:pPr>
              <w:ind w:firstLine="0"/>
              <w:jc w:val="center"/>
            </w:pPr>
            <w:r/>
            <w:r>
              <w:rPr>
                <w:sz w:val="20"/>
                <w:rFonts w:ascii="Times New Roman" w:hAnsi="Times New Roman" w:eastAsia="Times New Roman" w:cs="Times New Roman"/>
              </w:rPr>
              <w:t>Б6</w:t>
            </w:r>
          </w:p>
        </w:tc>
        <w:tc>
          <w:tcPr>
            <w:tcW w:type="dxa" w:w="4535"/>
            <w:vAlign w:val="center"/>
          </w:tcPr>
          <w:p>
            <w:pPr>
              <w:ind w:firstLine="0"/>
              <w:jc w:val="center"/>
            </w:pPr>
            <w:r/>
            <w:r>
              <w:rPr>
                <w:sz w:val="20"/>
                <w:rFonts w:ascii="Times New Roman" w:hAnsi="Times New Roman" w:eastAsia="Times New Roman" w:cs="Times New Roman"/>
              </w:rPr>
              <w:t>Z_ALT = (Б3 − Б4)/Б5</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r>
          </w:p>
        </w:tc>
      </w:tr>
      <w:tr>
        <w:tc>
          <w:tcPr>
            <w:tcW w:type="dxa" w:w="850"/>
            <w:vAlign w:val="center"/>
          </w:tcPr>
          <w:p>
            <w:pPr>
              <w:ind w:firstLine="0"/>
              <w:jc w:val="center"/>
            </w:pPr>
            <w:r/>
            <w:r>
              <w:rPr>
                <w:sz w:val="20"/>
                <w:rFonts w:ascii="Times New Roman" w:hAnsi="Times New Roman" w:eastAsia="Times New Roman" w:cs="Times New Roman"/>
              </w:rPr>
              <w:t>Б7</w:t>
            </w:r>
          </w:p>
        </w:tc>
        <w:tc>
          <w:tcPr>
            <w:tcW w:type="dxa" w:w="4535"/>
            <w:vAlign w:val="center"/>
          </w:tcPr>
          <w:p>
            <w:pPr>
              <w:ind w:firstLine="0"/>
              <w:jc w:val="center"/>
            </w:pPr>
            <w:r/>
            <w:r>
              <w:rPr>
                <w:sz w:val="20"/>
                <w:rFonts w:ascii="Times New Roman" w:hAnsi="Times New Roman" w:eastAsia="Times New Roman" w:cs="Times New Roman"/>
              </w:rPr>
              <w:t>T320_t, °C</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t>Архив ВНИИГМИ-МЦД</w:t>
            </w:r>
          </w:p>
        </w:tc>
      </w:tr>
      <w:tr>
        <w:tc>
          <w:tcPr>
            <w:tcW w:type="dxa" w:w="850"/>
            <w:vAlign w:val="center"/>
          </w:tcPr>
          <w:p>
            <w:pPr>
              <w:ind w:firstLine="0"/>
              <w:jc w:val="center"/>
            </w:pPr>
            <w:r/>
            <w:r>
              <w:rPr>
                <w:sz w:val="20"/>
                <w:rFonts w:ascii="Times New Roman" w:hAnsi="Times New Roman" w:eastAsia="Times New Roman" w:cs="Times New Roman"/>
              </w:rPr>
              <w:t>Б8</w:t>
            </w:r>
          </w:p>
        </w:tc>
        <w:tc>
          <w:tcPr>
            <w:tcW w:type="dxa" w:w="4535"/>
            <w:vAlign w:val="center"/>
          </w:tcPr>
          <w:p>
            <w:pPr>
              <w:ind w:firstLine="0"/>
              <w:jc w:val="center"/>
            </w:pPr>
            <w:r/>
            <w:r>
              <w:rPr>
                <w:sz w:val="20"/>
                <w:rFonts w:ascii="Times New Roman" w:hAnsi="Times New Roman" w:eastAsia="Times New Roman" w:cs="Times New Roman"/>
              </w:rPr>
              <w:t>X̄_T320 = −0,58</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r>
          </w:p>
        </w:tc>
      </w:tr>
      <w:tr>
        <w:tc>
          <w:tcPr>
            <w:tcW w:type="dxa" w:w="850"/>
            <w:vAlign w:val="center"/>
          </w:tcPr>
          <w:p>
            <w:pPr>
              <w:ind w:firstLine="0"/>
              <w:jc w:val="center"/>
            </w:pPr>
            <w:r/>
            <w:r>
              <w:rPr>
                <w:sz w:val="20"/>
                <w:rFonts w:ascii="Times New Roman" w:hAnsi="Times New Roman" w:eastAsia="Times New Roman" w:cs="Times New Roman"/>
              </w:rPr>
              <w:t>Б9</w:t>
            </w:r>
          </w:p>
        </w:tc>
        <w:tc>
          <w:tcPr>
            <w:tcW w:type="dxa" w:w="4535"/>
            <w:vAlign w:val="center"/>
          </w:tcPr>
          <w:p>
            <w:pPr>
              <w:ind w:firstLine="0"/>
              <w:jc w:val="center"/>
            </w:pPr>
            <w:r/>
            <w:r>
              <w:rPr>
                <w:sz w:val="20"/>
                <w:rFonts w:ascii="Times New Roman" w:hAnsi="Times New Roman" w:eastAsia="Times New Roman" w:cs="Times New Roman"/>
              </w:rPr>
              <w:t>σ_T320 = 0,32</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r>
          </w:p>
        </w:tc>
      </w:tr>
      <w:tr>
        <w:tc>
          <w:tcPr>
            <w:tcW w:type="dxa" w:w="850"/>
            <w:vAlign w:val="center"/>
          </w:tcPr>
          <w:p>
            <w:pPr>
              <w:ind w:firstLine="0"/>
              <w:jc w:val="center"/>
            </w:pPr>
            <w:r/>
            <w:r>
              <w:rPr>
                <w:sz w:val="20"/>
                <w:rFonts w:ascii="Times New Roman" w:hAnsi="Times New Roman" w:eastAsia="Times New Roman" w:cs="Times New Roman"/>
              </w:rPr>
              <w:t>Б10</w:t>
            </w:r>
          </w:p>
        </w:tc>
        <w:tc>
          <w:tcPr>
            <w:tcW w:type="dxa" w:w="4535"/>
            <w:vAlign w:val="center"/>
          </w:tcPr>
          <w:p>
            <w:pPr>
              <w:ind w:firstLine="0"/>
              <w:jc w:val="center"/>
            </w:pPr>
            <w:r/>
            <w:r>
              <w:rPr>
                <w:sz w:val="20"/>
                <w:rFonts w:ascii="Times New Roman" w:hAnsi="Times New Roman" w:eastAsia="Times New Roman" w:cs="Times New Roman"/>
              </w:rPr>
              <w:t>Z_T320 = (Б7 − Б8)/Б9</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r>
          </w:p>
        </w:tc>
      </w:tr>
      <w:tr>
        <w:tc>
          <w:tcPr>
            <w:tcW w:type="dxa" w:w="850"/>
            <w:vAlign w:val="center"/>
          </w:tcPr>
          <w:p>
            <w:pPr>
              <w:ind w:firstLine="0"/>
              <w:jc w:val="center"/>
            </w:pPr>
            <w:r/>
            <w:r>
              <w:rPr>
                <w:sz w:val="20"/>
                <w:rFonts w:ascii="Times New Roman" w:hAnsi="Times New Roman" w:eastAsia="Times New Roman" w:cs="Times New Roman"/>
              </w:rPr>
              <w:t>Б11</w:t>
            </w:r>
          </w:p>
        </w:tc>
        <w:tc>
          <w:tcPr>
            <w:tcW w:type="dxa" w:w="4535"/>
            <w:vAlign w:val="center"/>
          </w:tcPr>
          <w:p>
            <w:pPr>
              <w:ind w:firstLine="0"/>
              <w:jc w:val="center"/>
            </w:pPr>
            <w:r/>
            <w:r>
              <w:rPr>
                <w:sz w:val="20"/>
                <w:rFonts w:ascii="Times New Roman" w:hAnsi="Times New Roman" w:eastAsia="Times New Roman" w:cs="Times New Roman"/>
              </w:rPr>
              <w:t>Hsnow_t, см</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t>meteo.ru, ст. Якутск</w:t>
            </w:r>
          </w:p>
        </w:tc>
      </w:tr>
      <w:tr>
        <w:tc>
          <w:tcPr>
            <w:tcW w:type="dxa" w:w="850"/>
            <w:vAlign w:val="center"/>
          </w:tcPr>
          <w:p>
            <w:pPr>
              <w:ind w:firstLine="0"/>
              <w:jc w:val="center"/>
            </w:pPr>
            <w:r/>
            <w:r>
              <w:rPr>
                <w:sz w:val="20"/>
                <w:rFonts w:ascii="Times New Roman" w:hAnsi="Times New Roman" w:eastAsia="Times New Roman" w:cs="Times New Roman"/>
              </w:rPr>
              <w:t>Б12</w:t>
            </w:r>
          </w:p>
        </w:tc>
        <w:tc>
          <w:tcPr>
            <w:tcW w:type="dxa" w:w="4535"/>
            <w:vAlign w:val="center"/>
          </w:tcPr>
          <w:p>
            <w:pPr>
              <w:ind w:firstLine="0"/>
              <w:jc w:val="center"/>
            </w:pPr>
            <w:r/>
            <w:r>
              <w:rPr>
                <w:sz w:val="20"/>
                <w:rFonts w:ascii="Times New Roman" w:hAnsi="Times New Roman" w:eastAsia="Times New Roman" w:cs="Times New Roman"/>
              </w:rPr>
              <w:t>X̄_Hsnow = 35,4</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r>
          </w:p>
        </w:tc>
      </w:tr>
      <w:tr>
        <w:tc>
          <w:tcPr>
            <w:tcW w:type="dxa" w:w="850"/>
            <w:vAlign w:val="center"/>
          </w:tcPr>
          <w:p>
            <w:pPr>
              <w:ind w:firstLine="0"/>
              <w:jc w:val="center"/>
            </w:pPr>
            <w:r/>
            <w:r>
              <w:rPr>
                <w:sz w:val="20"/>
                <w:rFonts w:ascii="Times New Roman" w:hAnsi="Times New Roman" w:eastAsia="Times New Roman" w:cs="Times New Roman"/>
              </w:rPr>
              <w:t>Б13</w:t>
            </w:r>
          </w:p>
        </w:tc>
        <w:tc>
          <w:tcPr>
            <w:tcW w:type="dxa" w:w="4535"/>
            <w:vAlign w:val="center"/>
          </w:tcPr>
          <w:p>
            <w:pPr>
              <w:ind w:firstLine="0"/>
              <w:jc w:val="center"/>
            </w:pPr>
            <w:r/>
            <w:r>
              <w:rPr>
                <w:sz w:val="20"/>
                <w:rFonts w:ascii="Times New Roman" w:hAnsi="Times New Roman" w:eastAsia="Times New Roman" w:cs="Times New Roman"/>
              </w:rPr>
              <w:t>σ_Hsnow = 8,6</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r>
          </w:p>
        </w:tc>
      </w:tr>
      <w:tr>
        <w:tc>
          <w:tcPr>
            <w:tcW w:type="dxa" w:w="850"/>
            <w:vAlign w:val="center"/>
          </w:tcPr>
          <w:p>
            <w:pPr>
              <w:ind w:firstLine="0"/>
              <w:jc w:val="center"/>
            </w:pPr>
            <w:r/>
            <w:r>
              <w:rPr>
                <w:sz w:val="20"/>
                <w:rFonts w:ascii="Times New Roman" w:hAnsi="Times New Roman" w:eastAsia="Times New Roman" w:cs="Times New Roman"/>
              </w:rPr>
              <w:t>Б14</w:t>
            </w:r>
          </w:p>
        </w:tc>
        <w:tc>
          <w:tcPr>
            <w:tcW w:type="dxa" w:w="4535"/>
            <w:vAlign w:val="center"/>
          </w:tcPr>
          <w:p>
            <w:pPr>
              <w:ind w:firstLine="0"/>
              <w:jc w:val="center"/>
            </w:pPr>
            <w:r/>
            <w:r>
              <w:rPr>
                <w:sz w:val="20"/>
                <w:rFonts w:ascii="Times New Roman" w:hAnsi="Times New Roman" w:eastAsia="Times New Roman" w:cs="Times New Roman"/>
              </w:rPr>
              <w:t>Z_snow = (Б11 − Б12)/Б13</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r>
          </w:p>
        </w:tc>
      </w:tr>
      <w:tr>
        <w:tc>
          <w:tcPr>
            <w:tcW w:type="dxa" w:w="850"/>
            <w:vAlign w:val="center"/>
          </w:tcPr>
          <w:p>
            <w:pPr>
              <w:ind w:firstLine="0"/>
              <w:jc w:val="center"/>
            </w:pPr>
            <w:r/>
            <w:r>
              <w:rPr>
                <w:sz w:val="20"/>
                <w:rFonts w:ascii="Times New Roman" w:hAnsi="Times New Roman" w:eastAsia="Times New Roman" w:cs="Times New Roman"/>
              </w:rPr>
              <w:t>Б15</w:t>
            </w:r>
          </w:p>
        </w:tc>
        <w:tc>
          <w:tcPr>
            <w:tcW w:type="dxa" w:w="4535"/>
            <w:vAlign w:val="center"/>
          </w:tcPr>
          <w:p>
            <w:pPr>
              <w:ind w:firstLine="0"/>
              <w:jc w:val="center"/>
            </w:pPr>
            <w:r/>
            <w:r>
              <w:rPr>
                <w:sz w:val="20"/>
                <w:rFonts w:ascii="Times New Roman" w:hAnsi="Times New Roman" w:eastAsia="Times New Roman" w:cs="Times New Roman"/>
              </w:rPr>
              <w:t>ROS_t, дней</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t>Расчёт по суточным рядам</w:t>
            </w:r>
          </w:p>
        </w:tc>
      </w:tr>
      <w:tr>
        <w:tc>
          <w:tcPr>
            <w:tcW w:type="dxa" w:w="850"/>
            <w:vAlign w:val="center"/>
          </w:tcPr>
          <w:p>
            <w:pPr>
              <w:ind w:firstLine="0"/>
              <w:jc w:val="center"/>
            </w:pPr>
            <w:r/>
            <w:r>
              <w:rPr>
                <w:sz w:val="20"/>
                <w:rFonts w:ascii="Times New Roman" w:hAnsi="Times New Roman" w:eastAsia="Times New Roman" w:cs="Times New Roman"/>
              </w:rPr>
              <w:t>Б16</w:t>
            </w:r>
          </w:p>
        </w:tc>
        <w:tc>
          <w:tcPr>
            <w:tcW w:type="dxa" w:w="4535"/>
            <w:vAlign w:val="center"/>
          </w:tcPr>
          <w:p>
            <w:pPr>
              <w:ind w:firstLine="0"/>
              <w:jc w:val="center"/>
            </w:pPr>
            <w:r/>
            <w:r>
              <w:rPr>
                <w:sz w:val="20"/>
                <w:rFonts w:ascii="Times New Roman" w:hAnsi="Times New Roman" w:eastAsia="Times New Roman" w:cs="Times New Roman"/>
              </w:rPr>
              <w:t>X̄_ROS = 1,6</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r>
          </w:p>
        </w:tc>
      </w:tr>
      <w:tr>
        <w:tc>
          <w:tcPr>
            <w:tcW w:type="dxa" w:w="850"/>
            <w:vAlign w:val="center"/>
          </w:tcPr>
          <w:p>
            <w:pPr>
              <w:ind w:firstLine="0"/>
              <w:jc w:val="center"/>
            </w:pPr>
            <w:r/>
            <w:r>
              <w:rPr>
                <w:sz w:val="20"/>
                <w:rFonts w:ascii="Times New Roman" w:hAnsi="Times New Roman" w:eastAsia="Times New Roman" w:cs="Times New Roman"/>
              </w:rPr>
              <w:t>Б17</w:t>
            </w:r>
          </w:p>
        </w:tc>
        <w:tc>
          <w:tcPr>
            <w:tcW w:type="dxa" w:w="4535"/>
            <w:vAlign w:val="center"/>
          </w:tcPr>
          <w:p>
            <w:pPr>
              <w:ind w:firstLine="0"/>
              <w:jc w:val="center"/>
            </w:pPr>
            <w:r/>
            <w:r>
              <w:rPr>
                <w:sz w:val="20"/>
                <w:rFonts w:ascii="Times New Roman" w:hAnsi="Times New Roman" w:eastAsia="Times New Roman" w:cs="Times New Roman"/>
              </w:rPr>
              <w:t>σ_ROS = 1,1</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r>
          </w:p>
        </w:tc>
      </w:tr>
      <w:tr>
        <w:tc>
          <w:tcPr>
            <w:tcW w:type="dxa" w:w="850"/>
            <w:vAlign w:val="center"/>
          </w:tcPr>
          <w:p>
            <w:pPr>
              <w:ind w:firstLine="0"/>
              <w:jc w:val="center"/>
            </w:pPr>
            <w:r/>
            <w:r>
              <w:rPr>
                <w:sz w:val="20"/>
                <w:rFonts w:ascii="Times New Roman" w:hAnsi="Times New Roman" w:eastAsia="Times New Roman" w:cs="Times New Roman"/>
              </w:rPr>
              <w:t>Б18</w:t>
            </w:r>
          </w:p>
        </w:tc>
        <w:tc>
          <w:tcPr>
            <w:tcW w:type="dxa" w:w="4535"/>
            <w:vAlign w:val="center"/>
          </w:tcPr>
          <w:p>
            <w:pPr>
              <w:ind w:firstLine="0"/>
              <w:jc w:val="center"/>
            </w:pPr>
            <w:r/>
            <w:r>
              <w:rPr>
                <w:sz w:val="20"/>
                <w:rFonts w:ascii="Times New Roman" w:hAnsi="Times New Roman" w:eastAsia="Times New Roman" w:cs="Times New Roman"/>
              </w:rPr>
              <w:t>Z_ros = (Б15 − Б16)/Б17</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r>
          </w:p>
        </w:tc>
      </w:tr>
      <w:tr>
        <w:tc>
          <w:tcPr>
            <w:tcW w:type="dxa" w:w="850"/>
            <w:vAlign w:val="center"/>
          </w:tcPr>
          <w:p>
            <w:pPr>
              <w:ind w:firstLine="0"/>
              <w:jc w:val="center"/>
            </w:pPr>
            <w:r/>
            <w:r>
              <w:rPr>
                <w:sz w:val="20"/>
                <w:rFonts w:ascii="Times New Roman" w:hAnsi="Times New Roman" w:eastAsia="Times New Roman" w:cs="Times New Roman"/>
              </w:rPr>
              <w:t>Б19</w:t>
            </w:r>
          </w:p>
        </w:tc>
        <w:tc>
          <w:tcPr>
            <w:tcW w:type="dxa" w:w="4535"/>
            <w:vAlign w:val="center"/>
          </w:tcPr>
          <w:p>
            <w:pPr>
              <w:ind w:firstLine="0"/>
              <w:jc w:val="center"/>
            </w:pPr>
            <w:r/>
            <w:r>
              <w:rPr>
                <w:sz w:val="20"/>
                <w:rFonts w:ascii="Times New Roman" w:hAnsi="Times New Roman" w:eastAsia="Times New Roman" w:cs="Times New Roman"/>
              </w:rPr>
              <w:t>Взвешенная сумма = 0,40·Б6 + 0,30·Б10 + 0,20·Б14 + 0,10·Б18</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r>
          </w:p>
        </w:tc>
      </w:tr>
      <w:tr>
        <w:tc>
          <w:tcPr>
            <w:tcW w:type="dxa" w:w="850"/>
            <w:vAlign w:val="center"/>
          </w:tcPr>
          <w:p>
            <w:pPr>
              <w:ind w:firstLine="0"/>
              <w:jc w:val="center"/>
            </w:pPr>
            <w:r/>
            <w:r>
              <w:rPr>
                <w:sz w:val="20"/>
                <w:rFonts w:ascii="Times New Roman" w:hAnsi="Times New Roman" w:eastAsia="Times New Roman" w:cs="Times New Roman"/>
              </w:rPr>
              <w:t>Б20</w:t>
            </w:r>
          </w:p>
        </w:tc>
        <w:tc>
          <w:tcPr>
            <w:tcW w:type="dxa" w:w="4535"/>
            <w:vAlign w:val="center"/>
          </w:tcPr>
          <w:p>
            <w:pPr>
              <w:ind w:firstLine="0"/>
              <w:jc w:val="center"/>
            </w:pPr>
            <w:r/>
            <w:r>
              <w:rPr>
                <w:sz w:val="20"/>
                <w:rFonts w:ascii="Times New Roman" w:hAnsi="Times New Roman" w:eastAsia="Times New Roman" w:cs="Times New Roman"/>
              </w:rPr>
              <w:t>PSRS = clip(5,0 + 1,6·Б19, 0, 10)</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t>Итоговое значение</w:t>
            </w:r>
          </w:p>
        </w:tc>
      </w:tr>
      <w:tr>
        <w:tc>
          <w:tcPr>
            <w:tcW w:type="dxa" w:w="850"/>
            <w:vAlign w:val="center"/>
          </w:tcPr>
          <w:p>
            <w:pPr>
              <w:ind w:firstLine="0"/>
              <w:jc w:val="center"/>
            </w:pPr>
            <w:r/>
            <w:r>
              <w:rPr>
                <w:sz w:val="20"/>
                <w:rFonts w:ascii="Times New Roman" w:hAnsi="Times New Roman" w:eastAsia="Times New Roman" w:cs="Times New Roman"/>
              </w:rPr>
              <w:t>Б21</w:t>
            </w:r>
          </w:p>
        </w:tc>
        <w:tc>
          <w:tcPr>
            <w:tcW w:type="dxa" w:w="4535"/>
            <w:vAlign w:val="center"/>
          </w:tcPr>
          <w:p>
            <w:pPr>
              <w:ind w:firstLine="0"/>
              <w:jc w:val="center"/>
            </w:pPr>
            <w:r/>
            <w:r>
              <w:rPr>
                <w:sz w:val="20"/>
                <w:rFonts w:ascii="Times New Roman" w:hAnsi="Times New Roman" w:eastAsia="Times New Roman" w:cs="Times New Roman"/>
              </w:rPr>
              <w:t>Зона риска (по табл. 7.1)</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t>Зелёная (LOW) / Жёлтая (MODERATE) / Красная (EXTREME)</w:t>
            </w:r>
          </w:p>
        </w:tc>
      </w:tr>
      <w:tr>
        <w:tc>
          <w:tcPr>
            <w:tcW w:type="dxa" w:w="850"/>
            <w:vAlign w:val="center"/>
          </w:tcPr>
          <w:p>
            <w:pPr>
              <w:ind w:firstLine="0"/>
              <w:jc w:val="center"/>
            </w:pPr>
            <w:r/>
            <w:r>
              <w:rPr>
                <w:sz w:val="20"/>
                <w:rFonts w:ascii="Times New Roman" w:hAnsi="Times New Roman" w:eastAsia="Times New Roman" w:cs="Times New Roman"/>
              </w:rPr>
              <w:t>Б22</w:t>
            </w:r>
          </w:p>
        </w:tc>
        <w:tc>
          <w:tcPr>
            <w:tcW w:type="dxa" w:w="4535"/>
            <w:vAlign w:val="center"/>
          </w:tcPr>
          <w:p>
            <w:pPr>
              <w:ind w:firstLine="0"/>
              <w:jc w:val="center"/>
            </w:pPr>
            <w:r/>
            <w:r>
              <w:rPr>
                <w:sz w:val="20"/>
                <w:rFonts w:ascii="Times New Roman" w:hAnsi="Times New Roman" w:eastAsia="Times New Roman" w:cs="Times New Roman"/>
              </w:rPr>
              <w:t>Регламент действий (по табл. 8.1)</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r>
          </w:p>
        </w:tc>
      </w:tr>
      <w:tr>
        <w:tc>
          <w:tcPr>
            <w:tcW w:type="dxa" w:w="850"/>
            <w:vAlign w:val="center"/>
          </w:tcPr>
          <w:p>
            <w:pPr>
              <w:ind w:firstLine="0"/>
              <w:jc w:val="center"/>
            </w:pPr>
            <w:r/>
            <w:r>
              <w:rPr>
                <w:sz w:val="20"/>
                <w:rFonts w:ascii="Times New Roman" w:hAnsi="Times New Roman" w:eastAsia="Times New Roman" w:cs="Times New Roman"/>
              </w:rPr>
              <w:t>Б23</w:t>
            </w:r>
          </w:p>
        </w:tc>
        <w:tc>
          <w:tcPr>
            <w:tcW w:type="dxa" w:w="4535"/>
            <w:vAlign w:val="center"/>
          </w:tcPr>
          <w:p>
            <w:pPr>
              <w:ind w:firstLine="0"/>
              <w:jc w:val="center"/>
            </w:pPr>
            <w:r/>
            <w:r>
              <w:rPr>
                <w:sz w:val="20"/>
                <w:rFonts w:ascii="Times New Roman" w:hAnsi="Times New Roman" w:eastAsia="Times New Roman" w:cs="Times New Roman"/>
              </w:rPr>
              <w:t>Дата расчёта, ФИО, подпись</w:t>
            </w:r>
          </w:p>
        </w:tc>
        <w:tc>
          <w:tcPr>
            <w:tcW w:type="dxa" w:w="1417"/>
            <w:vAlign w:val="center"/>
          </w:tcPr>
          <w:p>
            <w:pPr>
              <w:ind w:firstLine="0"/>
              <w:jc w:val="center"/>
            </w:pPr>
            <w:r/>
            <w:r>
              <w:rPr>
                <w:sz w:val="20"/>
                <w:rFonts w:ascii="Times New Roman" w:hAnsi="Times New Roman" w:eastAsia="Times New Roman" w:cs="Times New Roman"/>
              </w:rPr>
              <w:t>_____</w:t>
            </w:r>
          </w:p>
        </w:tc>
        <w:tc>
          <w:tcPr>
            <w:tcW w:type="dxa" w:w="2835"/>
            <w:vAlign w:val="center"/>
          </w:tcPr>
          <w:p>
            <w:pPr>
              <w:ind w:firstLine="0"/>
              <w:jc w:val="center"/>
            </w:pPr>
            <w:r/>
            <w:r>
              <w:rPr>
                <w:sz w:val="20"/>
                <w:rFonts w:ascii="Times New Roman" w:hAnsi="Times New Roman" w:eastAsia="Times New Roman" w:cs="Times New Roman"/>
              </w:rPr>
            </w:r>
          </w:p>
        </w:tc>
      </w:tr>
    </w:tbl>
    <w:p>
      <w:pPr>
        <w:spacing w:before="400"/>
        <w:ind w:firstLine="0"/>
        <w:jc w:val="center"/>
      </w:pPr>
      <w:r>
        <w:rPr>
          <w:i/>
          <w:sz w:val="22"/>
          <w:rFonts w:ascii="Times New Roman" w:hAnsi="Times New Roman" w:eastAsia="Times New Roman" w:cs="Times New Roman"/>
        </w:rPr>
        <w:t>— конец пособия —</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09"/>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