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ind w:firstLine="0"/>
        <w:jc w:val="center"/>
      </w:pPr>
      <w:r>
        <w:rPr>
          <w:b/>
          <w:sz w:val="36"/>
        </w:rPr>
        <w:t>ГЛАВА 2. МЕТОДОЛОГИЧЕСКИЙ КОНТУР</w:t>
        <w:br/>
        <w:t>И ИНФОРМАЦИОННАЯ БАЗА ИССЛЕДОВАНИЯ</w:t>
      </w:r>
    </w:p>
    <w:p>
      <w:pPr>
        <w:spacing w:after="120"/>
        <w:jc w:val="both"/>
      </w:pPr>
      <w:r>
        <w:rPr>
          <w:rFonts w:ascii="Times New Roman" w:hAnsi="Times New Roman" w:eastAsia="Times New Roman" w:cs="Times New Roman"/>
        </w:rPr>
        <w:t>Во второй главе очерчена методологическая основа исследования: описаны источники и состав исходных данных, обоснованы пространственно-временные границы выборки, формализованы используемые индексы аномальности и изложен математический аппарат метода LC-кривых, на основе которого далее проводится сопоставление климатических предикторов и гидрологических откликов. Отдельный раздел посвящён архиву чрезвычайных ситуаций гидрологического характера и его поведению в принятом расчётном периоде 2008–2023 гг.</w:t>
      </w:r>
    </w:p>
    <w:p>
      <w:pPr>
        <w:spacing w:before="240" w:after="120"/>
        <w:ind w:firstLine="0"/>
        <w:jc w:val="left"/>
      </w:pPr>
      <w:r>
        <w:rPr>
          <w:b/>
          <w:sz w:val="28"/>
        </w:rPr>
        <w:t>2.1. Описание исходных данных</w:t>
      </w:r>
    </w:p>
    <w:p>
      <w:pPr>
        <w:spacing w:before="240" w:after="120"/>
        <w:ind w:firstLine="0"/>
        <w:jc w:val="left"/>
      </w:pPr>
      <w:r>
        <w:rPr>
          <w:b/>
          <w:sz w:val="26"/>
        </w:rPr>
        <w:t>2.1.1. Климатические данные</w:t>
      </w:r>
    </w:p>
    <w:p>
      <w:pPr>
        <w:spacing w:after="120"/>
        <w:jc w:val="both"/>
      </w:pPr>
      <w:r>
        <w:rPr>
          <w:rFonts w:ascii="Times New Roman" w:hAnsi="Times New Roman" w:eastAsia="Times New Roman" w:cs="Times New Roman"/>
        </w:rPr>
        <w:t>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портал meteo.ru). Для большинства параметров в архивах сохранены ряды наблюдений с конца XIX — начала XX в. по 2025 г.; из этих рядов в исследовании выделено окно 2008–2023 гг., обоснование которого приведено в разделе 2.2.</w:t>
      </w:r>
    </w:p>
    <w:p>
      <w:pPr>
        <w:spacing w:after="120"/>
        <w:jc w:val="both"/>
      </w:pPr>
      <w:r>
        <w:t>Исследование охватывает четыре опорные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полный продольный профиль бассейна и охват трёх качественно различающихся термических и осадочных режимов — южного континентального, центрального резко-континентального и северного арктического. Все четыре станции включены в Глобальную сеть наблюдений за климатом (GCOS) и проходят сквозной автоматизированный и экспертный контроль качества по стандартам Всемирной метеорологической организации.</w:t>
      </w:r>
    </w:p>
    <w:p>
      <w:pPr>
        <w:spacing w:after="120"/>
        <w:jc w:val="both"/>
      </w:pPr>
      <w:r>
        <w:t>Метеостанция Киренск (55,44° с.ш., 104,07° в.д., высота 143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(66,77° с.ш., 123,37° в.д., высота 91 м) контролирует нижнее течение и служит репером транзита паводковой волны к арктическим районам.</w:t>
      </w:r>
    </w:p>
    <w:p>
      <w:pPr>
        <w:spacing w:after="120"/>
        <w:jc w:val="both"/>
      </w:pPr>
      <w: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pPr>
        <w:spacing w:before="240" w:after="120"/>
        <w:ind w:firstLine="0"/>
        <w:jc w:val="left"/>
      </w:pPr>
      <w:r>
        <w:rPr>
          <w:b/>
          <w:sz w:val="26"/>
        </w:rPr>
        <w:t>2.1.2. Описательная статистика климатических данных</w:t>
      </w:r>
    </w:p>
    <w:p>
      <w:pPr>
        <w:spacing w:after="120"/>
        <w:jc w:val="both"/>
      </w:pPr>
      <w: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бассейна сформированы сводные и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по следующим порогам: z ≥ +1,5 — аномально тёплая; z ∈ [+0,5; +1,5) — тёплая; z ∈ (−0,5; +0,5) — норма; z ∈ (−1,5; −0,5] — холодная; z ≤ −1,5 — аномально холодная. Аналогичная классификация по тем же z-порогам применяется к зимнему периоду: декабрь календарного года t агрегируется с январём–февралём календарного года t + 1.</w:t>
      </w:r>
    </w:p>
    <w:p>
      <w:pPr>
        <w:spacing w:before="120" w:after="60"/>
        <w:ind w:firstLine="0"/>
        <w:jc w:val="left"/>
      </w:pPr>
      <w:r>
        <w:rPr>
          <w:b w:val="0"/>
          <w:i w:val="0"/>
          <w:sz w:val="22"/>
        </w:rPr>
        <w:t>Таблица 2.1 — Описательные статистики средней весенней температуры по метеостанциям (март–май, 2008–2023 гг.)</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D9D9D9"/>
            <w:vAlign w:val="center"/>
          </w:tcPr>
          <w:p>
            <w:pPr>
              <w:ind w:firstLine="0"/>
              <w:jc w:val="center"/>
            </w:pPr>
            <w:r/>
            <w:r>
              <w:rPr>
                <w:rFonts w:ascii="Times New Roman" w:hAnsi="Times New Roman"/>
                <w:b/>
                <w:sz w:val="20"/>
              </w:rPr>
              <w:t>Метеостанция</w:t>
            </w:r>
          </w:p>
        </w:tc>
        <w:tc>
          <w:tcPr>
            <w:tcW w:type="dxa" w:w="1020"/>
            <w:shd w:val="clear" w:color="auto" w:fill="D9D9D9"/>
            <w:vAlign w:val="center"/>
          </w:tcPr>
          <w:p>
            <w:pPr>
              <w:ind w:firstLine="0"/>
              <w:jc w:val="center"/>
            </w:pPr>
            <w:r/>
            <w:r>
              <w:rPr>
                <w:rFonts w:ascii="Times New Roman" w:hAnsi="Times New Roman"/>
                <w:b/>
                <w:sz w:val="20"/>
              </w:rPr>
              <w:t>Среднее, °C</w:t>
            </w:r>
          </w:p>
        </w:tc>
        <w:tc>
          <w:tcPr>
            <w:tcW w:type="dxa" w:w="1077"/>
            <w:shd w:val="clear" w:color="auto" w:fill="D9D9D9"/>
            <w:vAlign w:val="center"/>
          </w:tcPr>
          <w:p>
            <w:pPr>
              <w:ind w:firstLine="0"/>
              <w:jc w:val="center"/>
            </w:pPr>
            <w:r/>
            <w:r>
              <w:rPr>
                <w:rFonts w:ascii="Times New Roman" w:hAnsi="Times New Roman"/>
                <w:b/>
                <w:sz w:val="20"/>
              </w:rPr>
              <w:t>Стд. откл., °C</w:t>
            </w:r>
          </w:p>
        </w:tc>
        <w:tc>
          <w:tcPr>
            <w:tcW w:type="dxa" w:w="1077"/>
            <w:shd w:val="clear" w:color="auto" w:fill="D9D9D9"/>
            <w:vAlign w:val="center"/>
          </w:tcPr>
          <w:p>
            <w:pPr>
              <w:ind w:firstLine="0"/>
              <w:jc w:val="center"/>
            </w:pPr>
            <w:r/>
            <w:r>
              <w:rPr>
                <w:rFonts w:ascii="Times New Roman" w:hAnsi="Times New Roman"/>
                <w:b/>
                <w:sz w:val="20"/>
              </w:rPr>
              <w:t>Минимум, °C</w:t>
            </w:r>
          </w:p>
        </w:tc>
        <w:tc>
          <w:tcPr>
            <w:tcW w:type="dxa" w:w="1134"/>
            <w:shd w:val="clear" w:color="auto" w:fill="D9D9D9"/>
            <w:vAlign w:val="center"/>
          </w:tcPr>
          <w:p>
            <w:pPr>
              <w:ind w:firstLine="0"/>
              <w:jc w:val="center"/>
            </w:pPr>
            <w:r/>
            <w:r>
              <w:rPr>
                <w:rFonts w:ascii="Times New Roman" w:hAnsi="Times New Roman"/>
                <w:b/>
                <w:sz w:val="20"/>
              </w:rPr>
              <w:t>Максимум, °C</w:t>
            </w:r>
          </w:p>
        </w:tc>
        <w:tc>
          <w:tcPr>
            <w:tcW w:type="dxa" w:w="907"/>
            <w:shd w:val="clear" w:color="auto" w:fill="D9D9D9"/>
            <w:vAlign w:val="center"/>
          </w:tcPr>
          <w:p>
            <w:pPr>
              <w:ind w:firstLine="0"/>
              <w:jc w:val="center"/>
            </w:pPr>
            <w:r/>
            <w:r>
              <w:rPr>
                <w:rFonts w:ascii="Times New Roman" w:hAnsi="Times New Roman"/>
                <w:b/>
                <w:sz w:val="20"/>
              </w:rPr>
              <w:t>Q1, °C</w:t>
            </w:r>
          </w:p>
        </w:tc>
        <w:tc>
          <w:tcPr>
            <w:tcW w:type="dxa" w:w="1077"/>
            <w:shd w:val="clear" w:color="auto" w:fill="D9D9D9"/>
            <w:vAlign w:val="center"/>
          </w:tcPr>
          <w:p>
            <w:pPr>
              <w:ind w:firstLine="0"/>
              <w:jc w:val="center"/>
            </w:pPr>
            <w:r/>
            <w:r>
              <w:rPr>
                <w:rFonts w:ascii="Times New Roman" w:hAnsi="Times New Roman"/>
                <w:b/>
                <w:sz w:val="20"/>
              </w:rPr>
              <w:t>Медиана, °C</w:t>
            </w:r>
          </w:p>
        </w:tc>
        <w:tc>
          <w:tcPr>
            <w:tcW w:type="dxa" w:w="907"/>
            <w:shd w:val="clear" w:color="auto" w:fill="D9D9D9"/>
            <w:vAlign w:val="center"/>
          </w:tcPr>
          <w:p>
            <w:pPr>
              <w:ind w:firstLine="0"/>
              <w:jc w:val="center"/>
            </w:pPr>
            <w:r/>
            <w:r>
              <w:rPr>
                <w:rFonts w:ascii="Times New Roman" w:hAnsi="Times New Roman"/>
                <w:b/>
                <w:sz w:val="20"/>
              </w:rPr>
              <w:t>Q3, °C</w:t>
            </w:r>
          </w:p>
        </w:tc>
        <w:tc>
          <w:tcPr>
            <w:tcW w:type="dxa" w:w="1077"/>
            <w:shd w:val="clear" w:color="auto" w:fill="D9D9D9"/>
            <w:vAlign w:val="center"/>
          </w:tcPr>
          <w:p>
            <w:pPr>
              <w:ind w:firstLine="0"/>
              <w:jc w:val="center"/>
            </w:pPr>
            <w:r/>
            <w:r>
              <w:rPr>
                <w:rFonts w:ascii="Times New Roman" w:hAnsi="Times New Roman"/>
                <w:b/>
                <w:sz w:val="20"/>
              </w:rPr>
              <w:t>Размах, °C</w:t>
            </w:r>
          </w:p>
        </w:tc>
      </w:tr>
      <w:tr>
        <w:tc>
          <w:tcPr>
            <w:tcW w:type="dxa" w:w="1531"/>
            <w:vAlign w:val="center"/>
          </w:tcPr>
          <w:p>
            <w:pPr>
              <w:ind w:firstLine="0"/>
              <w:jc w:val="center"/>
            </w:pPr>
            <w:r/>
            <w:r>
              <w:rPr>
                <w:rFonts w:ascii="Times New Roman" w:hAnsi="Times New Roman"/>
                <w:sz w:val="20"/>
              </w:rPr>
              <w:t>Киренск</w:t>
            </w:r>
          </w:p>
        </w:tc>
        <w:tc>
          <w:tcPr>
            <w:tcW w:type="dxa" w:w="1020"/>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+3,5</w:t>
            </w:r>
          </w:p>
        </w:tc>
        <w:tc>
          <w:tcPr>
            <w:tcW w:type="dxa" w:w="907"/>
            <w:vAlign w:val="center"/>
          </w:tcPr>
          <w:p>
            <w:pPr>
              <w:ind w:firstLine="0"/>
              <w:jc w:val="center"/>
            </w:pPr>
            <w:r/>
            <w:r>
              <w:rPr>
                <w:rFonts w:ascii="Times New Roman" w:hAnsi="Times New Roman"/>
                <w:sz w:val="20"/>
              </w:rPr>
              <w:t>−3,2</w:t>
            </w:r>
          </w:p>
        </w:tc>
        <w:tc>
          <w:tcPr>
            <w:tcW w:type="dxa" w:w="1077"/>
            <w:vAlign w:val="center"/>
          </w:tcPr>
          <w:p>
            <w:pPr>
              <w:ind w:firstLine="0"/>
              <w:jc w:val="center"/>
            </w:pPr>
            <w:r/>
            <w:r>
              <w:rPr>
                <w:rFonts w:ascii="Times New Roman" w:hAnsi="Times New Roman"/>
                <w:sz w:val="20"/>
              </w:rPr>
              <w:t>−2,0</w:t>
            </w:r>
          </w:p>
        </w:tc>
        <w:tc>
          <w:tcPr>
            <w:tcW w:type="dxa" w:w="907"/>
            <w:vAlign w:val="center"/>
          </w:tcPr>
          <w:p>
            <w:pPr>
              <w:ind w:firstLine="0"/>
              <w:jc w:val="center"/>
            </w:pPr>
            <w:r/>
            <w:r>
              <w:rPr>
                <w:rFonts w:ascii="Times New Roman" w:hAnsi="Times New Roman"/>
                <w:sz w:val="20"/>
              </w:rPr>
              <w:t>−0,5</w:t>
            </w:r>
          </w:p>
        </w:tc>
        <w:tc>
          <w:tcPr>
            <w:tcW w:type="dxa" w:w="1077"/>
            <w:vAlign w:val="center"/>
          </w:tcPr>
          <w:p>
            <w:pPr>
              <w:ind w:firstLine="0"/>
              <w:jc w:val="center"/>
            </w:pPr>
            <w:r/>
            <w:r>
              <w:rPr>
                <w:rFonts w:ascii="Times New Roman" w:hAnsi="Times New Roman"/>
                <w:sz w:val="20"/>
              </w:rPr>
              <w:t>9,5</w:t>
            </w:r>
          </w:p>
        </w:tc>
      </w:tr>
      <w:tr>
        <w:tc>
          <w:tcPr>
            <w:tcW w:type="dxa" w:w="1531"/>
            <w:vAlign w:val="center"/>
          </w:tcPr>
          <w:p>
            <w:pPr>
              <w:ind w:firstLine="0"/>
              <w:jc w:val="center"/>
            </w:pPr>
            <w:r/>
            <w:r>
              <w:rPr>
                <w:rFonts w:ascii="Times New Roman" w:hAnsi="Times New Roman"/>
                <w:sz w:val="20"/>
              </w:rPr>
              <w:t>Олёкминск</w:t>
            </w:r>
          </w:p>
        </w:tc>
        <w:tc>
          <w:tcPr>
            <w:tcW w:type="dxa" w:w="1020"/>
            <w:vAlign w:val="center"/>
          </w:tcPr>
          <w:p>
            <w:pPr>
              <w:ind w:firstLine="0"/>
              <w:jc w:val="center"/>
            </w:pPr>
            <w:r/>
            <w:r>
              <w:rPr>
                <w:rFonts w:ascii="Times New Roman" w:hAnsi="Times New Roman"/>
                <w:sz w:val="20"/>
              </w:rPr>
              <w:t>−1,2</w:t>
            </w:r>
          </w:p>
        </w:tc>
        <w:tc>
          <w:tcPr>
            <w:tcW w:type="dxa" w:w="1077"/>
            <w:vAlign w:val="center"/>
          </w:tcPr>
          <w:p>
            <w:pPr>
              <w:ind w:firstLine="0"/>
              <w:jc w:val="center"/>
            </w:pPr>
            <w:r/>
            <w:r>
              <w:rPr>
                <w:rFonts w:ascii="Times New Roman" w:hAnsi="Times New Roman"/>
                <w:sz w:val="20"/>
              </w:rPr>
              <w:t>2,3</w:t>
            </w:r>
          </w:p>
        </w:tc>
        <w:tc>
          <w:tcPr>
            <w:tcW w:type="dxa" w:w="107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+1,9</w:t>
            </w:r>
          </w:p>
        </w:tc>
        <w:tc>
          <w:tcPr>
            <w:tcW w:type="dxa" w:w="90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−1,5</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6,0</w:t>
            </w:r>
          </w:p>
        </w:tc>
      </w:tr>
      <w:tr>
        <w:tc>
          <w:tcPr>
            <w:tcW w:type="dxa" w:w="1531"/>
            <w:vAlign w:val="center"/>
          </w:tcPr>
          <w:p>
            <w:pPr>
              <w:ind w:firstLine="0"/>
              <w:jc w:val="center"/>
            </w:pPr>
            <w:r/>
            <w:r>
              <w:rPr>
                <w:rFonts w:ascii="Times New Roman" w:hAnsi="Times New Roman"/>
                <w:sz w:val="20"/>
              </w:rPr>
              <w:t>Якутск</w:t>
            </w:r>
          </w:p>
        </w:tc>
        <w:tc>
          <w:tcPr>
            <w:tcW w:type="dxa" w:w="1020"/>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+1,2</w:t>
            </w:r>
          </w:p>
        </w:tc>
        <w:tc>
          <w:tcPr>
            <w:tcW w:type="dxa" w:w="907"/>
            <w:vAlign w:val="center"/>
          </w:tcPr>
          <w:p>
            <w:pPr>
              <w:ind w:firstLine="0"/>
              <w:jc w:val="center"/>
            </w:pPr>
            <w:r/>
            <w:r>
              <w:rPr>
                <w:rFonts w:ascii="Times New Roman" w:hAnsi="Times New Roman"/>
                <w:sz w:val="20"/>
              </w:rPr>
              <w:t>−2,9</w:t>
            </w:r>
          </w:p>
        </w:tc>
        <w:tc>
          <w:tcPr>
            <w:tcW w:type="dxa" w:w="1077"/>
            <w:vAlign w:val="center"/>
          </w:tcPr>
          <w:p>
            <w:pPr>
              <w:ind w:firstLine="0"/>
              <w:jc w:val="center"/>
            </w:pPr>
            <w:r/>
            <w:r>
              <w:rPr>
                <w:rFonts w:ascii="Times New Roman" w:hAnsi="Times New Roman"/>
                <w:sz w:val="20"/>
              </w:rPr>
              <w:t>−2,2</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6,1</w:t>
            </w:r>
          </w:p>
        </w:tc>
      </w:tr>
      <w:tr>
        <w:tc>
          <w:tcPr>
            <w:tcW w:type="dxa" w:w="1531"/>
            <w:vAlign w:val="center"/>
          </w:tcPr>
          <w:p>
            <w:pPr>
              <w:ind w:firstLine="0"/>
              <w:jc w:val="center"/>
            </w:pPr>
            <w:r/>
            <w:r>
              <w:rPr>
                <w:rFonts w:ascii="Times New Roman" w:hAnsi="Times New Roman"/>
                <w:sz w:val="20"/>
              </w:rPr>
              <w:t>Жиганск</w:t>
            </w:r>
          </w:p>
        </w:tc>
        <w:tc>
          <w:tcPr>
            <w:tcW w:type="dxa" w:w="1020"/>
            <w:vAlign w:val="center"/>
          </w:tcPr>
          <w:p>
            <w:pPr>
              <w:ind w:firstLine="0"/>
              <w:jc w:val="center"/>
            </w:pPr>
            <w:r/>
            <w:r>
              <w:rPr>
                <w:rFonts w:ascii="Times New Roman" w:hAnsi="Times New Roman"/>
                <w:sz w:val="20"/>
              </w:rPr>
              <w:t>−5,5</w:t>
            </w:r>
          </w:p>
        </w:tc>
        <w:tc>
          <w:tcPr>
            <w:tcW w:type="dxa" w:w="107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−3,4</w:t>
            </w:r>
          </w:p>
        </w:tc>
        <w:tc>
          <w:tcPr>
            <w:tcW w:type="dxa" w:w="907"/>
            <w:vAlign w:val="center"/>
          </w:tcPr>
          <w:p>
            <w:pPr>
              <w:ind w:firstLine="0"/>
              <w:jc w:val="center"/>
            </w:pPr>
            <w:r/>
            <w:r>
              <w:rPr>
                <w:rFonts w:ascii="Times New Roman" w:hAnsi="Times New Roman"/>
                <w:sz w:val="20"/>
              </w:rPr>
              <w:t>−7,2</w:t>
            </w:r>
          </w:p>
        </w:tc>
        <w:tc>
          <w:tcPr>
            <w:tcW w:type="dxa" w:w="1077"/>
            <w:vAlign w:val="center"/>
          </w:tcPr>
          <w:p>
            <w:pPr>
              <w:ind w:firstLine="0"/>
              <w:jc w:val="center"/>
            </w:pPr>
            <w:r/>
            <w:r>
              <w:rPr>
                <w:rFonts w:ascii="Times New Roman" w:hAnsi="Times New Roman"/>
                <w:sz w:val="20"/>
              </w:rPr>
              <w:t>−4,5</w:t>
            </w:r>
          </w:p>
        </w:tc>
        <w:tc>
          <w:tcPr>
            <w:tcW w:type="dxa" w:w="907"/>
            <w:vAlign w:val="center"/>
          </w:tcPr>
          <w:p>
            <w:pPr>
              <w:ind w:firstLine="0"/>
              <w:jc w:val="center"/>
            </w:pPr>
            <w:r/>
            <w:r>
              <w:rPr>
                <w:rFonts w:ascii="Times New Roman" w:hAnsi="Times New Roman"/>
                <w:sz w:val="20"/>
              </w:rPr>
              <w:t>−3,8</w:t>
            </w:r>
          </w:p>
        </w:tc>
        <w:tc>
          <w:tcPr>
            <w:tcW w:type="dxa" w:w="1077"/>
            <w:vAlign w:val="center"/>
          </w:tcPr>
          <w:p>
            <w:pPr>
              <w:ind w:firstLine="0"/>
              <w:jc w:val="center"/>
            </w:pPr>
            <w:r/>
            <w:r>
              <w:rPr>
                <w:rFonts w:ascii="Times New Roman" w:hAnsi="Times New Roman"/>
                <w:sz w:val="20"/>
              </w:rPr>
              <w:t>7,5</w:t>
            </w:r>
          </w:p>
        </w:tc>
      </w:tr>
    </w:tbl>
    <w:p>
      <w:pPr>
        <w:spacing w:before="120" w:after="60"/>
        <w:ind w:firstLine="0"/>
        <w:jc w:val="left"/>
      </w:pPr>
      <w:r>
        <w:rPr>
          <w:b w:val="0"/>
          <w:i w:val="0"/>
          <w:sz w:val="22"/>
        </w:rPr>
        <w:t>Таблица 2.2 — Описательные статистики суммы осадков в весенний период (март–май, 2008–2023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мм</w:t>
            </w:r>
          </w:p>
        </w:tc>
        <w:tc>
          <w:tcPr>
            <w:tcW w:type="dxa" w:w="1247"/>
            <w:shd w:val="clear" w:color="auto" w:fill="D9D9D9"/>
            <w:vAlign w:val="center"/>
          </w:tcPr>
          <w:p>
            <w:pPr>
              <w:ind w:firstLine="0"/>
              <w:jc w:val="center"/>
            </w:pPr>
            <w:r/>
            <w:r>
              <w:rPr>
                <w:rFonts w:ascii="Times New Roman" w:hAnsi="Times New Roman"/>
                <w:b/>
                <w:sz w:val="20"/>
              </w:rPr>
              <w:t>Стд. откл., мм</w:t>
            </w:r>
          </w:p>
        </w:tc>
        <w:tc>
          <w:tcPr>
            <w:tcW w:type="dxa" w:w="1247"/>
            <w:shd w:val="clear" w:color="auto" w:fill="D9D9D9"/>
            <w:vAlign w:val="center"/>
          </w:tcPr>
          <w:p>
            <w:pPr>
              <w:ind w:firstLine="0"/>
              <w:jc w:val="center"/>
            </w:pPr>
            <w:r/>
            <w:r>
              <w:rPr>
                <w:rFonts w:ascii="Times New Roman" w:hAnsi="Times New Roman"/>
                <w:b/>
                <w:sz w:val="20"/>
              </w:rPr>
              <w:t>Минимум, мм</w:t>
            </w:r>
          </w:p>
        </w:tc>
        <w:tc>
          <w:tcPr>
            <w:tcW w:type="dxa" w:w="1247"/>
            <w:shd w:val="clear" w:color="auto" w:fill="D9D9D9"/>
            <w:vAlign w:val="center"/>
          </w:tcPr>
          <w:p>
            <w:pPr>
              <w:ind w:firstLine="0"/>
              <w:jc w:val="center"/>
            </w:pPr>
            <w:r/>
            <w:r>
              <w:rPr>
                <w:rFonts w:ascii="Times New Roman" w:hAnsi="Times New Roman"/>
                <w:b/>
                <w:sz w:val="20"/>
              </w:rPr>
              <w:t>Максимум, мм</w:t>
            </w:r>
          </w:p>
        </w:tc>
        <w:tc>
          <w:tcPr>
            <w:tcW w:type="dxa" w:w="1134"/>
            <w:shd w:val="clear" w:color="auto" w:fill="D9D9D9"/>
            <w:vAlign w:val="center"/>
          </w:tcPr>
          <w:p>
            <w:pPr>
              <w:ind w:firstLine="0"/>
              <w:jc w:val="center"/>
            </w:pPr>
            <w:r/>
            <w:r>
              <w:rPr>
                <w:rFonts w:ascii="Times New Roman" w:hAnsi="Times New Roman"/>
                <w:b/>
                <w:sz w:val="20"/>
              </w:rPr>
              <w:t>Медиана, мм</w:t>
            </w:r>
          </w:p>
        </w:tc>
        <w:tc>
          <w:tcPr>
            <w:tcW w:type="dxa" w:w="1247"/>
            <w:shd w:val="clear" w:color="auto" w:fill="D9D9D9"/>
            <w:vAlign w:val="center"/>
          </w:tcPr>
          <w:p>
            <w:pPr>
              <w:ind w:firstLine="0"/>
              <w:jc w:val="center"/>
            </w:pPr>
            <w:r/>
            <w:r>
              <w:rPr>
                <w:rFonts w:ascii="Times New Roman" w:hAnsi="Times New Roman"/>
                <w:b/>
                <w:sz w:val="20"/>
              </w:rPr>
              <w:t>Размах, мм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85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36</w:t>
            </w:r>
          </w:p>
        </w:tc>
        <w:tc>
          <w:tcPr>
            <w:tcW w:type="dxa" w:w="1247"/>
            <w:vAlign w:val="center"/>
          </w:tcPr>
          <w:p>
            <w:pPr>
              <w:ind w:firstLine="0"/>
              <w:jc w:val="center"/>
            </w:pPr>
            <w:r/>
            <w:r>
              <w:rPr>
                <w:rFonts w:ascii="Times New Roman" w:hAnsi="Times New Roman"/>
                <w:sz w:val="20"/>
              </w:rPr>
              <w:t>152</w:t>
            </w:r>
          </w:p>
        </w:tc>
        <w:tc>
          <w:tcPr>
            <w:tcW w:type="dxa" w:w="1134"/>
            <w:vAlign w:val="center"/>
          </w:tcPr>
          <w:p>
            <w:pPr>
              <w:ind w:firstLine="0"/>
              <w:jc w:val="center"/>
            </w:pPr>
            <w:r/>
            <w:r>
              <w:rPr>
                <w:rFonts w:ascii="Times New Roman" w:hAnsi="Times New Roman"/>
                <w:sz w:val="20"/>
              </w:rPr>
              <w:t>80</w:t>
            </w:r>
          </w:p>
        </w:tc>
        <w:tc>
          <w:tcPr>
            <w:tcW w:type="dxa" w:w="1247"/>
            <w:vAlign w:val="center"/>
          </w:tcPr>
          <w:p>
            <w:pPr>
              <w:ind w:firstLine="0"/>
              <w:jc w:val="center"/>
            </w:pPr>
            <w:r/>
            <w:r>
              <w:rPr>
                <w:rFonts w:ascii="Times New Roman" w:hAnsi="Times New Roman"/>
                <w:sz w:val="20"/>
              </w:rPr>
              <w:t>116</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72</w:t>
            </w:r>
          </w:p>
        </w:tc>
        <w:tc>
          <w:tcPr>
            <w:tcW w:type="dxa" w:w="1247"/>
            <w:vAlign w:val="center"/>
          </w:tcPr>
          <w:p>
            <w:pPr>
              <w:ind w:firstLine="0"/>
              <w:jc w:val="center"/>
            </w:pPr>
            <w:r/>
            <w:r>
              <w:rPr>
                <w:rFonts w:ascii="Times New Roman" w:hAnsi="Times New Roman"/>
                <w:sz w:val="20"/>
              </w:rPr>
              <w:t>25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81</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39,5</w:t>
            </w:r>
          </w:p>
        </w:tc>
        <w:tc>
          <w:tcPr>
            <w:tcW w:type="dxa" w:w="1247"/>
            <w:vAlign w:val="center"/>
          </w:tcPr>
          <w:p>
            <w:pPr>
              <w:ind w:firstLine="0"/>
              <w:jc w:val="center"/>
            </w:pPr>
            <w:r/>
            <w:r>
              <w:rPr>
                <w:rFonts w:ascii="Times New Roman" w:hAnsi="Times New Roman"/>
                <w:sz w:val="20"/>
              </w:rPr>
              <w:t>14,2</w:t>
            </w:r>
          </w:p>
        </w:tc>
        <w:tc>
          <w:tcPr>
            <w:tcW w:type="dxa" w:w="1247"/>
            <w:vAlign w:val="center"/>
          </w:tcPr>
          <w:p>
            <w:pPr>
              <w:ind w:firstLine="0"/>
              <w:jc w:val="center"/>
            </w:pPr>
            <w:r/>
            <w:r>
              <w:rPr>
                <w:rFonts w:ascii="Times New Roman" w:hAnsi="Times New Roman"/>
                <w:sz w:val="20"/>
              </w:rPr>
              <w:t>14,7</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38,7</w:t>
            </w:r>
          </w:p>
        </w:tc>
        <w:tc>
          <w:tcPr>
            <w:tcW w:type="dxa" w:w="1247"/>
            <w:vAlign w:val="center"/>
          </w:tcPr>
          <w:p>
            <w:pPr>
              <w:ind w:firstLine="0"/>
              <w:jc w:val="center"/>
            </w:pPr>
            <w:r/>
            <w:r>
              <w:rPr>
                <w:rFonts w:ascii="Times New Roman" w:hAnsi="Times New Roman"/>
                <w:sz w:val="20"/>
              </w:rPr>
              <w:t>46,3</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22</w:t>
            </w:r>
          </w:p>
        </w:tc>
        <w:tc>
          <w:tcPr>
            <w:tcW w:type="dxa" w:w="1247"/>
            <w:vAlign w:val="center"/>
          </w:tcPr>
          <w:p>
            <w:pPr>
              <w:ind w:firstLine="0"/>
              <w:jc w:val="center"/>
            </w:pPr>
            <w:r/>
            <w:r>
              <w:rPr>
                <w:rFonts w:ascii="Times New Roman" w:hAnsi="Times New Roman"/>
                <w:sz w:val="20"/>
              </w:rPr>
              <w:t>35</w:t>
            </w:r>
          </w:p>
        </w:tc>
        <w:tc>
          <w:tcPr>
            <w:tcW w:type="dxa" w:w="1247"/>
            <w:vAlign w:val="center"/>
          </w:tcPr>
          <w:p>
            <w:pPr>
              <w:ind w:firstLine="0"/>
              <w:jc w:val="center"/>
            </w:pPr>
            <w:r/>
            <w:r>
              <w:rPr>
                <w:rFonts w:ascii="Times New Roman" w:hAnsi="Times New Roman"/>
                <w:sz w:val="20"/>
              </w:rPr>
              <w:t>94</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59</w:t>
            </w:r>
          </w:p>
        </w:tc>
      </w:tr>
    </w:tbl>
    <w:p>
      <w:pPr>
        <w:spacing w:before="120" w:after="60"/>
        <w:ind w:firstLine="0"/>
        <w:jc w:val="left"/>
      </w:pPr>
      <w:r>
        <w:rPr>
          <w:b w:val="0"/>
          <w:i w:val="0"/>
          <w:sz w:val="22"/>
        </w:rPr>
        <w:t>Таблица 2.3 — Описательные статистики максимальной высоты снежного покрова в зимний период (декабрь–февраль, зимы 2007/08–2022/23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см</w:t>
            </w:r>
          </w:p>
        </w:tc>
        <w:tc>
          <w:tcPr>
            <w:tcW w:type="dxa" w:w="1247"/>
            <w:shd w:val="clear" w:color="auto" w:fill="D9D9D9"/>
            <w:vAlign w:val="center"/>
          </w:tcPr>
          <w:p>
            <w:pPr>
              <w:ind w:firstLine="0"/>
              <w:jc w:val="center"/>
            </w:pPr>
            <w:r/>
            <w:r>
              <w:rPr>
                <w:rFonts w:ascii="Times New Roman" w:hAnsi="Times New Roman"/>
                <w:b/>
                <w:sz w:val="20"/>
              </w:rPr>
              <w:t>Стд. откл., см</w:t>
            </w:r>
          </w:p>
        </w:tc>
        <w:tc>
          <w:tcPr>
            <w:tcW w:type="dxa" w:w="1247"/>
            <w:shd w:val="clear" w:color="auto" w:fill="D9D9D9"/>
            <w:vAlign w:val="center"/>
          </w:tcPr>
          <w:p>
            <w:pPr>
              <w:ind w:firstLine="0"/>
              <w:jc w:val="center"/>
            </w:pPr>
            <w:r/>
            <w:r>
              <w:rPr>
                <w:rFonts w:ascii="Times New Roman" w:hAnsi="Times New Roman"/>
                <w:b/>
                <w:sz w:val="20"/>
              </w:rPr>
              <w:t>Минимум, см</w:t>
            </w:r>
          </w:p>
        </w:tc>
        <w:tc>
          <w:tcPr>
            <w:tcW w:type="dxa" w:w="1247"/>
            <w:shd w:val="clear" w:color="auto" w:fill="D9D9D9"/>
            <w:vAlign w:val="center"/>
          </w:tcPr>
          <w:p>
            <w:pPr>
              <w:ind w:firstLine="0"/>
              <w:jc w:val="center"/>
            </w:pPr>
            <w:r/>
            <w:r>
              <w:rPr>
                <w:rFonts w:ascii="Times New Roman" w:hAnsi="Times New Roman"/>
                <w:b/>
                <w:sz w:val="20"/>
              </w:rPr>
              <w:t>Максимум, см</w:t>
            </w:r>
          </w:p>
        </w:tc>
        <w:tc>
          <w:tcPr>
            <w:tcW w:type="dxa" w:w="1134"/>
            <w:shd w:val="clear" w:color="auto" w:fill="D9D9D9"/>
            <w:vAlign w:val="center"/>
          </w:tcPr>
          <w:p>
            <w:pPr>
              <w:ind w:firstLine="0"/>
              <w:jc w:val="center"/>
            </w:pPr>
            <w:r/>
            <w:r>
              <w:rPr>
                <w:rFonts w:ascii="Times New Roman" w:hAnsi="Times New Roman"/>
                <w:b/>
                <w:sz w:val="20"/>
              </w:rPr>
              <w:t>Медиана, см</w:t>
            </w:r>
          </w:p>
        </w:tc>
        <w:tc>
          <w:tcPr>
            <w:tcW w:type="dxa" w:w="1247"/>
            <w:shd w:val="clear" w:color="auto" w:fill="D9D9D9"/>
            <w:vAlign w:val="center"/>
          </w:tcPr>
          <w:p>
            <w:pPr>
              <w:ind w:firstLine="0"/>
              <w:jc w:val="center"/>
            </w:pPr>
            <w:r/>
            <w:r>
              <w:rPr>
                <w:rFonts w:ascii="Times New Roman" w:hAnsi="Times New Roman"/>
                <w:b/>
                <w:sz w:val="20"/>
              </w:rPr>
              <w:t>Размах, см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12</w:t>
            </w:r>
          </w:p>
        </w:tc>
        <w:tc>
          <w:tcPr>
            <w:tcW w:type="dxa" w:w="1247"/>
            <w:vAlign w:val="center"/>
          </w:tcPr>
          <w:p>
            <w:pPr>
              <w:ind w:firstLine="0"/>
              <w:jc w:val="center"/>
            </w:pPr>
            <w:r/>
            <w:r>
              <w:rPr>
                <w:rFonts w:ascii="Times New Roman" w:hAnsi="Times New Roman"/>
                <w:sz w:val="20"/>
              </w:rPr>
              <w:t>37</w:t>
            </w:r>
          </w:p>
        </w:tc>
        <w:tc>
          <w:tcPr>
            <w:tcW w:type="dxa" w:w="1247"/>
            <w:vAlign w:val="center"/>
          </w:tcPr>
          <w:p>
            <w:pPr>
              <w:ind w:firstLine="0"/>
              <w:jc w:val="center"/>
            </w:pPr>
            <w:r/>
            <w:r>
              <w:rPr>
                <w:rFonts w:ascii="Times New Roman" w:hAnsi="Times New Roman"/>
                <w:sz w:val="20"/>
              </w:rPr>
              <w:t>78</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41</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52</w:t>
            </w:r>
          </w:p>
        </w:tc>
        <w:tc>
          <w:tcPr>
            <w:tcW w:type="dxa" w:w="1247"/>
            <w:vAlign w:val="center"/>
          </w:tcPr>
          <w:p>
            <w:pPr>
              <w:ind w:firstLine="0"/>
              <w:jc w:val="center"/>
            </w:pPr>
            <w:r/>
            <w:r>
              <w:rPr>
                <w:rFonts w:ascii="Times New Roman" w:hAnsi="Times New Roman"/>
                <w:sz w:val="20"/>
              </w:rPr>
              <w:t>14</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67</w:t>
            </w:r>
          </w:p>
        </w:tc>
        <w:tc>
          <w:tcPr>
            <w:tcW w:type="dxa" w:w="1134"/>
            <w:vAlign w:val="center"/>
          </w:tcPr>
          <w:p>
            <w:pPr>
              <w:ind w:firstLine="0"/>
              <w:jc w:val="center"/>
            </w:pPr>
            <w:r/>
            <w:r>
              <w:rPr>
                <w:rFonts w:ascii="Times New Roman" w:hAnsi="Times New Roman"/>
                <w:sz w:val="20"/>
              </w:rPr>
              <w:t>53</w:t>
            </w:r>
          </w:p>
        </w:tc>
        <w:tc>
          <w:tcPr>
            <w:tcW w:type="dxa" w:w="1247"/>
            <w:vAlign w:val="center"/>
          </w:tcPr>
          <w:p>
            <w:pPr>
              <w:ind w:firstLine="0"/>
              <w:jc w:val="center"/>
            </w:pPr>
            <w:r/>
            <w:r>
              <w:rPr>
                <w:rFonts w:ascii="Times New Roman" w:hAnsi="Times New Roman"/>
                <w:sz w:val="20"/>
              </w:rPr>
              <w:t>39</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37,8</w:t>
            </w:r>
          </w:p>
        </w:tc>
        <w:tc>
          <w:tcPr>
            <w:tcW w:type="dxa" w:w="1247"/>
            <w:vAlign w:val="center"/>
          </w:tcPr>
          <w:p>
            <w:pPr>
              <w:ind w:firstLine="0"/>
              <w:jc w:val="center"/>
            </w:pPr>
            <w:r/>
            <w:r>
              <w:rPr>
                <w:rFonts w:ascii="Times New Roman" w:hAnsi="Times New Roman"/>
                <w:sz w:val="20"/>
              </w:rPr>
              <w:t>8,2</w:t>
            </w:r>
          </w:p>
        </w:tc>
        <w:tc>
          <w:tcPr>
            <w:tcW w:type="dxa" w:w="1247"/>
            <w:vAlign w:val="center"/>
          </w:tcPr>
          <w:p>
            <w:pPr>
              <w:ind w:firstLine="0"/>
              <w:jc w:val="center"/>
            </w:pPr>
            <w:r/>
            <w:r>
              <w:rPr>
                <w:rFonts w:ascii="Times New Roman" w:hAnsi="Times New Roman"/>
                <w:sz w:val="20"/>
              </w:rPr>
              <w:t>21</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w:t>
            </w:r>
          </w:p>
        </w:tc>
        <w:tc>
          <w:tcPr>
            <w:tcW w:type="dxa" w:w="1247"/>
            <w:vAlign w:val="center"/>
          </w:tcPr>
          <w:p>
            <w:pPr>
              <w:ind w:firstLine="0"/>
              <w:jc w:val="center"/>
            </w:pPr>
            <w:r/>
            <w:r>
              <w:rPr>
                <w:rFonts w:ascii="Times New Roman" w:hAnsi="Times New Roman"/>
                <w:sz w:val="20"/>
              </w:rPr>
              <w:t>40</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11</w:t>
            </w:r>
          </w:p>
        </w:tc>
        <w:tc>
          <w:tcPr>
            <w:tcW w:type="dxa" w:w="1247"/>
            <w:vAlign w:val="center"/>
          </w:tcPr>
          <w:p>
            <w:pPr>
              <w:ind w:firstLine="0"/>
              <w:jc w:val="center"/>
            </w:pPr>
            <w:r/>
            <w:r>
              <w:rPr>
                <w:rFonts w:ascii="Times New Roman" w:hAnsi="Times New Roman"/>
                <w:sz w:val="20"/>
              </w:rPr>
              <w:t>48</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63</w:t>
            </w:r>
          </w:p>
        </w:tc>
        <w:tc>
          <w:tcPr>
            <w:tcW w:type="dxa" w:w="1247"/>
            <w:vAlign w:val="center"/>
          </w:tcPr>
          <w:p>
            <w:pPr>
              <w:ind w:firstLine="0"/>
              <w:jc w:val="center"/>
            </w:pPr>
            <w:r/>
            <w:r>
              <w:rPr>
                <w:rFonts w:ascii="Times New Roman" w:hAnsi="Times New Roman"/>
                <w:sz w:val="20"/>
              </w:rPr>
              <w:t>36</w:t>
            </w:r>
          </w:p>
        </w:tc>
      </w:tr>
    </w:tbl>
    <w:p>
      <w:pPr>
        <w:spacing w:after="120"/>
        <w:jc w:val="both"/>
      </w:pPr>
      <w:r>
        <w:t>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Олёкминска (средние медианы −1,8 и −1,2 °C), тогда как Жиганск устойчиво остаётся наиболее холодным пунктом (−5,5 °C). По осадкам наибольшие значения наблюдаются в южной части бассейна (Киренск — 85 мм в среднем за весну), наименьшие — в Якутске (39,5 мм при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высота снежного покрова не превысила 38 см.</w:t>
      </w:r>
    </w:p>
    <w:p>
      <w:pPr>
        <w:spacing w:before="120" w:after="60"/>
        <w:ind w:firstLine="0"/>
        <w:jc w:val="left"/>
      </w:pPr>
      <w:r>
        <w:rPr>
          <w:b w:val="0"/>
          <w:i w:val="0"/>
          <w:sz w:val="22"/>
        </w:rPr>
        <w:t>Таблица 2.4 — Погодичные характеристики весеннего периода: метеостанция Киренск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0,0</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63,4</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+2,4</w:t>
            </w:r>
          </w:p>
        </w:tc>
        <w:tc>
          <w:tcPr>
            <w:tcW w:type="dxa" w:w="1134"/>
            <w:vAlign w:val="center"/>
          </w:tcPr>
          <w:p>
            <w:pPr>
              <w:ind w:firstLine="0"/>
              <w:jc w:val="center"/>
            </w:pPr>
            <w:r/>
            <w:r>
              <w:rPr>
                <w:rFonts w:ascii="Times New Roman" w:hAnsi="Times New Roman"/>
                <w:sz w:val="20"/>
              </w:rPr>
              <w:t>11,9</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60</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−3,8</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62,2</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+3,2</w:t>
            </w:r>
          </w:p>
        </w:tc>
        <w:tc>
          <w:tcPr>
            <w:tcW w:type="dxa" w:w="1134"/>
            <w:vAlign w:val="center"/>
          </w:tcPr>
          <w:p>
            <w:pPr>
              <w:ind w:firstLine="0"/>
              <w:jc w:val="center"/>
            </w:pPr>
            <w:r/>
            <w:r>
              <w:rPr>
                <w:rFonts w:ascii="Times New Roman" w:hAnsi="Times New Roman"/>
                <w:sz w:val="20"/>
              </w:rPr>
              <w:t>17,5</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50,8</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11,2</w:t>
            </w:r>
          </w:p>
        </w:tc>
        <w:tc>
          <w:tcPr>
            <w:tcW w:type="dxa" w:w="1361"/>
            <w:vAlign w:val="center"/>
          </w:tcPr>
          <w:p>
            <w:pPr>
              <w:ind w:firstLine="0"/>
              <w:jc w:val="center"/>
            </w:pPr>
            <w:r/>
            <w:r>
              <w:rPr>
                <w:rFonts w:ascii="Times New Roman" w:hAnsi="Times New Roman"/>
                <w:sz w:val="20"/>
              </w:rPr>
              <w:t>68,5</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41,1</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121,1</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76,0</w:t>
            </w:r>
          </w:p>
        </w:tc>
        <w:tc>
          <w:tcPr>
            <w:tcW w:type="dxa" w:w="1531"/>
            <w:vAlign w:val="center"/>
          </w:tcPr>
          <w:p>
            <w:pPr>
              <w:ind w:firstLine="0"/>
              <w:jc w:val="center"/>
            </w:pPr>
            <w:r/>
            <w:r>
              <w:rPr>
                <w:rFonts w:ascii="Times New Roman" w:hAnsi="Times New Roman"/>
                <w:sz w:val="20"/>
              </w:rPr>
              <w:t>66</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+1,8</w:t>
            </w:r>
          </w:p>
        </w:tc>
        <w:tc>
          <w:tcPr>
            <w:tcW w:type="dxa" w:w="1134"/>
            <w:vAlign w:val="center"/>
          </w:tcPr>
          <w:p>
            <w:pPr>
              <w:ind w:firstLine="0"/>
              <w:jc w:val="center"/>
            </w:pPr>
            <w:r/>
            <w:r>
              <w:rPr>
                <w:rFonts w:ascii="Times New Roman" w:hAnsi="Times New Roman"/>
                <w:sz w:val="20"/>
              </w:rPr>
              <w:t>22,6</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23,3</w:t>
            </w:r>
          </w:p>
        </w:tc>
        <w:tc>
          <w:tcPr>
            <w:tcW w:type="dxa" w:w="1361"/>
            <w:vAlign w:val="center"/>
          </w:tcPr>
          <w:p>
            <w:pPr>
              <w:ind w:firstLine="0"/>
              <w:jc w:val="center"/>
            </w:pPr>
            <w:r/>
            <w:r>
              <w:rPr>
                <w:rFonts w:ascii="Times New Roman" w:hAnsi="Times New Roman"/>
                <w:sz w:val="20"/>
              </w:rPr>
              <w:t>53,2</w:t>
            </w:r>
          </w:p>
        </w:tc>
        <w:tc>
          <w:tcPr>
            <w:tcW w:type="dxa" w:w="1531"/>
            <w:vAlign w:val="center"/>
          </w:tcPr>
          <w:p>
            <w:pPr>
              <w:ind w:firstLine="0"/>
              <w:jc w:val="center"/>
            </w:pPr>
            <w:r/>
            <w:r>
              <w:rPr>
                <w:rFonts w:ascii="Times New Roman" w:hAnsi="Times New Roman"/>
                <w:sz w:val="20"/>
              </w:rPr>
              <w:t>62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17,4</w:t>
            </w:r>
          </w:p>
        </w:tc>
        <w:tc>
          <w:tcPr>
            <w:tcW w:type="dxa" w:w="1361"/>
            <w:vAlign w:val="center"/>
          </w:tcPr>
          <w:p>
            <w:pPr>
              <w:ind w:firstLine="0"/>
              <w:jc w:val="center"/>
            </w:pPr>
            <w:r/>
            <w:r>
              <w:rPr>
                <w:rFonts w:ascii="Times New Roman" w:hAnsi="Times New Roman"/>
                <w:sz w:val="20"/>
              </w:rPr>
              <w:t>51,9</w:t>
            </w:r>
          </w:p>
        </w:tc>
        <w:tc>
          <w:tcPr>
            <w:tcW w:type="dxa" w:w="1531"/>
            <w:vAlign w:val="center"/>
          </w:tcPr>
          <w:p>
            <w:pPr>
              <w:ind w:firstLine="0"/>
              <w:jc w:val="center"/>
            </w:pPr>
            <w:r/>
            <w:r>
              <w:rPr>
                <w:rFonts w:ascii="Times New Roman" w:hAnsi="Times New Roman"/>
                <w:sz w:val="20"/>
              </w:rPr>
              <w:t>52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17,7</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+0,1</w:t>
            </w:r>
          </w:p>
        </w:tc>
        <w:tc>
          <w:tcPr>
            <w:tcW w:type="dxa" w:w="1134"/>
            <w:vAlign w:val="center"/>
          </w:tcPr>
          <w:p>
            <w:pPr>
              <w:ind w:firstLine="0"/>
              <w:jc w:val="center"/>
            </w:pPr>
            <w:r/>
            <w:r>
              <w:rPr>
                <w:rFonts w:ascii="Times New Roman" w:hAnsi="Times New Roman"/>
                <w:sz w:val="20"/>
              </w:rPr>
              <w:t>9,8</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76,3</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13,9</w:t>
            </w:r>
          </w:p>
        </w:tc>
        <w:tc>
          <w:tcPr>
            <w:tcW w:type="dxa" w:w="1361"/>
            <w:vAlign w:val="center"/>
          </w:tcPr>
          <w:p>
            <w:pPr>
              <w:ind w:firstLine="0"/>
              <w:jc w:val="center"/>
            </w:pPr>
            <w:r/>
            <w:r>
              <w:rPr>
                <w:rFonts w:ascii="Times New Roman" w:hAnsi="Times New Roman"/>
                <w:sz w:val="20"/>
              </w:rPr>
              <w:t>86,5</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Норма</w:t>
            </w:r>
          </w:p>
        </w:tc>
      </w:tr>
    </w:tbl>
    <w:p>
      <w:pPr>
        <w:spacing w:after="120"/>
        <w:jc w:val="both"/>
      </w:pPr>
      <w:r>
        <w:t>Киренск характеризуется преобладанием нормальных и тёплых вёсен. Диапазон медиан температуры воздуха простирается от −3,8 °C до +3,4 °C;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 Единственная аномально холодная весна 2010 г. (медиана −3,8 °C) выделяется на фоне преобладающих положительных медиан.</w:t>
      </w:r>
    </w:p>
    <w:p>
      <w:pPr>
        <w:spacing w:before="120" w:after="60"/>
        <w:ind w:firstLine="0"/>
        <w:jc w:val="left"/>
      </w:pPr>
      <w:r>
        <w:rPr>
          <w:b w:val="0"/>
          <w:i w:val="0"/>
          <w:sz w:val="22"/>
        </w:rPr>
        <w:t>Таблица 2.5 — Погодичные характеристики весеннего периода: метеостанция Олёкминск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−1,7</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64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11,3</w:t>
            </w:r>
          </w:p>
        </w:tc>
        <w:tc>
          <w:tcPr>
            <w:tcW w:type="dxa" w:w="1361"/>
            <w:vAlign w:val="center"/>
          </w:tcPr>
          <w:p>
            <w:pPr>
              <w:ind w:firstLine="0"/>
              <w:jc w:val="center"/>
            </w:pPr>
            <w:r/>
            <w:r>
              <w:rPr>
                <w:rFonts w:ascii="Times New Roman" w:hAnsi="Times New Roman"/>
                <w:sz w:val="20"/>
              </w:rPr>
              <w:t>99,2</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−4,0</w:t>
            </w:r>
          </w:p>
        </w:tc>
        <w:tc>
          <w:tcPr>
            <w:tcW w:type="dxa" w:w="1134"/>
            <w:vAlign w:val="center"/>
          </w:tcPr>
          <w:p>
            <w:pPr>
              <w:ind w:firstLine="0"/>
              <w:jc w:val="center"/>
            </w:pPr>
            <w:r/>
            <w:r>
              <w:rPr>
                <w:rFonts w:ascii="Times New Roman" w:hAnsi="Times New Roman"/>
                <w:sz w:val="20"/>
              </w:rPr>
              <w:t>14,7</w:t>
            </w:r>
          </w:p>
        </w:tc>
        <w:tc>
          <w:tcPr>
            <w:tcW w:type="dxa" w:w="1361"/>
            <w:vAlign w:val="center"/>
          </w:tcPr>
          <w:p>
            <w:pPr>
              <w:ind w:firstLine="0"/>
              <w:jc w:val="center"/>
            </w:pPr>
            <w:r/>
            <w:r>
              <w:rPr>
                <w:rFonts w:ascii="Times New Roman" w:hAnsi="Times New Roman"/>
                <w:sz w:val="20"/>
              </w:rPr>
              <w:t>51,0</w:t>
            </w:r>
          </w:p>
        </w:tc>
        <w:tc>
          <w:tcPr>
            <w:tcW w:type="dxa" w:w="1531"/>
            <w:vAlign w:val="center"/>
          </w:tcPr>
          <w:p>
            <w:pPr>
              <w:ind w:firstLine="0"/>
              <w:jc w:val="center"/>
            </w:pPr>
            <w:r/>
            <w:r>
              <w:rPr>
                <w:rFonts w:ascii="Times New Roman" w:hAnsi="Times New Roman"/>
                <w:sz w:val="20"/>
              </w:rPr>
              <w:t>28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+1,1</w:t>
            </w:r>
          </w:p>
        </w:tc>
        <w:tc>
          <w:tcPr>
            <w:tcW w:type="dxa" w:w="1134"/>
            <w:vAlign w:val="center"/>
          </w:tcPr>
          <w:p>
            <w:pPr>
              <w:ind w:firstLine="0"/>
              <w:jc w:val="center"/>
            </w:pPr>
            <w:r/>
            <w:r>
              <w:rPr>
                <w:rFonts w:ascii="Times New Roman" w:hAnsi="Times New Roman"/>
                <w:sz w:val="20"/>
              </w:rPr>
              <w:t>15,9</w:t>
            </w:r>
          </w:p>
        </w:tc>
        <w:tc>
          <w:tcPr>
            <w:tcW w:type="dxa" w:w="1361"/>
            <w:vAlign w:val="center"/>
          </w:tcPr>
          <w:p>
            <w:pPr>
              <w:ind w:firstLine="0"/>
              <w:jc w:val="center"/>
            </w:pPr>
            <w:r/>
            <w:r>
              <w:rPr>
                <w:rFonts w:ascii="Times New Roman" w:hAnsi="Times New Roman"/>
                <w:sz w:val="20"/>
              </w:rPr>
              <w:t>28,0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17,3</w:t>
            </w:r>
          </w:p>
        </w:tc>
        <w:tc>
          <w:tcPr>
            <w:tcW w:type="dxa" w:w="1361"/>
            <w:vAlign w:val="center"/>
          </w:tcPr>
          <w:p>
            <w:pPr>
              <w:ind w:firstLine="0"/>
              <w:jc w:val="center"/>
            </w:pPr>
            <w:r/>
            <w:r>
              <w:rPr>
                <w:rFonts w:ascii="Times New Roman" w:hAnsi="Times New Roman"/>
                <w:sz w:val="20"/>
              </w:rPr>
              <w:t>69,2</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108,6</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+1,9</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−2,7</w:t>
            </w:r>
          </w:p>
        </w:tc>
        <w:tc>
          <w:tcPr>
            <w:tcW w:type="dxa" w:w="1134"/>
            <w:vAlign w:val="center"/>
          </w:tcPr>
          <w:p>
            <w:pPr>
              <w:ind w:firstLine="0"/>
              <w:jc w:val="center"/>
            </w:pPr>
            <w:r/>
            <w:r>
              <w:rPr>
                <w:rFonts w:ascii="Times New Roman" w:hAnsi="Times New Roman"/>
                <w:sz w:val="20"/>
              </w:rPr>
              <w:t>14,0</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49,6</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12,2</w:t>
            </w:r>
          </w:p>
        </w:tc>
        <w:tc>
          <w:tcPr>
            <w:tcW w:type="dxa" w:w="1361"/>
            <w:vAlign w:val="center"/>
          </w:tcPr>
          <w:p>
            <w:pPr>
              <w:ind w:firstLine="0"/>
              <w:jc w:val="center"/>
            </w:pPr>
            <w:r/>
            <w:r>
              <w:rPr>
                <w:rFonts w:ascii="Times New Roman" w:hAnsi="Times New Roman"/>
                <w:sz w:val="20"/>
              </w:rPr>
              <w:t>31,6</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18,8</w:t>
            </w:r>
          </w:p>
        </w:tc>
        <w:tc>
          <w:tcPr>
            <w:tcW w:type="dxa" w:w="1361"/>
            <w:vAlign w:val="center"/>
          </w:tcPr>
          <w:p>
            <w:pPr>
              <w:ind w:firstLine="0"/>
              <w:jc w:val="center"/>
            </w:pPr>
            <w:r/>
            <w:r>
              <w:rPr>
                <w:rFonts w:ascii="Times New Roman" w:hAnsi="Times New Roman"/>
                <w:sz w:val="20"/>
              </w:rPr>
              <w:t>76,6</w:t>
            </w:r>
          </w:p>
        </w:tc>
        <w:tc>
          <w:tcPr>
            <w:tcW w:type="dxa" w:w="1531"/>
            <w:vAlign w:val="center"/>
          </w:tcPr>
          <w:p>
            <w:pPr>
              <w:ind w:firstLine="0"/>
              <w:jc w:val="center"/>
            </w:pPr>
            <w:r/>
            <w:r>
              <w:rPr>
                <w:rFonts w:ascii="Times New Roman" w:hAnsi="Times New Roman"/>
                <w:sz w:val="20"/>
              </w:rPr>
              <w:t>67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19,2</w:t>
            </w:r>
          </w:p>
        </w:tc>
        <w:tc>
          <w:tcPr>
            <w:tcW w:type="dxa" w:w="1361"/>
            <w:vAlign w:val="center"/>
          </w:tcPr>
          <w:p>
            <w:pPr>
              <w:ind w:firstLine="0"/>
              <w:jc w:val="center"/>
            </w:pPr>
            <w:r/>
            <w:r>
              <w:rPr>
                <w:rFonts w:ascii="Times New Roman" w:hAnsi="Times New Roman"/>
                <w:sz w:val="20"/>
              </w:rPr>
              <w:t>60,0</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−1,6</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82,7</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−2,5</w:t>
            </w:r>
          </w:p>
        </w:tc>
        <w:tc>
          <w:tcPr>
            <w:tcW w:type="dxa" w:w="1134"/>
            <w:vAlign w:val="center"/>
          </w:tcPr>
          <w:p>
            <w:pPr>
              <w:ind w:firstLine="0"/>
              <w:jc w:val="center"/>
            </w:pPr>
            <w:r/>
            <w:r>
              <w:rPr>
                <w:rFonts w:ascii="Times New Roman" w:hAnsi="Times New Roman"/>
                <w:sz w:val="20"/>
              </w:rPr>
              <w:t>14,1</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Холодная</w:t>
            </w:r>
          </w:p>
        </w:tc>
      </w:tr>
    </w:tbl>
    <w:p>
      <w:pPr>
        <w:spacing w:after="120"/>
        <w:jc w:val="both"/>
      </w:pPr>
      <w:r>
        <w:t>Олёкминск формирует 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°C до +1,9 °C. Изменчивость осадков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pPr>
        <w:spacing w:before="120" w:after="60"/>
        <w:ind w:firstLine="0"/>
        <w:jc w:val="left"/>
      </w:pPr>
      <w:r>
        <w:rPr>
          <w:b w:val="0"/>
          <w:i w:val="0"/>
          <w:sz w:val="22"/>
        </w:rPr>
        <w:t>Таблица 2.6 — Погодичные характеристики весеннего периода: метеостанция Якутск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−4,4</w:t>
            </w:r>
          </w:p>
        </w:tc>
        <w:tc>
          <w:tcPr>
            <w:tcW w:type="dxa" w:w="1134"/>
            <w:vAlign w:val="center"/>
          </w:tcPr>
          <w:p>
            <w:pPr>
              <w:ind w:firstLine="0"/>
              <w:jc w:val="center"/>
            </w:pPr>
            <w:r/>
            <w:r>
              <w:rPr>
                <w:rFonts w:ascii="Times New Roman" w:hAnsi="Times New Roman"/>
                <w:sz w:val="20"/>
              </w:rPr>
              <w:t>21,4</w:t>
            </w:r>
          </w:p>
        </w:tc>
        <w:tc>
          <w:tcPr>
            <w:tcW w:type="dxa" w:w="1361"/>
            <w:vAlign w:val="center"/>
          </w:tcPr>
          <w:p>
            <w:pPr>
              <w:ind w:firstLine="0"/>
              <w:jc w:val="center"/>
            </w:pPr>
            <w:r/>
            <w:r>
              <w:rPr>
                <w:rFonts w:ascii="Times New Roman" w:hAnsi="Times New Roman"/>
                <w:sz w:val="20"/>
              </w:rPr>
              <w:t>36,7</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16,0</w:t>
            </w:r>
          </w:p>
        </w:tc>
        <w:tc>
          <w:tcPr>
            <w:tcW w:type="dxa" w:w="1361"/>
            <w:vAlign w:val="center"/>
          </w:tcPr>
          <w:p>
            <w:pPr>
              <w:ind w:firstLine="0"/>
              <w:jc w:val="center"/>
            </w:pPr>
            <w:r/>
            <w:r>
              <w:rPr>
                <w:rFonts w:ascii="Times New Roman" w:hAnsi="Times New Roman"/>
                <w:sz w:val="20"/>
              </w:rPr>
              <w:t>46,2</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−4,6</w:t>
            </w:r>
          </w:p>
        </w:tc>
        <w:tc>
          <w:tcPr>
            <w:tcW w:type="dxa" w:w="1134"/>
            <w:vAlign w:val="center"/>
          </w:tcPr>
          <w:p>
            <w:pPr>
              <w:ind w:firstLine="0"/>
              <w:jc w:val="center"/>
            </w:pPr>
            <w:r/>
            <w:r>
              <w:rPr>
                <w:rFonts w:ascii="Times New Roman" w:hAnsi="Times New Roman"/>
                <w:sz w:val="20"/>
              </w:rPr>
              <w:t>14,9</w:t>
            </w:r>
          </w:p>
        </w:tc>
        <w:tc>
          <w:tcPr>
            <w:tcW w:type="dxa" w:w="1361"/>
            <w:vAlign w:val="center"/>
          </w:tcPr>
          <w:p>
            <w:pPr>
              <w:ind w:firstLine="0"/>
              <w:jc w:val="center"/>
            </w:pPr>
            <w:r/>
            <w:r>
              <w:rPr>
                <w:rFonts w:ascii="Times New Roman" w:hAnsi="Times New Roman"/>
                <w:sz w:val="20"/>
              </w:rPr>
              <w:t>56,0</w:t>
            </w:r>
          </w:p>
        </w:tc>
        <w:tc>
          <w:tcPr>
            <w:tcW w:type="dxa" w:w="1531"/>
            <w:vAlign w:val="center"/>
          </w:tcPr>
          <w:p>
            <w:pPr>
              <w:ind w:firstLine="0"/>
              <w:jc w:val="center"/>
            </w:pPr>
            <w:r/>
            <w:r>
              <w:rPr>
                <w:rFonts w:ascii="Times New Roman" w:hAnsi="Times New Roman"/>
                <w:sz w:val="20"/>
              </w:rPr>
              <w:t>21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18,3</w:t>
            </w:r>
          </w:p>
        </w:tc>
        <w:tc>
          <w:tcPr>
            <w:tcW w:type="dxa" w:w="1361"/>
            <w:vAlign w:val="center"/>
          </w:tcPr>
          <w:p>
            <w:pPr>
              <w:ind w:firstLine="0"/>
              <w:jc w:val="center"/>
            </w:pPr>
            <w:r/>
            <w:r>
              <w:rPr>
                <w:rFonts w:ascii="Times New Roman" w:hAnsi="Times New Roman"/>
                <w:sz w:val="20"/>
              </w:rPr>
              <w:t>14,7</w:t>
            </w:r>
          </w:p>
        </w:tc>
        <w:tc>
          <w:tcPr>
            <w:tcW w:type="dxa" w:w="1531"/>
            <w:vAlign w:val="center"/>
          </w:tcPr>
          <w:p>
            <w:pPr>
              <w:ind w:firstLine="0"/>
              <w:jc w:val="center"/>
            </w:pPr>
            <w:r/>
            <w:r>
              <w:rPr>
                <w:rFonts w:ascii="Times New Roman" w:hAnsi="Times New Roman"/>
                <w:sz w:val="20"/>
              </w:rPr>
              <w:t>34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−3,5</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38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−2,3</w:t>
            </w:r>
          </w:p>
        </w:tc>
        <w:tc>
          <w:tcPr>
            <w:tcW w:type="dxa" w:w="1134"/>
            <w:vAlign w:val="center"/>
          </w:tcPr>
          <w:p>
            <w:pPr>
              <w:ind w:firstLine="0"/>
              <w:jc w:val="center"/>
            </w:pPr>
            <w:r/>
            <w:r>
              <w:rPr>
                <w:rFonts w:ascii="Times New Roman" w:hAnsi="Times New Roman"/>
                <w:sz w:val="20"/>
              </w:rPr>
              <w:t>14,6</w:t>
            </w:r>
          </w:p>
        </w:tc>
        <w:tc>
          <w:tcPr>
            <w:tcW w:type="dxa" w:w="1361"/>
            <w:vAlign w:val="center"/>
          </w:tcPr>
          <w:p>
            <w:pPr>
              <w:ind w:firstLine="0"/>
              <w:jc w:val="center"/>
            </w:pPr>
            <w:r/>
            <w:r>
              <w:rPr>
                <w:rFonts w:ascii="Times New Roman" w:hAnsi="Times New Roman"/>
                <w:sz w:val="20"/>
              </w:rPr>
              <w:t>53,4</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+1,2</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15,0</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−2,9</w:t>
            </w:r>
          </w:p>
        </w:tc>
        <w:tc>
          <w:tcPr>
            <w:tcW w:type="dxa" w:w="1134"/>
            <w:vAlign w:val="center"/>
          </w:tcPr>
          <w:p>
            <w:pPr>
              <w:ind w:firstLine="0"/>
              <w:jc w:val="center"/>
            </w:pPr>
            <w:r/>
            <w:r>
              <w:rPr>
                <w:rFonts w:ascii="Times New Roman" w:hAnsi="Times New Roman"/>
                <w:sz w:val="20"/>
              </w:rPr>
              <w:t>12,4</w:t>
            </w:r>
          </w:p>
        </w:tc>
        <w:tc>
          <w:tcPr>
            <w:tcW w:type="dxa" w:w="1361"/>
            <w:vAlign w:val="center"/>
          </w:tcPr>
          <w:p>
            <w:pPr>
              <w:ind w:firstLine="0"/>
              <w:jc w:val="center"/>
            </w:pPr>
            <w:r/>
            <w:r>
              <w:rPr>
                <w:rFonts w:ascii="Times New Roman" w:hAnsi="Times New Roman"/>
                <w:sz w:val="20"/>
              </w:rPr>
              <w:t>49,1</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18,1</w:t>
            </w:r>
          </w:p>
        </w:tc>
        <w:tc>
          <w:tcPr>
            <w:tcW w:type="dxa" w:w="1361"/>
            <w:vAlign w:val="center"/>
          </w:tcPr>
          <w:p>
            <w:pPr>
              <w:ind w:firstLine="0"/>
              <w:jc w:val="center"/>
            </w:pPr>
            <w:r/>
            <w:r>
              <w:rPr>
                <w:rFonts w:ascii="Times New Roman" w:hAnsi="Times New Roman"/>
                <w:sz w:val="20"/>
              </w:rPr>
              <w:t>21,9</w:t>
            </w:r>
          </w:p>
        </w:tc>
        <w:tc>
          <w:tcPr>
            <w:tcW w:type="dxa" w:w="1531"/>
            <w:vAlign w:val="center"/>
          </w:tcPr>
          <w:p>
            <w:pPr>
              <w:ind w:firstLine="0"/>
              <w:jc w:val="center"/>
            </w:pPr>
            <w:r/>
            <w:r>
              <w:rPr>
                <w:rFonts w:ascii="Times New Roman" w:hAnsi="Times New Roman"/>
                <w:sz w:val="20"/>
              </w:rPr>
              <w:t>35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33,0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20,3</w:t>
            </w:r>
          </w:p>
        </w:tc>
        <w:tc>
          <w:tcPr>
            <w:tcW w:type="dxa" w:w="1361"/>
            <w:vAlign w:val="center"/>
          </w:tcPr>
          <w:p>
            <w:pPr>
              <w:ind w:firstLine="0"/>
              <w:jc w:val="center"/>
            </w:pPr>
            <w:r/>
            <w:r>
              <w:rPr>
                <w:rFonts w:ascii="Times New Roman" w:hAnsi="Times New Roman"/>
                <w:sz w:val="20"/>
              </w:rPr>
              <w:t>41,7</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22,1</w:t>
            </w:r>
          </w:p>
        </w:tc>
        <w:tc>
          <w:tcPr>
            <w:tcW w:type="dxa" w:w="1361"/>
            <w:vAlign w:val="center"/>
          </w:tcPr>
          <w:p>
            <w:pPr>
              <w:ind w:firstLine="0"/>
              <w:jc w:val="center"/>
            </w:pPr>
            <w:r/>
            <w:r>
              <w:rPr>
                <w:rFonts w:ascii="Times New Roman" w:hAnsi="Times New Roman"/>
                <w:sz w:val="20"/>
              </w:rPr>
              <w:t>41,0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46,7</w:t>
            </w:r>
          </w:p>
        </w:tc>
        <w:tc>
          <w:tcPr>
            <w:tcW w:type="dxa" w:w="1531"/>
            <w:vAlign w:val="center"/>
          </w:tcPr>
          <w:p>
            <w:pPr>
              <w:ind w:firstLine="0"/>
              <w:jc w:val="center"/>
            </w:pPr>
            <w:r/>
            <w:r>
              <w:rPr>
                <w:rFonts w:ascii="Times New Roman" w:hAnsi="Times New Roman"/>
                <w:sz w:val="20"/>
              </w:rPr>
              <w:t>40</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−2,2</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30,2</w:t>
            </w:r>
          </w:p>
        </w:tc>
        <w:tc>
          <w:tcPr>
            <w:tcW w:type="dxa" w:w="1531"/>
            <w:vAlign w:val="center"/>
          </w:tcPr>
          <w:p>
            <w:pPr>
              <w:ind w:firstLine="0"/>
              <w:jc w:val="center"/>
            </w:pPr>
            <w:r/>
            <w:r>
              <w:rPr>
                <w:rFonts w:ascii="Times New Roman" w:hAnsi="Times New Roman"/>
                <w:sz w:val="20"/>
              </w:rPr>
              <w:t>31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61</w:t>
            </w:r>
          </w:p>
        </w:tc>
        <w:tc>
          <w:tcPr>
            <w:tcW w:type="dxa" w:w="1871"/>
            <w:vAlign w:val="center"/>
          </w:tcPr>
          <w:p>
            <w:pPr>
              <w:ind w:firstLine="0"/>
              <w:jc w:val="center"/>
            </w:pPr>
            <w:r/>
            <w:r>
              <w:rPr>
                <w:rFonts w:ascii="Times New Roman" w:hAnsi="Times New Roman"/>
                <w:sz w:val="20"/>
              </w:rPr>
              <w:t>Тёплая</w:t>
            </w:r>
          </w:p>
        </w:tc>
      </w:tr>
    </w:tbl>
    <w:p>
      <w:pPr>
        <w:spacing w:after="120"/>
        <w:jc w:val="both"/>
      </w:pPr>
      <w: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°C до +1,2 °C. В динамике прослеживается смещение режима: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pPr>
        <w:spacing w:before="120" w:after="60"/>
        <w:ind w:firstLine="0"/>
        <w:jc w:val="left"/>
      </w:pPr>
      <w:r>
        <w:rPr>
          <w:b w:val="0"/>
          <w:i w:val="0"/>
          <w:sz w:val="22"/>
        </w:rPr>
        <w:t>Таблица 2.7 — Погодичные характеристики весеннего периода: метеостанция Жиганск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−8,8</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72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−6,9</w:t>
            </w:r>
          </w:p>
        </w:tc>
        <w:tc>
          <w:tcPr>
            <w:tcW w:type="dxa" w:w="1134"/>
            <w:vAlign w:val="center"/>
          </w:tcPr>
          <w:p>
            <w:pPr>
              <w:ind w:firstLine="0"/>
              <w:jc w:val="center"/>
            </w:pPr>
            <w:r/>
            <w:r>
              <w:rPr>
                <w:rFonts w:ascii="Times New Roman" w:hAnsi="Times New Roman"/>
                <w:sz w:val="20"/>
              </w:rPr>
              <w:t>11,4</w:t>
            </w:r>
          </w:p>
        </w:tc>
        <w:tc>
          <w:tcPr>
            <w:tcW w:type="dxa" w:w="1361"/>
            <w:vAlign w:val="center"/>
          </w:tcPr>
          <w:p>
            <w:pPr>
              <w:ind w:firstLine="0"/>
              <w:jc w:val="center"/>
            </w:pPr>
            <w:r/>
            <w:r>
              <w:rPr>
                <w:rFonts w:ascii="Times New Roman" w:hAnsi="Times New Roman"/>
                <w:sz w:val="20"/>
              </w:rPr>
              <w:t>32,7</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15,3</w:t>
            </w:r>
          </w:p>
        </w:tc>
        <w:tc>
          <w:tcPr>
            <w:tcW w:type="dxa" w:w="1361"/>
            <w:vAlign w:val="center"/>
          </w:tcPr>
          <w:p>
            <w:pPr>
              <w:ind w:firstLine="0"/>
              <w:jc w:val="center"/>
            </w:pPr>
            <w:r/>
            <w:r>
              <w:rPr>
                <w:rFonts w:ascii="Times New Roman" w:hAnsi="Times New Roman"/>
                <w:sz w:val="20"/>
              </w:rPr>
              <w:t>60,9</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−8,2</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55,8</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−7,0</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35,0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−7,7</w:t>
            </w:r>
          </w:p>
        </w:tc>
        <w:tc>
          <w:tcPr>
            <w:tcW w:type="dxa" w:w="1134"/>
            <w:vAlign w:val="center"/>
          </w:tcPr>
          <w:p>
            <w:pPr>
              <w:ind w:firstLine="0"/>
              <w:jc w:val="center"/>
            </w:pPr>
            <w:r/>
            <w:r>
              <w:rPr>
                <w:rFonts w:ascii="Times New Roman" w:hAnsi="Times New Roman"/>
                <w:sz w:val="20"/>
              </w:rPr>
              <w:t>6,6</w:t>
            </w:r>
          </w:p>
        </w:tc>
        <w:tc>
          <w:tcPr>
            <w:tcW w:type="dxa" w:w="1361"/>
            <w:vAlign w:val="center"/>
          </w:tcPr>
          <w:p>
            <w:pPr>
              <w:ind w:firstLine="0"/>
              <w:jc w:val="center"/>
            </w:pPr>
            <w:r/>
            <w:r>
              <w:rPr>
                <w:rFonts w:ascii="Times New Roman" w:hAnsi="Times New Roman"/>
                <w:sz w:val="20"/>
              </w:rPr>
              <w:t>45,3</w:t>
            </w:r>
          </w:p>
        </w:tc>
        <w:tc>
          <w:tcPr>
            <w:tcW w:type="dxa" w:w="1531"/>
            <w:vAlign w:val="center"/>
          </w:tcPr>
          <w:p>
            <w:pPr>
              <w:ind w:firstLine="0"/>
              <w:jc w:val="center"/>
            </w:pPr>
            <w:r/>
            <w:r>
              <w:rPr>
                <w:rFonts w:ascii="Times New Roman" w:hAnsi="Times New Roman"/>
                <w:sz w:val="20"/>
              </w:rPr>
              <w:t>78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−7,2</w:t>
            </w:r>
          </w:p>
        </w:tc>
        <w:tc>
          <w:tcPr>
            <w:tcW w:type="dxa" w:w="1134"/>
            <w:vAlign w:val="center"/>
          </w:tcPr>
          <w:p>
            <w:pPr>
              <w:ind w:firstLine="0"/>
              <w:jc w:val="center"/>
            </w:pPr>
            <w:r/>
            <w:r>
              <w:rPr>
                <w:rFonts w:ascii="Times New Roman" w:hAnsi="Times New Roman"/>
                <w:sz w:val="20"/>
              </w:rPr>
              <w:t>9,1</w:t>
            </w:r>
          </w:p>
        </w:tc>
        <w:tc>
          <w:tcPr>
            <w:tcW w:type="dxa" w:w="1361"/>
            <w:vAlign w:val="center"/>
          </w:tcPr>
          <w:p>
            <w:pPr>
              <w:ind w:firstLine="0"/>
              <w:jc w:val="center"/>
            </w:pPr>
            <w:r/>
            <w:r>
              <w:rPr>
                <w:rFonts w:ascii="Times New Roman" w:hAnsi="Times New Roman"/>
                <w:sz w:val="20"/>
              </w:rPr>
              <w:t>79,2</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44,7</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−4,5</w:t>
            </w:r>
          </w:p>
        </w:tc>
        <w:tc>
          <w:tcPr>
            <w:tcW w:type="dxa" w:w="1134"/>
            <w:vAlign w:val="center"/>
          </w:tcPr>
          <w:p>
            <w:pPr>
              <w:ind w:firstLine="0"/>
              <w:jc w:val="center"/>
            </w:pPr>
            <w:r/>
            <w:r>
              <w:rPr>
                <w:rFonts w:ascii="Times New Roman" w:hAnsi="Times New Roman"/>
                <w:sz w:val="20"/>
              </w:rPr>
              <w:t>6,9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46</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72,8</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13,0</w:t>
            </w:r>
          </w:p>
        </w:tc>
        <w:tc>
          <w:tcPr>
            <w:tcW w:type="dxa" w:w="1361"/>
            <w:vAlign w:val="center"/>
          </w:tcPr>
          <w:p>
            <w:pPr>
              <w:ind w:firstLine="0"/>
              <w:jc w:val="center"/>
            </w:pPr>
            <w:r/>
            <w:r>
              <w:rPr>
                <w:rFonts w:ascii="Times New Roman" w:hAnsi="Times New Roman"/>
                <w:sz w:val="20"/>
              </w:rPr>
              <w:t>68,2</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18,6</w:t>
            </w:r>
          </w:p>
        </w:tc>
        <w:tc>
          <w:tcPr>
            <w:tcW w:type="dxa" w:w="1361"/>
            <w:vAlign w:val="center"/>
          </w:tcPr>
          <w:p>
            <w:pPr>
              <w:ind w:firstLine="0"/>
              <w:jc w:val="center"/>
            </w:pPr>
            <w:r/>
            <w:r>
              <w:rPr>
                <w:rFonts w:ascii="Times New Roman" w:hAnsi="Times New Roman"/>
                <w:sz w:val="20"/>
              </w:rPr>
              <w:t>63,3</w:t>
            </w:r>
          </w:p>
        </w:tc>
        <w:tc>
          <w:tcPr>
            <w:tcW w:type="dxa" w:w="1531"/>
            <w:vAlign w:val="center"/>
          </w:tcPr>
          <w:p>
            <w:pPr>
              <w:ind w:firstLine="0"/>
              <w:jc w:val="center"/>
            </w:pPr>
            <w:r/>
            <w:r>
              <w:rPr>
                <w:rFonts w:ascii="Times New Roman" w:hAnsi="Times New Roman"/>
                <w:sz w:val="20"/>
              </w:rPr>
              <w:t>84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59,8</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42,4</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4,4</w:t>
            </w:r>
          </w:p>
        </w:tc>
        <w:tc>
          <w:tcPr>
            <w:tcW w:type="dxa" w:w="1361"/>
            <w:vAlign w:val="center"/>
          </w:tcPr>
          <w:p>
            <w:pPr>
              <w:ind w:firstLine="0"/>
              <w:jc w:val="center"/>
            </w:pPr>
            <w:r/>
            <w:r>
              <w:rPr>
                <w:rFonts w:ascii="Times New Roman" w:hAnsi="Times New Roman"/>
                <w:sz w:val="20"/>
              </w:rPr>
              <w:t>73,2</w:t>
            </w:r>
          </w:p>
        </w:tc>
        <w:tc>
          <w:tcPr>
            <w:tcW w:type="dxa" w:w="1531"/>
            <w:vAlign w:val="center"/>
          </w:tcPr>
          <w:p>
            <w:pPr>
              <w:ind w:firstLine="0"/>
              <w:jc w:val="center"/>
            </w:pPr>
            <w:r/>
            <w:r>
              <w:rPr>
                <w:rFonts w:ascii="Times New Roman" w:hAnsi="Times New Roman"/>
                <w:sz w:val="20"/>
              </w:rPr>
              <w:t>71</w:t>
            </w:r>
          </w:p>
        </w:tc>
        <w:tc>
          <w:tcPr>
            <w:tcW w:type="dxa" w:w="1871"/>
            <w:vAlign w:val="center"/>
          </w:tcPr>
          <w:p>
            <w:pPr>
              <w:ind w:firstLine="0"/>
              <w:jc w:val="center"/>
            </w:pPr>
            <w:r/>
            <w:r>
              <w:rPr>
                <w:rFonts w:ascii="Times New Roman" w:hAnsi="Times New Roman"/>
                <w:sz w:val="20"/>
              </w:rPr>
              <w:t>Аномально холодная</w:t>
            </w:r>
          </w:p>
        </w:tc>
      </w:tr>
    </w:tbl>
    <w:p>
      <w:pPr>
        <w:spacing w:after="120"/>
        <w:jc w:val="both"/>
      </w:pPr>
      <w:r>
        <w:t>Жиганск характеризуется самыми холодными весенними условиями всего профиля: разброс медианы температур составляет от −10,9 °C до −3,4 °C. В этом пункте отмечается значительное количество осадков (до 93,8 мм в годы 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pPr>
        <w:spacing w:after="120"/>
        <w:jc w:val="both"/>
      </w:pPr>
      <w:r>
        <w:t>Весенний период бассейна Лены в целом характеризуется выраженной пространственной неоднородностью и высокой межгодовой изменчивостью. Наиболее тёплые условия наблюдаются в Киренске и Олёкминске, тогда как Жиганск остаётся наиболее холодным пунктом. Наибольшие суммы осадков зафиксированы в Киренске и Олёкминске, минимальные — в Якутске. Максимальная высота снежного покрова наблюдается в Жиганске и Киренске.</w:t>
      </w:r>
    </w:p>
    <w:p>
      <w:pPr>
        <w:spacing w:before="120" w:after="60"/>
        <w:ind w:firstLine="0"/>
        <w:jc w:val="center"/>
      </w:pPr>
      <w:r>
        <w:drawing>
          <wp:inline xmlns:a="http://schemas.openxmlformats.org/drawingml/2006/main" xmlns:pic="http://schemas.openxmlformats.org/drawingml/2006/picture">
            <wp:extent cx="5580000" cy="2752894"/>
            <wp:docPr id="1" name="Picture 1"/>
            <wp:cNvGraphicFramePr>
              <a:graphicFrameLocks noChangeAspect="1"/>
            </wp:cNvGraphicFramePr>
            <a:graphic>
              <a:graphicData uri="http://schemas.openxmlformats.org/drawingml/2006/picture">
                <pic:pic>
                  <pic:nvPicPr>
                    <pic:cNvPr id="0" name="fig_2_1_spring_median_temp.png"/>
                    <pic:cNvPicPr/>
                  </pic:nvPicPr>
                  <pic:blipFill>
                    <a:blip r:embed="rId9"/>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2.1 — Медиана суточной температуры воздуха весной (март–май, 2008–2023 гг.) по четырём опорным метеостанциям. Горизонтальная пунктирная линия соответствует нулевой изотерме.</w:t>
      </w:r>
    </w:p>
    <w:p>
      <w:pPr>
        <w:spacing w:before="120" w:after="60"/>
        <w:ind w:firstLine="0"/>
        <w:jc w:val="center"/>
      </w:pPr>
      <w:r>
        <w:drawing>
          <wp:inline xmlns:a="http://schemas.openxmlformats.org/drawingml/2006/main" xmlns:pic="http://schemas.openxmlformats.org/drawingml/2006/picture">
            <wp:extent cx="5580000" cy="2752894"/>
            <wp:docPr id="2" name="Picture 2"/>
            <wp:cNvGraphicFramePr>
              <a:graphicFrameLocks noChangeAspect="1"/>
            </wp:cNvGraphicFramePr>
            <a:graphic>
              <a:graphicData uri="http://schemas.openxmlformats.org/drawingml/2006/picture">
                <pic:pic>
                  <pic:nvPicPr>
                    <pic:cNvPr id="0" name="fig_2_2_spring_precip_sum.png"/>
                    <pic:cNvPicPr/>
                  </pic:nvPicPr>
                  <pic:blipFill>
                    <a:blip r:embed="rId10"/>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2.2 — Сумма осадков в весенний период (март–май, 2008–2023 гг.) по четырём опорным метеостанциям.</w:t>
      </w:r>
    </w:p>
    <w:p>
      <w:pPr>
        <w:spacing w:before="120" w:after="60"/>
        <w:ind w:firstLine="0"/>
        <w:jc w:val="center"/>
      </w:pPr>
      <w:r>
        <w:drawing>
          <wp:inline xmlns:a="http://schemas.openxmlformats.org/drawingml/2006/main" xmlns:pic="http://schemas.openxmlformats.org/drawingml/2006/picture">
            <wp:extent cx="5580000" cy="2752894"/>
            <wp:docPr id="3" name="Picture 3"/>
            <wp:cNvGraphicFramePr>
              <a:graphicFrameLocks noChangeAspect="1"/>
            </wp:cNvGraphicFramePr>
            <a:graphic>
              <a:graphicData uri="http://schemas.openxmlformats.org/drawingml/2006/picture">
                <pic:pic>
                  <pic:nvPicPr>
                    <pic:cNvPr id="0" name="fig_2_3_winter_snow_max.png"/>
                    <pic:cNvPicPr/>
                  </pic:nvPicPr>
                  <pic:blipFill>
                    <a:blip r:embed="rId11"/>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2.3 — Максимальная высота снежного покрова в зимний период (декабрь–февраль, зимы 2007/08–2022/23 гг.) по четырём опорным метеостанциям.</w:t>
      </w:r>
    </w:p>
    <w:p>
      <w:pPr>
        <w:spacing w:before="120" w:after="60"/>
        <w:ind w:firstLine="0"/>
        <w:jc w:val="left"/>
      </w:pPr>
      <w:r>
        <w:rPr>
          <w:b w:val="0"/>
          <w:i w:val="0"/>
          <w:sz w:val="22"/>
        </w:rPr>
        <w:t>Таблица 2.8 — Погодичные характеристики зимнего периода: метеостанция Киренск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−21,5</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54,5</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−25,8</w:t>
            </w:r>
          </w:p>
        </w:tc>
        <w:tc>
          <w:tcPr>
            <w:tcW w:type="dxa" w:w="1134"/>
            <w:vAlign w:val="center"/>
          </w:tcPr>
          <w:p>
            <w:pPr>
              <w:ind w:firstLine="0"/>
              <w:jc w:val="center"/>
            </w:pPr>
            <w:r/>
            <w:r>
              <w:rPr>
                <w:rFonts w:ascii="Times New Roman" w:hAnsi="Times New Roman"/>
                <w:sz w:val="20"/>
              </w:rPr>
              <w:t>−51,6</w:t>
            </w:r>
          </w:p>
        </w:tc>
        <w:tc>
          <w:tcPr>
            <w:tcW w:type="dxa" w:w="1361"/>
            <w:vAlign w:val="center"/>
          </w:tcPr>
          <w:p>
            <w:pPr>
              <w:ind w:firstLine="0"/>
              <w:jc w:val="center"/>
            </w:pPr>
            <w:r/>
            <w:r>
              <w:rPr>
                <w:rFonts w:ascii="Times New Roman" w:hAnsi="Times New Roman"/>
                <w:sz w:val="20"/>
              </w:rPr>
              <w:t>70,7</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−32,2</w:t>
            </w:r>
          </w:p>
        </w:tc>
        <w:tc>
          <w:tcPr>
            <w:tcW w:type="dxa" w:w="1134"/>
            <w:vAlign w:val="center"/>
          </w:tcPr>
          <w:p>
            <w:pPr>
              <w:ind w:firstLine="0"/>
              <w:jc w:val="center"/>
            </w:pPr>
            <w:r/>
            <w:r>
              <w:rPr>
                <w:rFonts w:ascii="Times New Roman" w:hAnsi="Times New Roman"/>
                <w:sz w:val="20"/>
              </w:rPr>
              <w:t>−50,6</w:t>
            </w:r>
          </w:p>
        </w:tc>
        <w:tc>
          <w:tcPr>
            <w:tcW w:type="dxa" w:w="1361"/>
            <w:vAlign w:val="center"/>
          </w:tcPr>
          <w:p>
            <w:pPr>
              <w:ind w:firstLine="0"/>
              <w:jc w:val="center"/>
            </w:pPr>
            <w:r/>
            <w:r>
              <w:rPr>
                <w:rFonts w:ascii="Times New Roman" w:hAnsi="Times New Roman"/>
                <w:sz w:val="20"/>
              </w:rPr>
              <w:t>43,2</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−30,2</w:t>
            </w:r>
          </w:p>
        </w:tc>
        <w:tc>
          <w:tcPr>
            <w:tcW w:type="dxa" w:w="1134"/>
            <w:vAlign w:val="center"/>
          </w:tcPr>
          <w:p>
            <w:pPr>
              <w:ind w:firstLine="0"/>
              <w:jc w:val="center"/>
            </w:pPr>
            <w:r/>
            <w:r>
              <w:rPr>
                <w:rFonts w:ascii="Times New Roman" w:hAnsi="Times New Roman"/>
                <w:sz w:val="20"/>
              </w:rPr>
              <w:t>−47,2</w:t>
            </w:r>
          </w:p>
        </w:tc>
        <w:tc>
          <w:tcPr>
            <w:tcW w:type="dxa" w:w="1361"/>
            <w:vAlign w:val="center"/>
          </w:tcPr>
          <w:p>
            <w:pPr>
              <w:ind w:firstLine="0"/>
              <w:jc w:val="center"/>
            </w:pPr>
            <w:r/>
            <w:r>
              <w:rPr>
                <w:rFonts w:ascii="Times New Roman" w:hAnsi="Times New Roman"/>
                <w:sz w:val="20"/>
              </w:rPr>
              <w:t>35,3</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−26,4</w:t>
            </w:r>
          </w:p>
        </w:tc>
        <w:tc>
          <w:tcPr>
            <w:tcW w:type="dxa" w:w="1134"/>
            <w:vAlign w:val="center"/>
          </w:tcPr>
          <w:p>
            <w:pPr>
              <w:ind w:firstLine="0"/>
              <w:jc w:val="center"/>
            </w:pPr>
            <w:r/>
            <w:r>
              <w:rPr>
                <w:rFonts w:ascii="Times New Roman" w:hAnsi="Times New Roman"/>
                <w:sz w:val="20"/>
              </w:rPr>
              <w:t>−44,6</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51</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−29,0</w:t>
            </w:r>
          </w:p>
        </w:tc>
        <w:tc>
          <w:tcPr>
            <w:tcW w:type="dxa" w:w="1134"/>
            <w:vAlign w:val="center"/>
          </w:tcPr>
          <w:p>
            <w:pPr>
              <w:ind w:firstLine="0"/>
              <w:jc w:val="center"/>
            </w:pPr>
            <w:r/>
            <w:r>
              <w:rPr>
                <w:rFonts w:ascii="Times New Roman" w:hAnsi="Times New Roman"/>
                <w:sz w:val="20"/>
              </w:rPr>
              <w:t>−45,9</w:t>
            </w:r>
          </w:p>
        </w:tc>
        <w:tc>
          <w:tcPr>
            <w:tcW w:type="dxa" w:w="1361"/>
            <w:vAlign w:val="center"/>
          </w:tcPr>
          <w:p>
            <w:pPr>
              <w:ind w:firstLine="0"/>
              <w:jc w:val="center"/>
            </w:pPr>
            <w:r/>
            <w:r>
              <w:rPr>
                <w:rFonts w:ascii="Times New Roman" w:hAnsi="Times New Roman"/>
                <w:sz w:val="20"/>
              </w:rPr>
              <w:t>46,0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−49,7</w:t>
            </w:r>
          </w:p>
        </w:tc>
        <w:tc>
          <w:tcPr>
            <w:tcW w:type="dxa" w:w="1361"/>
            <w:vAlign w:val="center"/>
          </w:tcPr>
          <w:p>
            <w:pPr>
              <w:ind w:firstLine="0"/>
              <w:jc w:val="center"/>
            </w:pPr>
            <w:r/>
            <w:r>
              <w:rPr>
                <w:rFonts w:ascii="Times New Roman" w:hAnsi="Times New Roman"/>
                <w:sz w:val="20"/>
              </w:rPr>
              <w:t>60,2</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−17,6</w:t>
            </w:r>
          </w:p>
        </w:tc>
        <w:tc>
          <w:tcPr>
            <w:tcW w:type="dxa" w:w="1134"/>
            <w:vAlign w:val="center"/>
          </w:tcPr>
          <w:p>
            <w:pPr>
              <w:ind w:firstLine="0"/>
              <w:jc w:val="center"/>
            </w:pPr>
            <w:r/>
            <w:r>
              <w:rPr>
                <w:rFonts w:ascii="Times New Roman" w:hAnsi="Times New Roman"/>
                <w:sz w:val="20"/>
              </w:rPr>
              <w:t>−43,5</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−19,4</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84,9</w:t>
            </w:r>
          </w:p>
        </w:tc>
        <w:tc>
          <w:tcPr>
            <w:tcW w:type="dxa" w:w="1531"/>
            <w:vAlign w:val="center"/>
          </w:tcPr>
          <w:p>
            <w:pPr>
              <w:ind w:firstLine="0"/>
              <w:jc w:val="center"/>
            </w:pPr>
            <w:r/>
            <w:r>
              <w:rPr>
                <w:rFonts w:ascii="Times New Roman" w:hAnsi="Times New Roman"/>
                <w:sz w:val="20"/>
              </w:rPr>
              <w:t>73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−20,4</w:t>
            </w:r>
          </w:p>
        </w:tc>
        <w:tc>
          <w:tcPr>
            <w:tcW w:type="dxa" w:w="1134"/>
            <w:vAlign w:val="center"/>
          </w:tcPr>
          <w:p>
            <w:pPr>
              <w:ind w:firstLine="0"/>
              <w:jc w:val="center"/>
            </w:pPr>
            <w:r/>
            <w:r>
              <w:rPr>
                <w:rFonts w:ascii="Times New Roman" w:hAnsi="Times New Roman"/>
                <w:sz w:val="20"/>
              </w:rPr>
              <w:t>−42,6</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−24,0</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97,0</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−22,1</w:t>
            </w:r>
          </w:p>
        </w:tc>
        <w:tc>
          <w:tcPr>
            <w:tcW w:type="dxa" w:w="1134"/>
            <w:vAlign w:val="center"/>
          </w:tcPr>
          <w:p>
            <w:pPr>
              <w:ind w:firstLine="0"/>
              <w:jc w:val="center"/>
            </w:pPr>
            <w:r/>
            <w:r>
              <w:rPr>
                <w:rFonts w:ascii="Times New Roman" w:hAnsi="Times New Roman"/>
                <w:sz w:val="20"/>
              </w:rPr>
              <w:t>−50,5</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−18,4</w:t>
            </w:r>
          </w:p>
        </w:tc>
        <w:tc>
          <w:tcPr>
            <w:tcW w:type="dxa" w:w="1134"/>
            <w:vAlign w:val="center"/>
          </w:tcPr>
          <w:p>
            <w:pPr>
              <w:ind w:firstLine="0"/>
              <w:jc w:val="center"/>
            </w:pPr>
            <w:r/>
            <w:r>
              <w:rPr>
                <w:rFonts w:ascii="Times New Roman" w:hAnsi="Times New Roman"/>
                <w:sz w:val="20"/>
              </w:rPr>
              <w:t>−46,2</w:t>
            </w:r>
          </w:p>
        </w:tc>
        <w:tc>
          <w:tcPr>
            <w:tcW w:type="dxa" w:w="1361"/>
            <w:vAlign w:val="center"/>
          </w:tcPr>
          <w:p>
            <w:pPr>
              <w:ind w:firstLine="0"/>
              <w:jc w:val="center"/>
            </w:pPr>
            <w:r/>
            <w:r>
              <w:rPr>
                <w:rFonts w:ascii="Times New Roman" w:hAnsi="Times New Roman"/>
                <w:sz w:val="20"/>
              </w:rPr>
              <w:t>67,4</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93,2</w:t>
            </w:r>
          </w:p>
        </w:tc>
        <w:tc>
          <w:tcPr>
            <w:tcW w:type="dxa" w:w="1531"/>
            <w:vAlign w:val="center"/>
          </w:tcPr>
          <w:p>
            <w:pPr>
              <w:ind w:firstLine="0"/>
              <w:jc w:val="center"/>
            </w:pPr>
            <w:r/>
            <w:r>
              <w:rPr>
                <w:rFonts w:ascii="Times New Roman" w:hAnsi="Times New Roman"/>
                <w:sz w:val="20"/>
              </w:rPr>
              <w:t>67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−23,7</w:t>
            </w:r>
          </w:p>
        </w:tc>
        <w:tc>
          <w:tcPr>
            <w:tcW w:type="dxa" w:w="1134"/>
            <w:vAlign w:val="center"/>
          </w:tcPr>
          <w:p>
            <w:pPr>
              <w:ind w:firstLine="0"/>
              <w:jc w:val="center"/>
            </w:pPr>
            <w:r/>
            <w:r>
              <w:rPr>
                <w:rFonts w:ascii="Times New Roman" w:hAnsi="Times New Roman"/>
                <w:sz w:val="20"/>
              </w:rPr>
              <w:t>−48,1</w:t>
            </w:r>
          </w:p>
        </w:tc>
        <w:tc>
          <w:tcPr>
            <w:tcW w:type="dxa" w:w="1361"/>
            <w:vAlign w:val="center"/>
          </w:tcPr>
          <w:p>
            <w:pPr>
              <w:ind w:firstLine="0"/>
              <w:jc w:val="center"/>
            </w:pPr>
            <w:r/>
            <w:r>
              <w:rPr>
                <w:rFonts w:ascii="Times New Roman" w:hAnsi="Times New Roman"/>
                <w:sz w:val="20"/>
              </w:rPr>
              <w:t>64,5</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−20,5</w:t>
            </w:r>
          </w:p>
        </w:tc>
        <w:tc>
          <w:tcPr>
            <w:tcW w:type="dxa" w:w="1134"/>
            <w:vAlign w:val="center"/>
          </w:tcPr>
          <w:p>
            <w:pPr>
              <w:ind w:firstLine="0"/>
              <w:jc w:val="center"/>
            </w:pPr>
            <w:r/>
            <w:r>
              <w:rPr>
                <w:rFonts w:ascii="Times New Roman" w:hAnsi="Times New Roman"/>
                <w:sz w:val="20"/>
              </w:rPr>
              <w:t>−50,9</w:t>
            </w:r>
          </w:p>
        </w:tc>
        <w:tc>
          <w:tcPr>
            <w:tcW w:type="dxa" w:w="1361"/>
            <w:vAlign w:val="center"/>
          </w:tcPr>
          <w:p>
            <w:pPr>
              <w:ind w:firstLine="0"/>
              <w:jc w:val="center"/>
            </w:pPr>
            <w:r/>
            <w:r>
              <w:rPr>
                <w:rFonts w:ascii="Times New Roman" w:hAnsi="Times New Roman"/>
                <w:sz w:val="20"/>
              </w:rPr>
              <w:t>79,0</w:t>
            </w:r>
          </w:p>
        </w:tc>
        <w:tc>
          <w:tcPr>
            <w:tcW w:type="dxa" w:w="1531"/>
            <w:vAlign w:val="center"/>
          </w:tcPr>
          <w:p>
            <w:pPr>
              <w:ind w:firstLine="0"/>
              <w:jc w:val="center"/>
            </w:pPr>
            <w:r/>
            <w:r>
              <w:rPr>
                <w:rFonts w:ascii="Times New Roman" w:hAnsi="Times New Roman"/>
                <w:sz w:val="20"/>
              </w:rPr>
              <w:t>57</w:t>
            </w:r>
          </w:p>
        </w:tc>
        <w:tc>
          <w:tcPr>
            <w:tcW w:type="dxa" w:w="1757"/>
            <w:vAlign w:val="center"/>
          </w:tcPr>
          <w:p>
            <w:pPr>
              <w:ind w:firstLine="0"/>
              <w:jc w:val="center"/>
            </w:pPr>
            <w:r/>
            <w:r>
              <w:rPr>
                <w:rFonts w:ascii="Times New Roman" w:hAnsi="Times New Roman"/>
                <w:sz w:val="20"/>
              </w:rPr>
              <w:t>Тёплая</w:t>
            </w:r>
          </w:p>
        </w:tc>
      </w:tr>
    </w:tbl>
    <w:p>
      <w:pPr>
        <w:spacing w:after="120"/>
        <w:jc w:val="both"/>
      </w:pPr>
      <w:r>
        <w:t>Киренск — наиболее вариабельная станция среди южной и средней частей бассейна. Диапазон медианы зимней температуры составляет от −32,2 °C до −17,6 °C; абсолютный минимум — −50,9 °C, зафиксирован в зиму 2022/2023 г. Сумма осадков за зиму — от 35,3 до 97,0 мм. Максимальная высота снежного покрова достигла 73 см зимой 2015/2016 г.</w:t>
      </w:r>
    </w:p>
    <w:p>
      <w:pPr>
        <w:spacing w:before="120" w:after="60"/>
        <w:ind w:firstLine="0"/>
        <w:jc w:val="left"/>
      </w:pPr>
      <w:r>
        <w:rPr>
          <w:b w:val="0"/>
          <w:i w:val="0"/>
          <w:sz w:val="22"/>
        </w:rPr>
        <w:t>Таблица 2.9 — Погодичные характеристики зимнего периода: метеостанция Олёкминск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−52,9</w:t>
            </w:r>
          </w:p>
        </w:tc>
        <w:tc>
          <w:tcPr>
            <w:tcW w:type="dxa" w:w="1361"/>
            <w:vAlign w:val="center"/>
          </w:tcPr>
          <w:p>
            <w:pPr>
              <w:ind w:firstLine="0"/>
              <w:jc w:val="center"/>
            </w:pPr>
            <w:r/>
            <w:r>
              <w:rPr>
                <w:rFonts w:ascii="Times New Roman" w:hAnsi="Times New Roman"/>
                <w:sz w:val="20"/>
              </w:rPr>
              <w:t>51,5</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42,5</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−32,5</w:t>
            </w:r>
          </w:p>
        </w:tc>
        <w:tc>
          <w:tcPr>
            <w:tcW w:type="dxa" w:w="1134"/>
            <w:vAlign w:val="center"/>
          </w:tcPr>
          <w:p>
            <w:pPr>
              <w:ind w:firstLine="0"/>
              <w:jc w:val="center"/>
            </w:pPr>
            <w:r/>
            <w:r>
              <w:rPr>
                <w:rFonts w:ascii="Times New Roman" w:hAnsi="Times New Roman"/>
                <w:sz w:val="20"/>
              </w:rPr>
              <w:t>−49,4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−30,1</w:t>
            </w:r>
          </w:p>
        </w:tc>
        <w:tc>
          <w:tcPr>
            <w:tcW w:type="dxa" w:w="1134"/>
            <w:vAlign w:val="center"/>
          </w:tcPr>
          <w:p>
            <w:pPr>
              <w:ind w:firstLine="0"/>
              <w:jc w:val="center"/>
            </w:pPr>
            <w:r/>
            <w:r>
              <w:rPr>
                <w:rFonts w:ascii="Times New Roman" w:hAnsi="Times New Roman"/>
                <w:sz w:val="20"/>
              </w:rPr>
              <w:t>−48,5</w:t>
            </w:r>
          </w:p>
        </w:tc>
        <w:tc>
          <w:tcPr>
            <w:tcW w:type="dxa" w:w="1361"/>
            <w:vAlign w:val="center"/>
          </w:tcPr>
          <w:p>
            <w:pPr>
              <w:ind w:firstLine="0"/>
              <w:jc w:val="center"/>
            </w:pPr>
            <w:r/>
            <w:r>
              <w:rPr>
                <w:rFonts w:ascii="Times New Roman" w:hAnsi="Times New Roman"/>
                <w:sz w:val="20"/>
              </w:rPr>
              <w:t>43,9</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−28,4</w:t>
            </w:r>
          </w:p>
        </w:tc>
        <w:tc>
          <w:tcPr>
            <w:tcW w:type="dxa" w:w="1134"/>
            <w:vAlign w:val="center"/>
          </w:tcPr>
          <w:p>
            <w:pPr>
              <w:ind w:firstLine="0"/>
              <w:jc w:val="center"/>
            </w:pPr>
            <w:r/>
            <w:r>
              <w:rPr>
                <w:rFonts w:ascii="Times New Roman" w:hAnsi="Times New Roman"/>
                <w:sz w:val="20"/>
              </w:rPr>
              <w:t>−49,5</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52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−46,0</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51,3</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−27,4</w:t>
            </w:r>
          </w:p>
        </w:tc>
        <w:tc>
          <w:tcPr>
            <w:tcW w:type="dxa" w:w="1134"/>
            <w:vAlign w:val="center"/>
          </w:tcPr>
          <w:p>
            <w:pPr>
              <w:ind w:firstLine="0"/>
              <w:jc w:val="center"/>
            </w:pPr>
            <w:r/>
            <w:r>
              <w:rPr>
                <w:rFonts w:ascii="Times New Roman" w:hAnsi="Times New Roman"/>
                <w:sz w:val="20"/>
              </w:rPr>
              <w:t>−48,6</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−47,6</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−27,2</w:t>
            </w:r>
          </w:p>
        </w:tc>
        <w:tc>
          <w:tcPr>
            <w:tcW w:type="dxa" w:w="1134"/>
            <w:vAlign w:val="center"/>
          </w:tcPr>
          <w:p>
            <w:pPr>
              <w:ind w:firstLine="0"/>
              <w:jc w:val="center"/>
            </w:pPr>
            <w:r/>
            <w:r>
              <w:rPr>
                <w:rFonts w:ascii="Times New Roman" w:hAnsi="Times New Roman"/>
                <w:sz w:val="20"/>
              </w:rPr>
              <w:t>−46,4</w:t>
            </w:r>
          </w:p>
        </w:tc>
        <w:tc>
          <w:tcPr>
            <w:tcW w:type="dxa" w:w="1361"/>
            <w:vAlign w:val="center"/>
          </w:tcPr>
          <w:p>
            <w:pPr>
              <w:ind w:firstLine="0"/>
              <w:jc w:val="center"/>
            </w:pPr>
            <w:r/>
            <w:r>
              <w:rPr>
                <w:rFonts w:ascii="Times New Roman" w:hAnsi="Times New Roman"/>
                <w:sz w:val="20"/>
              </w:rPr>
              <w:t>47,7</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−30,9</w:t>
            </w:r>
          </w:p>
        </w:tc>
        <w:tc>
          <w:tcPr>
            <w:tcW w:type="dxa" w:w="1134"/>
            <w:vAlign w:val="center"/>
          </w:tcPr>
          <w:p>
            <w:pPr>
              <w:ind w:firstLine="0"/>
              <w:jc w:val="center"/>
            </w:pPr>
            <w:r/>
            <w:r>
              <w:rPr>
                <w:rFonts w:ascii="Times New Roman" w:hAnsi="Times New Roman"/>
                <w:sz w:val="20"/>
              </w:rPr>
              <w:t>−45,7</w:t>
            </w:r>
          </w:p>
        </w:tc>
        <w:tc>
          <w:tcPr>
            <w:tcW w:type="dxa" w:w="1361"/>
            <w:vAlign w:val="center"/>
          </w:tcPr>
          <w:p>
            <w:pPr>
              <w:ind w:firstLine="0"/>
              <w:jc w:val="center"/>
            </w:pPr>
            <w:r/>
            <w:r>
              <w:rPr>
                <w:rFonts w:ascii="Times New Roman" w:hAnsi="Times New Roman"/>
                <w:sz w:val="20"/>
              </w:rPr>
              <w:t>65,3</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−23,6</w:t>
            </w:r>
          </w:p>
        </w:tc>
        <w:tc>
          <w:tcPr>
            <w:tcW w:type="dxa" w:w="1134"/>
            <w:vAlign w:val="center"/>
          </w:tcPr>
          <w:p>
            <w:pPr>
              <w:ind w:firstLine="0"/>
              <w:jc w:val="center"/>
            </w:pPr>
            <w:r/>
            <w:r>
              <w:rPr>
                <w:rFonts w:ascii="Times New Roman" w:hAnsi="Times New Roman"/>
                <w:sz w:val="20"/>
              </w:rPr>
              <w:t>−45,5</w:t>
            </w:r>
          </w:p>
        </w:tc>
        <w:tc>
          <w:tcPr>
            <w:tcW w:type="dxa" w:w="1361"/>
            <w:vAlign w:val="center"/>
          </w:tcPr>
          <w:p>
            <w:pPr>
              <w:ind w:firstLine="0"/>
              <w:jc w:val="center"/>
            </w:pPr>
            <w:r/>
            <w:r>
              <w:rPr>
                <w:rFonts w:ascii="Times New Roman" w:hAnsi="Times New Roman"/>
                <w:sz w:val="20"/>
              </w:rPr>
              <w:t>74,7</w:t>
            </w:r>
          </w:p>
        </w:tc>
        <w:tc>
          <w:tcPr>
            <w:tcW w:type="dxa" w:w="1531"/>
            <w:vAlign w:val="center"/>
          </w:tcPr>
          <w:p>
            <w:pPr>
              <w:ind w:firstLine="0"/>
              <w:jc w:val="center"/>
            </w:pPr>
            <w:r/>
            <w:r>
              <w:rPr>
                <w:rFonts w:ascii="Times New Roman" w:hAnsi="Times New Roman"/>
                <w:sz w:val="20"/>
              </w:rPr>
              <w:t>60</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−51,0</w:t>
            </w:r>
          </w:p>
        </w:tc>
        <w:tc>
          <w:tcPr>
            <w:tcW w:type="dxa" w:w="1361"/>
            <w:vAlign w:val="center"/>
          </w:tcPr>
          <w:p>
            <w:pPr>
              <w:ind w:firstLine="0"/>
              <w:jc w:val="center"/>
            </w:pPr>
            <w:r/>
            <w:r>
              <w:rPr>
                <w:rFonts w:ascii="Times New Roman" w:hAnsi="Times New Roman"/>
                <w:sz w:val="20"/>
              </w:rPr>
              <w:t>59,3</w:t>
            </w:r>
          </w:p>
        </w:tc>
        <w:tc>
          <w:tcPr>
            <w:tcW w:type="dxa" w:w="1531"/>
            <w:vAlign w:val="center"/>
          </w:tcPr>
          <w:p>
            <w:pPr>
              <w:ind w:firstLine="0"/>
              <w:jc w:val="center"/>
            </w:pPr>
            <w:r/>
            <w:r>
              <w:rPr>
                <w:rFonts w:ascii="Times New Roman" w:hAnsi="Times New Roman"/>
                <w:sz w:val="20"/>
              </w:rPr>
              <w:t>54</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62,6</w:t>
            </w:r>
          </w:p>
        </w:tc>
        <w:tc>
          <w:tcPr>
            <w:tcW w:type="dxa" w:w="1531"/>
            <w:vAlign w:val="center"/>
          </w:tcPr>
          <w:p>
            <w:pPr>
              <w:ind w:firstLine="0"/>
              <w:jc w:val="center"/>
            </w:pPr>
            <w:r/>
            <w:r>
              <w:rPr>
                <w:rFonts w:ascii="Times New Roman" w:hAnsi="Times New Roman"/>
                <w:sz w:val="20"/>
              </w:rPr>
              <w:t>42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−30,6</w:t>
            </w:r>
          </w:p>
        </w:tc>
        <w:tc>
          <w:tcPr>
            <w:tcW w:type="dxa" w:w="1134"/>
            <w:vAlign w:val="center"/>
          </w:tcPr>
          <w:p>
            <w:pPr>
              <w:ind w:firstLine="0"/>
              <w:jc w:val="center"/>
            </w:pPr>
            <w:r/>
            <w:r>
              <w:rPr>
                <w:rFonts w:ascii="Times New Roman" w:hAnsi="Times New Roman"/>
                <w:sz w:val="20"/>
              </w:rPr>
              <w:t>−54,1</w:t>
            </w:r>
          </w:p>
        </w:tc>
        <w:tc>
          <w:tcPr>
            <w:tcW w:type="dxa" w:w="1361"/>
            <w:vAlign w:val="center"/>
          </w:tcPr>
          <w:p>
            <w:pPr>
              <w:ind w:firstLine="0"/>
              <w:jc w:val="center"/>
            </w:pPr>
            <w:r/>
            <w:r>
              <w:rPr>
                <w:rFonts w:ascii="Times New Roman" w:hAnsi="Times New Roman"/>
                <w:sz w:val="20"/>
              </w:rPr>
              <w:t>57,5</w:t>
            </w:r>
          </w:p>
        </w:tc>
        <w:tc>
          <w:tcPr>
            <w:tcW w:type="dxa" w:w="1531"/>
            <w:vAlign w:val="center"/>
          </w:tcPr>
          <w:p>
            <w:pPr>
              <w:ind w:firstLine="0"/>
              <w:jc w:val="center"/>
            </w:pPr>
            <w:r/>
            <w:r>
              <w:rPr>
                <w:rFonts w:ascii="Times New Roman" w:hAnsi="Times New Roman"/>
                <w:sz w:val="20"/>
              </w:rPr>
              <w:t>44</w:t>
            </w:r>
          </w:p>
        </w:tc>
        <w:tc>
          <w:tcPr>
            <w:tcW w:type="dxa" w:w="1757"/>
            <w:vAlign w:val="center"/>
          </w:tcPr>
          <w:p>
            <w:pPr>
              <w:ind w:firstLine="0"/>
              <w:jc w:val="center"/>
            </w:pPr>
            <w:r/>
            <w:r>
              <w:rPr>
                <w:rFonts w:ascii="Times New Roman" w:hAnsi="Times New Roman"/>
                <w:sz w:val="20"/>
              </w:rPr>
              <w:t>Норма</w:t>
            </w:r>
          </w:p>
        </w:tc>
      </w:tr>
    </w:tbl>
    <w:p>
      <w:pPr>
        <w:spacing w:after="120"/>
        <w:jc w:val="both"/>
      </w:pPr>
      <w:r>
        <w:t>В среднем зимы в Олёкминске холоднее, чем в Киренске: медиана колеблется от −34,3 °C до −22,9 °C, абсолютный минимум достигнут зимой 2022/2023 г. (−54,1 °C). Сумма осадков — 31,8–74,7 мм, максимальная высота снежного покрова — 27–60 см.</w:t>
      </w:r>
    </w:p>
    <w:p>
      <w:pPr>
        <w:spacing w:before="120" w:after="60"/>
        <w:ind w:firstLine="0"/>
        <w:jc w:val="left"/>
      </w:pPr>
      <w:r>
        <w:rPr>
          <w:b w:val="0"/>
          <w:i w:val="0"/>
          <w:sz w:val="22"/>
        </w:rPr>
        <w:t>Таблица 2.10 — Погодичные характеристики зимнего периода: метеостанция Якутск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−34,4</w:t>
            </w:r>
          </w:p>
        </w:tc>
        <w:tc>
          <w:tcPr>
            <w:tcW w:type="dxa" w:w="1134"/>
            <w:vAlign w:val="center"/>
          </w:tcPr>
          <w:p>
            <w:pPr>
              <w:ind w:firstLine="0"/>
              <w:jc w:val="center"/>
            </w:pPr>
            <w:r/>
            <w:r>
              <w:rPr>
                <w:rFonts w:ascii="Times New Roman" w:hAnsi="Times New Roman"/>
                <w:sz w:val="20"/>
              </w:rPr>
              <w:t>−47,8</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31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11,5</w:t>
            </w:r>
          </w:p>
        </w:tc>
        <w:tc>
          <w:tcPr>
            <w:tcW w:type="dxa" w:w="1531"/>
            <w:vAlign w:val="center"/>
          </w:tcPr>
          <w:p>
            <w:pPr>
              <w:ind w:firstLine="0"/>
              <w:jc w:val="center"/>
            </w:pPr>
            <w:r/>
            <w:r>
              <w:rPr>
                <w:rFonts w:ascii="Times New Roman" w:hAnsi="Times New Roman"/>
                <w:sz w:val="20"/>
              </w:rPr>
              <w:t>23</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−36,4</w:t>
            </w:r>
          </w:p>
        </w:tc>
        <w:tc>
          <w:tcPr>
            <w:tcW w:type="dxa" w:w="1134"/>
            <w:vAlign w:val="center"/>
          </w:tcPr>
          <w:p>
            <w:pPr>
              <w:ind w:firstLine="0"/>
              <w:jc w:val="center"/>
            </w:pPr>
            <w:r/>
            <w:r>
              <w:rPr>
                <w:rFonts w:ascii="Times New Roman" w:hAnsi="Times New Roman"/>
                <w:sz w:val="20"/>
              </w:rPr>
              <w:t>−46,9</w:t>
            </w:r>
          </w:p>
        </w:tc>
        <w:tc>
          <w:tcPr>
            <w:tcW w:type="dxa" w:w="1361"/>
            <w:vAlign w:val="center"/>
          </w:tcPr>
          <w:p>
            <w:pPr>
              <w:ind w:firstLine="0"/>
              <w:jc w:val="center"/>
            </w:pPr>
            <w:r/>
            <w:r>
              <w:rPr>
                <w:rFonts w:ascii="Times New Roman" w:hAnsi="Times New Roman"/>
                <w:sz w:val="20"/>
              </w:rPr>
              <w:t>12,3</w:t>
            </w:r>
          </w:p>
        </w:tc>
        <w:tc>
          <w:tcPr>
            <w:tcW w:type="dxa" w:w="1531"/>
            <w:vAlign w:val="center"/>
          </w:tcPr>
          <w:p>
            <w:pPr>
              <w:ind w:firstLine="0"/>
              <w:jc w:val="center"/>
            </w:pPr>
            <w:r/>
            <w:r>
              <w:rPr>
                <w:rFonts w:ascii="Times New Roman" w:hAnsi="Times New Roman"/>
                <w:sz w:val="20"/>
              </w:rPr>
              <w:t>20</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−36,6</w:t>
            </w:r>
          </w:p>
        </w:tc>
        <w:tc>
          <w:tcPr>
            <w:tcW w:type="dxa" w:w="1134"/>
            <w:vAlign w:val="center"/>
          </w:tcPr>
          <w:p>
            <w:pPr>
              <w:ind w:firstLine="0"/>
              <w:jc w:val="center"/>
            </w:pPr>
            <w:r/>
            <w:r>
              <w:rPr>
                <w:rFonts w:ascii="Times New Roman" w:hAnsi="Times New Roman"/>
                <w:sz w:val="20"/>
              </w:rPr>
              <w:t>−49,3</w:t>
            </w:r>
          </w:p>
        </w:tc>
        <w:tc>
          <w:tcPr>
            <w:tcW w:type="dxa" w:w="1361"/>
            <w:vAlign w:val="center"/>
          </w:tcPr>
          <w:p>
            <w:pPr>
              <w:ind w:firstLine="0"/>
              <w:jc w:val="center"/>
            </w:pPr>
            <w:r/>
            <w:r>
              <w:rPr>
                <w:rFonts w:ascii="Times New Roman" w:hAnsi="Times New Roman"/>
                <w:sz w:val="20"/>
              </w:rPr>
              <w:t>21,5</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−34,6</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29,5</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16,8</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−36,2</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30,1</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24,7</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−34,5</w:t>
            </w:r>
          </w:p>
        </w:tc>
        <w:tc>
          <w:tcPr>
            <w:tcW w:type="dxa" w:w="1134"/>
            <w:vAlign w:val="center"/>
          </w:tcPr>
          <w:p>
            <w:pPr>
              <w:ind w:firstLine="0"/>
              <w:jc w:val="center"/>
            </w:pPr>
            <w:r/>
            <w:r>
              <w:rPr>
                <w:rFonts w:ascii="Times New Roman" w:hAnsi="Times New Roman"/>
                <w:sz w:val="20"/>
              </w:rPr>
              <w:t>−47,9</w:t>
            </w:r>
          </w:p>
        </w:tc>
        <w:tc>
          <w:tcPr>
            <w:tcW w:type="dxa" w:w="1361"/>
            <w:vAlign w:val="center"/>
          </w:tcPr>
          <w:p>
            <w:pPr>
              <w:ind w:firstLine="0"/>
              <w:jc w:val="center"/>
            </w:pPr>
            <w:r/>
            <w:r>
              <w:rPr>
                <w:rFonts w:ascii="Times New Roman" w:hAnsi="Times New Roman"/>
                <w:sz w:val="20"/>
              </w:rPr>
              <w:t>30,3</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−45,8</w:t>
            </w:r>
          </w:p>
        </w:tc>
        <w:tc>
          <w:tcPr>
            <w:tcW w:type="dxa" w:w="1361"/>
            <w:vAlign w:val="center"/>
          </w:tcPr>
          <w:p>
            <w:pPr>
              <w:ind w:firstLine="0"/>
              <w:jc w:val="center"/>
            </w:pPr>
            <w:r/>
            <w:r>
              <w:rPr>
                <w:rFonts w:ascii="Times New Roman" w:hAnsi="Times New Roman"/>
                <w:sz w:val="20"/>
              </w:rPr>
              <w:t>37,3</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−47,3</w:t>
            </w:r>
          </w:p>
        </w:tc>
        <w:tc>
          <w:tcPr>
            <w:tcW w:type="dxa" w:w="1361"/>
            <w:vAlign w:val="center"/>
          </w:tcPr>
          <w:p>
            <w:pPr>
              <w:ind w:firstLine="0"/>
              <w:jc w:val="center"/>
            </w:pPr>
            <w:r/>
            <w:r>
              <w:rPr>
                <w:rFonts w:ascii="Times New Roman" w:hAnsi="Times New Roman"/>
                <w:sz w:val="20"/>
              </w:rPr>
              <w:t>29,1</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−33,6</w:t>
            </w:r>
          </w:p>
        </w:tc>
        <w:tc>
          <w:tcPr>
            <w:tcW w:type="dxa" w:w="1134"/>
            <w:vAlign w:val="center"/>
          </w:tcPr>
          <w:p>
            <w:pPr>
              <w:ind w:firstLine="0"/>
              <w:jc w:val="center"/>
            </w:pPr>
            <w:r/>
            <w:r>
              <w:rPr>
                <w:rFonts w:ascii="Times New Roman" w:hAnsi="Times New Roman"/>
                <w:sz w:val="20"/>
              </w:rPr>
              <w:t>−43,4</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−33,8</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43,6</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−41,1</w:t>
            </w:r>
          </w:p>
        </w:tc>
        <w:tc>
          <w:tcPr>
            <w:tcW w:type="dxa" w:w="1134"/>
            <w:vAlign w:val="center"/>
          </w:tcPr>
          <w:p>
            <w:pPr>
              <w:ind w:firstLine="0"/>
              <w:jc w:val="center"/>
            </w:pPr>
            <w:r/>
            <w:r>
              <w:rPr>
                <w:rFonts w:ascii="Times New Roman" w:hAnsi="Times New Roman"/>
                <w:sz w:val="20"/>
              </w:rPr>
              <w:t>−51,2</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34</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−34,0</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−39,0</w:t>
            </w:r>
          </w:p>
        </w:tc>
        <w:tc>
          <w:tcPr>
            <w:tcW w:type="dxa" w:w="1134"/>
            <w:vAlign w:val="center"/>
          </w:tcPr>
          <w:p>
            <w:pPr>
              <w:ind w:firstLine="0"/>
              <w:jc w:val="center"/>
            </w:pPr>
            <w:r/>
            <w:r>
              <w:rPr>
                <w:rFonts w:ascii="Times New Roman" w:hAnsi="Times New Roman"/>
                <w:sz w:val="20"/>
              </w:rPr>
              <w:t>−51,9</w:t>
            </w:r>
          </w:p>
        </w:tc>
        <w:tc>
          <w:tcPr>
            <w:tcW w:type="dxa" w:w="1361"/>
            <w:vAlign w:val="center"/>
          </w:tcPr>
          <w:p>
            <w:pPr>
              <w:ind w:firstLine="0"/>
              <w:jc w:val="center"/>
            </w:pPr>
            <w:r/>
            <w:r>
              <w:rPr>
                <w:rFonts w:ascii="Times New Roman" w:hAnsi="Times New Roman"/>
                <w:sz w:val="20"/>
              </w:rPr>
              <w:t>37,1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Аномально холодная</w:t>
            </w:r>
          </w:p>
        </w:tc>
      </w:tr>
    </w:tbl>
    <w:p>
      <w:pPr>
        <w:spacing w:after="120"/>
        <w:jc w:val="both"/>
      </w:pPr>
      <w:r>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pPr>
        <w:spacing w:before="120" w:after="60"/>
        <w:ind w:firstLine="0"/>
        <w:jc w:val="left"/>
      </w:pPr>
      <w:r>
        <w:rPr>
          <w:b w:val="0"/>
          <w:i w:val="0"/>
          <w:sz w:val="22"/>
        </w:rPr>
        <w:t>Таблица 2.11 — Погодичные характеристики зимнего периода: метеостанция Жиганск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73,1</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−38,8</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38</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−47,0</w:t>
            </w:r>
          </w:p>
        </w:tc>
        <w:tc>
          <w:tcPr>
            <w:tcW w:type="dxa" w:w="1361"/>
            <w:vAlign w:val="center"/>
          </w:tcPr>
          <w:p>
            <w:pPr>
              <w:ind w:firstLine="0"/>
              <w:jc w:val="center"/>
            </w:pPr>
            <w:r/>
            <w:r>
              <w:rPr>
                <w:rFonts w:ascii="Times New Roman" w:hAnsi="Times New Roman"/>
                <w:sz w:val="20"/>
              </w:rPr>
              <w:t>25,6</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39,9</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−33,1</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53,6</w:t>
            </w:r>
          </w:p>
        </w:tc>
        <w:tc>
          <w:tcPr>
            <w:tcW w:type="dxa" w:w="1531"/>
            <w:vAlign w:val="center"/>
          </w:tcPr>
          <w:p>
            <w:pPr>
              <w:ind w:firstLine="0"/>
              <w:jc w:val="center"/>
            </w:pPr>
            <w:r/>
            <w:r>
              <w:rPr>
                <w:rFonts w:ascii="Times New Roman" w:hAnsi="Times New Roman"/>
                <w:sz w:val="20"/>
              </w:rPr>
              <w:t>63</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−38,1</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38,2</w:t>
            </w:r>
          </w:p>
        </w:tc>
        <w:tc>
          <w:tcPr>
            <w:tcW w:type="dxa" w:w="1531"/>
            <w:vAlign w:val="center"/>
          </w:tcPr>
          <w:p>
            <w:pPr>
              <w:ind w:firstLine="0"/>
              <w:jc w:val="center"/>
            </w:pPr>
            <w:r/>
            <w:r>
              <w:rPr>
                <w:rFonts w:ascii="Times New Roman" w:hAnsi="Times New Roman"/>
                <w:sz w:val="20"/>
              </w:rPr>
              <w:t>30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−52,4</w:t>
            </w:r>
          </w:p>
        </w:tc>
        <w:tc>
          <w:tcPr>
            <w:tcW w:type="dxa" w:w="1361"/>
            <w:vAlign w:val="center"/>
          </w:tcPr>
          <w:p>
            <w:pPr>
              <w:ind w:firstLine="0"/>
              <w:jc w:val="center"/>
            </w:pPr>
            <w:r/>
            <w:r>
              <w:rPr>
                <w:rFonts w:ascii="Times New Roman" w:hAnsi="Times New Roman"/>
                <w:sz w:val="20"/>
              </w:rPr>
              <w:t>39,0</w:t>
            </w:r>
          </w:p>
        </w:tc>
        <w:tc>
          <w:tcPr>
            <w:tcW w:type="dxa" w:w="1531"/>
            <w:vAlign w:val="center"/>
          </w:tcPr>
          <w:p>
            <w:pPr>
              <w:ind w:firstLine="0"/>
              <w:jc w:val="center"/>
            </w:pPr>
            <w:r/>
            <w:r>
              <w:rPr>
                <w:rFonts w:ascii="Times New Roman" w:hAnsi="Times New Roman"/>
                <w:sz w:val="20"/>
              </w:rPr>
              <w:t>64</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−34,7</w:t>
            </w:r>
          </w:p>
        </w:tc>
        <w:tc>
          <w:tcPr>
            <w:tcW w:type="dxa" w:w="1134"/>
            <w:vAlign w:val="center"/>
          </w:tcPr>
          <w:p>
            <w:pPr>
              <w:ind w:firstLine="0"/>
              <w:jc w:val="center"/>
            </w:pPr>
            <w:r/>
            <w:r>
              <w:rPr>
                <w:rFonts w:ascii="Times New Roman" w:hAnsi="Times New Roman"/>
                <w:sz w:val="20"/>
              </w:rPr>
              <w:t>−50,8</w:t>
            </w:r>
          </w:p>
        </w:tc>
        <w:tc>
          <w:tcPr>
            <w:tcW w:type="dxa" w:w="1361"/>
            <w:vAlign w:val="center"/>
          </w:tcPr>
          <w:p>
            <w:pPr>
              <w:ind w:firstLine="0"/>
              <w:jc w:val="center"/>
            </w:pPr>
            <w:r/>
            <w:r>
              <w:rPr>
                <w:rFonts w:ascii="Times New Roman" w:hAnsi="Times New Roman"/>
                <w:sz w:val="20"/>
              </w:rPr>
              <w:t>69,0</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−33,4</w:t>
            </w:r>
          </w:p>
        </w:tc>
        <w:tc>
          <w:tcPr>
            <w:tcW w:type="dxa" w:w="1134"/>
            <w:vAlign w:val="center"/>
          </w:tcPr>
          <w:p>
            <w:pPr>
              <w:ind w:firstLine="0"/>
              <w:jc w:val="center"/>
            </w:pPr>
            <w:r/>
            <w:r>
              <w:rPr>
                <w:rFonts w:ascii="Times New Roman" w:hAnsi="Times New Roman"/>
                <w:sz w:val="20"/>
              </w:rPr>
              <w:t>−46,3</w:t>
            </w:r>
          </w:p>
        </w:tc>
        <w:tc>
          <w:tcPr>
            <w:tcW w:type="dxa" w:w="1361"/>
            <w:vAlign w:val="center"/>
          </w:tcPr>
          <w:p>
            <w:pPr>
              <w:ind w:firstLine="0"/>
              <w:jc w:val="center"/>
            </w:pPr>
            <w:r/>
            <w:r>
              <w:rPr>
                <w:rFonts w:ascii="Times New Roman" w:hAnsi="Times New Roman"/>
                <w:sz w:val="20"/>
              </w:rPr>
              <w:t>56,5</w:t>
            </w:r>
          </w:p>
        </w:tc>
        <w:tc>
          <w:tcPr>
            <w:tcW w:type="dxa" w:w="1531"/>
            <w:vAlign w:val="center"/>
          </w:tcPr>
          <w:p>
            <w:pPr>
              <w:ind w:firstLine="0"/>
              <w:jc w:val="center"/>
            </w:pPr>
            <w:r/>
            <w:r>
              <w:rPr>
                <w:rFonts w:ascii="Times New Roman" w:hAnsi="Times New Roman"/>
                <w:sz w:val="20"/>
              </w:rPr>
              <w:t>48</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−35,0</w:t>
            </w:r>
          </w:p>
        </w:tc>
        <w:tc>
          <w:tcPr>
            <w:tcW w:type="dxa" w:w="1134"/>
            <w:vAlign w:val="center"/>
          </w:tcPr>
          <w:p>
            <w:pPr>
              <w:ind w:firstLine="0"/>
              <w:jc w:val="center"/>
            </w:pPr>
            <w:r/>
            <w:r>
              <w:rPr>
                <w:rFonts w:ascii="Times New Roman" w:hAnsi="Times New Roman"/>
                <w:sz w:val="20"/>
              </w:rPr>
              <w:t>−51,5</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47,2</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48,3</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−35,6</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72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−40,1</w:t>
            </w:r>
          </w:p>
        </w:tc>
        <w:tc>
          <w:tcPr>
            <w:tcW w:type="dxa" w:w="1134"/>
            <w:vAlign w:val="center"/>
          </w:tcPr>
          <w:p>
            <w:pPr>
              <w:ind w:firstLine="0"/>
              <w:jc w:val="center"/>
            </w:pPr>
            <w:r/>
            <w:r>
              <w:rPr>
                <w:rFonts w:ascii="Times New Roman" w:hAnsi="Times New Roman"/>
                <w:sz w:val="20"/>
              </w:rPr>
              <w:t>−55,6</w:t>
            </w:r>
          </w:p>
        </w:tc>
        <w:tc>
          <w:tcPr>
            <w:tcW w:type="dxa" w:w="1361"/>
            <w:vAlign w:val="center"/>
          </w:tcPr>
          <w:p>
            <w:pPr>
              <w:ind w:firstLine="0"/>
              <w:jc w:val="center"/>
            </w:pPr>
            <w:r/>
            <w:r>
              <w:rPr>
                <w:rFonts w:ascii="Times New Roman" w:hAnsi="Times New Roman"/>
                <w:sz w:val="20"/>
              </w:rPr>
              <w:t>34,2</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−35,9</w:t>
            </w:r>
          </w:p>
        </w:tc>
        <w:tc>
          <w:tcPr>
            <w:tcW w:type="dxa" w:w="1134"/>
            <w:vAlign w:val="center"/>
          </w:tcPr>
          <w:p>
            <w:pPr>
              <w:ind w:firstLine="0"/>
              <w:jc w:val="center"/>
            </w:pPr>
            <w:r/>
            <w:r>
              <w:rPr>
                <w:rFonts w:ascii="Times New Roman" w:hAnsi="Times New Roman"/>
                <w:sz w:val="20"/>
              </w:rPr>
              <w:t>−50,4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−38,2</w:t>
            </w:r>
          </w:p>
        </w:tc>
        <w:tc>
          <w:tcPr>
            <w:tcW w:type="dxa" w:w="1134"/>
            <w:vAlign w:val="center"/>
          </w:tcPr>
          <w:p>
            <w:pPr>
              <w:ind w:firstLine="0"/>
              <w:jc w:val="center"/>
            </w:pPr>
            <w:r/>
            <w:r>
              <w:rPr>
                <w:rFonts w:ascii="Times New Roman" w:hAnsi="Times New Roman"/>
                <w:sz w:val="20"/>
              </w:rPr>
              <w:t>−56,7</w:t>
            </w:r>
          </w:p>
        </w:tc>
        <w:tc>
          <w:tcPr>
            <w:tcW w:type="dxa" w:w="1361"/>
            <w:vAlign w:val="center"/>
          </w:tcPr>
          <w:p>
            <w:pPr>
              <w:ind w:firstLine="0"/>
              <w:jc w:val="center"/>
            </w:pPr>
            <w:r/>
            <w:r>
              <w:rPr>
                <w:rFonts w:ascii="Times New Roman" w:hAnsi="Times New Roman"/>
                <w:sz w:val="20"/>
              </w:rPr>
              <w:t>80,3</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Холодная</w:t>
            </w:r>
          </w:p>
        </w:tc>
      </w:tr>
    </w:tbl>
    <w:p>
      <w:pPr>
        <w:spacing w:after="120"/>
        <w:jc w:val="both"/>
      </w:pPr>
      <w:r>
        <w:t>Жиганск — зона наиболее суровых зим бассейна: медиана зимних температур варьирует от −40,1 °C до −33,1 °C, абсолютный минимум составляет −56,7 °C (зима 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pPr>
        <w:spacing w:after="120"/>
        <w:jc w:val="both"/>
      </w:pPr>
      <w:r>
        <w:t>Подытоживая, наименьшее количество осадков и 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медиана температуры не поднимается выше −17,6 °C.</w:t>
      </w:r>
    </w:p>
    <w:p>
      <w:pPr>
        <w:spacing w:before="240" w:after="120"/>
        <w:ind w:firstLine="0"/>
        <w:jc w:val="left"/>
      </w:pPr>
      <w:r>
        <w:rPr>
          <w:b/>
          <w:sz w:val="26"/>
        </w:rPr>
        <w:t>2.1.3. Данные о температуре грунта</w:t>
      </w:r>
    </w:p>
    <w:p>
      <w:pPr>
        <w:spacing w:after="120"/>
        <w:jc w:val="both"/>
      </w:pPr>
      <w:r>
        <w:t>Данные о температуре грунта на двенадцати стандартных глубинах (2, 5, 10, 20, 40, 80, 120, 160, 200, 240, 280 и 320 см) получены из массива ВНИИГМИ-МЦД, версия 3 (автор — А.Б.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pPr>
        <w:spacing w:after="120"/>
        <w:jc w:val="both"/>
      </w:pPr>
      <w:r>
        <w:rPr>
          <w:rFonts w:ascii="Times New Roman" w:hAnsi="Times New Roman" w:eastAsia="Times New Roman" w:cs="Times New Roman"/>
        </w:rPr>
        <w:t>Особое значение в работе имеет ряд температуры грунта на глубине 3,2 м (320 см) по станции Якутск (форма wr373144a3 архива ВНИИГМИ-МЦД), поскольку именно этот горизонт принимается как индикатор устойчивости верхней зоны теплового влияния многолетнемёрзлых грунтов под свайными фундаментами городской застройки. По данным линейной OLS-регрессии среднегодовых значений за период 1970–2023 гг. среднегодовая температура на этой глубине изменилась с −1,02 °C в 1970-е гг. до +0,15 °C в 2023 г.; линейный тренд потепления составляет +0,221 °C/десятилетие. Нулевая изотерма впервые превышена в 2014 г. (+0,21 °C), а среднее за 2020–2023 гг. находится на уровне +0,17 °C. Деградация многолетнемёрзлых грунтов на глубинах верхней зоны теплового влияния фактически зафиксирована уже в рассматриваемый расчётный период, что согласуется с независимыми данными Глобальной сети мониторинга мерзлоты GTN-P и архивов NSIDC.</w:t>
      </w:r>
    </w:p>
    <w:p>
      <w:pPr>
        <w:spacing w:before="240" w:after="120"/>
        <w:ind w:firstLine="0"/>
        <w:jc w:val="left"/>
      </w:pPr>
      <w:r>
        <w:rPr>
          <w:b/>
          <w:sz w:val="26"/>
        </w:rPr>
        <w:t>2.1.4. Гидрологические данные</w:t>
      </w:r>
    </w:p>
    <w:p>
      <w:pPr>
        <w:spacing w:after="120"/>
        <w:jc w:val="both"/>
      </w:pPr>
      <w:r>
        <w:rPr>
          <w:rFonts w:ascii="Times New Roman" w:hAnsi="Times New Roman" w:eastAsia="Times New Roman" w:cs="Times New Roman"/>
        </w:rPr>
        <w:t>Ежедневные ряды уровней воды в сантиметрах над нулём графика поста получены с открытого портала AllRivers (allrivers.info), агрегирующего данные двух первоисточников: Центра регистра и кадастра по Восточной Сибири (гидропост Киренск) и Дальневосточного управления по гидрометеорологии и мониторингу окружающей среды (посты Витим, Ленск, Олёкминск, Покровск, Табага, Сангар, Якутск, Жиганск). Архив содержит непрерывные наблюдения за 2001–2026 гг.; используется окно 2008–2023 гг. (продольный профиль 2 250 км).</w:t>
      </w:r>
    </w:p>
    <w:p>
      <w:pPr>
        <w:spacing w:after="120"/>
        <w:jc w:val="both"/>
      </w:pPr>
      <w:r>
        <w:rPr>
          <w:rFonts w:ascii="Times New Roman" w:hAnsi="Times New Roman" w:eastAsia="Times New Roman" w:cs="Times New Roman"/>
        </w:rPr>
        <w:t>Из девяти доступных постов для построения сопоставительного анализа отобраны пять опорных, образующих репрезентативный продольный профиль протяжённостью около 1 350 км. Целевым створом является гидропост Якутск; верхние посты (Ленск, Олёкминск, Покровск) выступают опережающими предикторами паводковой волны, обеспечивая 3–8 суток заблаговременности; пост Жиганск контролирует транзит волны в нижнее течение. Четыре поста, имеющиеся в базе данных, в расчётный массив не включены: Витим является устьевым постом одноимённого правого притока и отражает смешанный сигнал Лены и Витима; посты Табага и Сангар дублируют гидрологическую информацию, уже охваченную постами Покровск и Жиганск, и не вносят независимого вклада в продольный профиль.</w:t>
      </w:r>
    </w:p>
    <w:p>
      <w:pPr>
        <w:spacing w:before="120" w:after="60"/>
        <w:ind w:firstLine="0"/>
        <w:jc w:val="left"/>
      </w:pPr>
      <w:r>
        <w:rPr>
          <w:b w:val="0"/>
          <w:i w:val="0"/>
          <w:sz w:val="22"/>
        </w:rPr>
        <w:t>Таблица 2.12 — Опорные гидрологические посты, используемые в анализе (2008–2023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9D9D9"/>
            <w:vAlign w:val="center"/>
          </w:tcPr>
          <w:p>
            <w:pPr>
              <w:ind w:firstLine="0"/>
              <w:jc w:val="center"/>
            </w:pPr>
            <w:r/>
            <w:r>
              <w:rPr>
                <w:rFonts w:ascii="Times New Roman" w:hAnsi="Times New Roman"/>
                <w:b/>
                <w:sz w:val="20"/>
              </w:rPr>
              <w:t>№</w:t>
            </w:r>
          </w:p>
        </w:tc>
        <w:tc>
          <w:tcPr>
            <w:tcW w:type="dxa" w:w="1474"/>
            <w:shd w:val="clear" w:color="auto" w:fill="D9D9D9"/>
            <w:vAlign w:val="center"/>
          </w:tcPr>
          <w:p>
            <w:pPr>
              <w:ind w:firstLine="0"/>
              <w:jc w:val="center"/>
            </w:pPr>
            <w:r/>
            <w:r>
              <w:rPr>
                <w:rFonts w:ascii="Times New Roman" w:hAnsi="Times New Roman"/>
                <w:b/>
                <w:sz w:val="20"/>
              </w:rPr>
              <w:t>Гидропост</w:t>
            </w:r>
          </w:p>
        </w:tc>
        <w:tc>
          <w:tcPr>
            <w:tcW w:type="dxa" w:w="1871"/>
            <w:shd w:val="clear" w:color="auto" w:fill="D9D9D9"/>
            <w:vAlign w:val="center"/>
          </w:tcPr>
          <w:p>
            <w:pPr>
              <w:ind w:firstLine="0"/>
              <w:jc w:val="center"/>
            </w:pPr>
            <w:r/>
            <w:r>
              <w:rPr>
                <w:rFonts w:ascii="Times New Roman" w:hAnsi="Times New Roman"/>
                <w:b/>
                <w:sz w:val="20"/>
              </w:rPr>
              <w:t>Положение относительно Якутска</w:t>
            </w:r>
          </w:p>
        </w:tc>
        <w:tc>
          <w:tcPr>
            <w:tcW w:type="dxa" w:w="3231"/>
            <w:shd w:val="clear" w:color="auto" w:fill="D9D9D9"/>
            <w:vAlign w:val="center"/>
          </w:tcPr>
          <w:p>
            <w:pPr>
              <w:ind w:firstLine="0"/>
              <w:jc w:val="center"/>
            </w:pPr>
            <w:r/>
            <w:r>
              <w:rPr>
                <w:rFonts w:ascii="Times New Roman" w:hAnsi="Times New Roman"/>
                <w:b/>
                <w:sz w:val="20"/>
              </w:rPr>
              <w:t>Роль в анализе</w:t>
            </w:r>
          </w:p>
        </w:tc>
        <w:tc>
          <w:tcPr>
            <w:tcW w:type="dxa" w:w="1701"/>
            <w:shd w:val="clear" w:color="auto" w:fill="D9D9D9"/>
            <w:vAlign w:val="center"/>
          </w:tcPr>
          <w:p>
            <w:pPr>
              <w:ind w:firstLine="0"/>
              <w:jc w:val="center"/>
            </w:pPr>
            <w:r/>
            <w:r>
              <w:rPr>
                <w:rFonts w:ascii="Times New Roman" w:hAnsi="Times New Roman"/>
                <w:b/>
                <w:sz w:val="20"/>
              </w:rPr>
              <w:t>Средний пик половодья, см</w:t>
            </w:r>
          </w:p>
        </w:tc>
      </w:tr>
      <w:tr>
        <w:tc>
          <w:tcPr>
            <w:tcW w:type="dxa" w:w="567"/>
            <w:vAlign w:val="center"/>
          </w:tcPr>
          <w:p>
            <w:pPr>
              <w:ind w:firstLine="0"/>
              <w:jc w:val="center"/>
            </w:pPr>
            <w:r/>
            <w:r>
              <w:rPr>
                <w:rFonts w:ascii="Times New Roman" w:hAnsi="Times New Roman"/>
                <w:sz w:val="20"/>
              </w:rPr>
              <w:t>1</w:t>
            </w:r>
          </w:p>
        </w:tc>
        <w:tc>
          <w:tcPr>
            <w:tcW w:type="dxa" w:w="1474"/>
            <w:vAlign w:val="center"/>
          </w:tcPr>
          <w:p>
            <w:pPr>
              <w:ind w:firstLine="0"/>
              <w:jc w:val="center"/>
            </w:pPr>
            <w:r/>
            <w:r>
              <w:rPr>
                <w:rFonts w:ascii="Times New Roman" w:hAnsi="Times New Roman"/>
                <w:sz w:val="20"/>
              </w:rPr>
              <w:t>гп Ленск</w:t>
            </w:r>
          </w:p>
        </w:tc>
        <w:tc>
          <w:tcPr>
            <w:tcW w:type="dxa" w:w="1871"/>
            <w:vAlign w:val="center"/>
          </w:tcPr>
          <w:p>
            <w:pPr>
              <w:ind w:firstLine="0"/>
              <w:jc w:val="center"/>
            </w:pPr>
            <w:r/>
            <w:r>
              <w:rPr>
                <w:rFonts w:ascii="Times New Roman" w:hAnsi="Times New Roman"/>
                <w:sz w:val="20"/>
              </w:rPr>
              <w:t>+850 км (выше)</w:t>
            </w:r>
          </w:p>
        </w:tc>
        <w:tc>
          <w:tcPr>
            <w:tcW w:type="dxa" w:w="3231"/>
            <w:vAlign w:val="center"/>
          </w:tcPr>
          <w:p>
            <w:pPr>
              <w:ind w:firstLine="0"/>
              <w:jc w:val="center"/>
            </w:pPr>
            <w:r/>
            <w:r>
              <w:rPr>
                <w:rFonts w:ascii="Times New Roman" w:hAnsi="Times New Roman"/>
                <w:sz w:val="20"/>
              </w:rPr>
              <w:t>Дальний предвестник; окно упреждения 5–6 сут</w:t>
            </w:r>
          </w:p>
        </w:tc>
        <w:tc>
          <w:tcPr>
            <w:tcW w:type="dxa" w:w="1701"/>
            <w:vAlign w:val="center"/>
          </w:tcPr>
          <w:p>
            <w:pPr>
              <w:ind w:firstLine="0"/>
              <w:jc w:val="center"/>
            </w:pPr>
            <w:r/>
            <w:r>
              <w:rPr>
                <w:rFonts w:ascii="Times New Roman" w:hAnsi="Times New Roman"/>
                <w:sz w:val="20"/>
              </w:rPr>
              <w:t>1009</w:t>
            </w:r>
          </w:p>
        </w:tc>
      </w:tr>
      <w:tr>
        <w:tc>
          <w:tcPr>
            <w:tcW w:type="dxa" w:w="567"/>
            <w:vAlign w:val="center"/>
          </w:tcPr>
          <w:p>
            <w:pPr>
              <w:ind w:firstLine="0"/>
              <w:jc w:val="center"/>
            </w:pPr>
            <w:r/>
            <w:r>
              <w:rPr>
                <w:rFonts w:ascii="Times New Roman" w:hAnsi="Times New Roman"/>
                <w:sz w:val="20"/>
              </w:rPr>
              <w:t>2</w:t>
            </w:r>
          </w:p>
        </w:tc>
        <w:tc>
          <w:tcPr>
            <w:tcW w:type="dxa" w:w="1474"/>
            <w:vAlign w:val="center"/>
          </w:tcPr>
          <w:p>
            <w:pPr>
              <w:ind w:firstLine="0"/>
              <w:jc w:val="center"/>
            </w:pPr>
            <w:r/>
            <w:r>
              <w:rPr>
                <w:rFonts w:ascii="Times New Roman" w:hAnsi="Times New Roman"/>
                <w:sz w:val="20"/>
              </w:rPr>
              <w:t>гп Олёкминск</w:t>
            </w:r>
          </w:p>
        </w:tc>
        <w:tc>
          <w:tcPr>
            <w:tcW w:type="dxa" w:w="1871"/>
            <w:vAlign w:val="center"/>
          </w:tcPr>
          <w:p>
            <w:pPr>
              <w:ind w:firstLine="0"/>
              <w:jc w:val="center"/>
            </w:pPr>
            <w:r/>
            <w:r>
              <w:rPr>
                <w:rFonts w:ascii="Times New Roman" w:hAnsi="Times New Roman"/>
                <w:sz w:val="20"/>
              </w:rPr>
              <w:t>+410 км (выше)</w:t>
            </w:r>
          </w:p>
        </w:tc>
        <w:tc>
          <w:tcPr>
            <w:tcW w:type="dxa" w:w="3231"/>
            <w:vAlign w:val="center"/>
          </w:tcPr>
          <w:p>
            <w:pPr>
              <w:ind w:firstLine="0"/>
              <w:jc w:val="center"/>
            </w:pPr>
            <w:r/>
            <w:r>
              <w:rPr>
                <w:rFonts w:ascii="Times New Roman" w:hAnsi="Times New Roman"/>
                <w:sz w:val="20"/>
              </w:rPr>
              <w:t>Средний предвестник; окно упреждения 3–4 сут</w:t>
            </w:r>
          </w:p>
        </w:tc>
        <w:tc>
          <w:tcPr>
            <w:tcW w:type="dxa" w:w="1701"/>
            <w:vAlign w:val="center"/>
          </w:tcPr>
          <w:p>
            <w:pPr>
              <w:ind w:firstLine="0"/>
              <w:jc w:val="center"/>
            </w:pPr>
            <w:r/>
            <w:r>
              <w:rPr>
                <w:rFonts w:ascii="Times New Roman" w:hAnsi="Times New Roman"/>
                <w:sz w:val="20"/>
              </w:rPr>
              <w:t>863</w:t>
            </w:r>
          </w:p>
        </w:tc>
      </w:tr>
      <w:tr>
        <w:tc>
          <w:tcPr>
            <w:tcW w:type="dxa" w:w="567"/>
            <w:vAlign w:val="center"/>
          </w:tcPr>
          <w:p>
            <w:pPr>
              <w:ind w:firstLine="0"/>
              <w:jc w:val="center"/>
            </w:pPr>
            <w:r/>
            <w:r>
              <w:rPr>
                <w:rFonts w:ascii="Times New Roman" w:hAnsi="Times New Roman"/>
                <w:sz w:val="20"/>
              </w:rPr>
              <w:t>3</w:t>
            </w:r>
          </w:p>
        </w:tc>
        <w:tc>
          <w:tcPr>
            <w:tcW w:type="dxa" w:w="1474"/>
            <w:vAlign w:val="center"/>
          </w:tcPr>
          <w:p>
            <w:pPr>
              <w:ind w:firstLine="0"/>
              <w:jc w:val="center"/>
            </w:pPr>
            <w:r/>
            <w:r>
              <w:rPr>
                <w:rFonts w:ascii="Times New Roman" w:hAnsi="Times New Roman"/>
                <w:sz w:val="20"/>
              </w:rPr>
              <w:t>гп Покровск</w:t>
            </w:r>
          </w:p>
        </w:tc>
        <w:tc>
          <w:tcPr>
            <w:tcW w:type="dxa" w:w="1871"/>
            <w:vAlign w:val="center"/>
          </w:tcPr>
          <w:p>
            <w:pPr>
              <w:ind w:firstLine="0"/>
              <w:jc w:val="center"/>
            </w:pPr>
            <w:r/>
            <w:r>
              <w:rPr>
                <w:rFonts w:ascii="Times New Roman" w:hAnsi="Times New Roman"/>
                <w:sz w:val="20"/>
              </w:rPr>
              <w:t>+65 км (выше)</w:t>
            </w:r>
          </w:p>
        </w:tc>
        <w:tc>
          <w:tcPr>
            <w:tcW w:type="dxa" w:w="3231"/>
            <w:vAlign w:val="center"/>
          </w:tcPr>
          <w:p>
            <w:pPr>
              <w:ind w:firstLine="0"/>
              <w:jc w:val="center"/>
            </w:pPr>
            <w:r/>
            <w:r>
              <w:rPr>
                <w:rFonts w:ascii="Times New Roman" w:hAnsi="Times New Roman"/>
                <w:sz w:val="20"/>
              </w:rPr>
              <w:t>Ближний предвестник; заблаговременность 0,5–1 сут</w:t>
            </w:r>
          </w:p>
        </w:tc>
        <w:tc>
          <w:tcPr>
            <w:tcW w:type="dxa" w:w="1701"/>
            <w:vAlign w:val="center"/>
          </w:tcPr>
          <w:p>
            <w:pPr>
              <w:ind w:firstLine="0"/>
              <w:jc w:val="center"/>
            </w:pPr>
            <w:r/>
            <w:r>
              <w:rPr>
                <w:rFonts w:ascii="Times New Roman" w:hAnsi="Times New Roman"/>
                <w:sz w:val="20"/>
              </w:rPr>
              <w:t>814</w:t>
            </w:r>
          </w:p>
        </w:tc>
      </w:tr>
      <w:tr>
        <w:tc>
          <w:tcPr>
            <w:tcW w:type="dxa" w:w="567"/>
            <w:vAlign w:val="center"/>
          </w:tcPr>
          <w:p>
            <w:pPr>
              <w:ind w:firstLine="0"/>
              <w:jc w:val="center"/>
            </w:pPr>
            <w:r/>
            <w:r>
              <w:rPr>
                <w:rFonts w:ascii="Times New Roman" w:hAnsi="Times New Roman"/>
                <w:sz w:val="20"/>
              </w:rPr>
              <w:t>4</w:t>
            </w:r>
          </w:p>
        </w:tc>
        <w:tc>
          <w:tcPr>
            <w:tcW w:type="dxa" w:w="1474"/>
            <w:vAlign w:val="center"/>
          </w:tcPr>
          <w:p>
            <w:pPr>
              <w:ind w:firstLine="0"/>
              <w:jc w:val="center"/>
            </w:pPr>
            <w:r/>
            <w:r>
              <w:rPr>
                <w:rFonts w:ascii="Times New Roman" w:hAnsi="Times New Roman"/>
                <w:sz w:val="20"/>
              </w:rPr>
              <w:t>гп Якутск</w:t>
            </w:r>
          </w:p>
        </w:tc>
        <w:tc>
          <w:tcPr>
            <w:tcW w:type="dxa" w:w="1871"/>
            <w:vAlign w:val="center"/>
          </w:tcPr>
          <w:p>
            <w:pPr>
              <w:ind w:firstLine="0"/>
              <w:jc w:val="center"/>
            </w:pPr>
            <w:r/>
            <w:r>
              <w:rPr>
                <w:rFonts w:ascii="Times New Roman" w:hAnsi="Times New Roman"/>
                <w:sz w:val="20"/>
              </w:rPr>
              <w:t>0 км</w:t>
            </w:r>
          </w:p>
        </w:tc>
        <w:tc>
          <w:tcPr>
            <w:tcW w:type="dxa" w:w="3231"/>
            <w:vAlign w:val="center"/>
          </w:tcPr>
          <w:p>
            <w:pPr>
              <w:ind w:firstLine="0"/>
              <w:jc w:val="center"/>
            </w:pPr>
            <w:r/>
            <w:r>
              <w:rPr>
                <w:rFonts w:ascii="Times New Roman" w:hAnsi="Times New Roman"/>
                <w:sz w:val="20"/>
              </w:rPr>
              <w:t>Целевой створ — объект прогнозирования ЧС</w:t>
            </w:r>
          </w:p>
        </w:tc>
        <w:tc>
          <w:tcPr>
            <w:tcW w:type="dxa" w:w="1701"/>
            <w:vAlign w:val="center"/>
          </w:tcPr>
          <w:p>
            <w:pPr>
              <w:ind w:firstLine="0"/>
              <w:jc w:val="center"/>
            </w:pPr>
            <w:r/>
            <w:r>
              <w:rPr>
                <w:rFonts w:ascii="Times New Roman" w:hAnsi="Times New Roman"/>
                <w:sz w:val="20"/>
              </w:rPr>
              <w:t>648</w:t>
            </w:r>
          </w:p>
        </w:tc>
      </w:tr>
      <w:tr>
        <w:tc>
          <w:tcPr>
            <w:tcW w:type="dxa" w:w="567"/>
            <w:vAlign w:val="center"/>
          </w:tcPr>
          <w:p>
            <w:pPr>
              <w:ind w:firstLine="0"/>
              <w:jc w:val="center"/>
            </w:pPr>
            <w:r/>
            <w:r>
              <w:rPr>
                <w:rFonts w:ascii="Times New Roman" w:hAnsi="Times New Roman"/>
                <w:sz w:val="20"/>
              </w:rPr>
              <w:t>5</w:t>
            </w:r>
          </w:p>
        </w:tc>
        <w:tc>
          <w:tcPr>
            <w:tcW w:type="dxa" w:w="1474"/>
            <w:vAlign w:val="center"/>
          </w:tcPr>
          <w:p>
            <w:pPr>
              <w:ind w:firstLine="0"/>
              <w:jc w:val="center"/>
            </w:pPr>
            <w:r/>
            <w:r>
              <w:rPr>
                <w:rFonts w:ascii="Times New Roman" w:hAnsi="Times New Roman"/>
                <w:sz w:val="20"/>
              </w:rPr>
              <w:t>гп Жиганск</w:t>
            </w:r>
          </w:p>
        </w:tc>
        <w:tc>
          <w:tcPr>
            <w:tcW w:type="dxa" w:w="1871"/>
            <w:vAlign w:val="center"/>
          </w:tcPr>
          <w:p>
            <w:pPr>
              <w:ind w:firstLine="0"/>
              <w:jc w:val="center"/>
            </w:pPr>
            <w:r/>
            <w:r>
              <w:rPr>
                <w:rFonts w:ascii="Times New Roman" w:hAnsi="Times New Roman"/>
                <w:sz w:val="20"/>
              </w:rPr>
              <w:t>≈ −500 км (ниже)</w:t>
            </w:r>
          </w:p>
        </w:tc>
        <w:tc>
          <w:tcPr>
            <w:tcW w:type="dxa" w:w="3231"/>
            <w:vAlign w:val="center"/>
          </w:tcPr>
          <w:p>
            <w:pPr>
              <w:ind w:firstLine="0"/>
              <w:jc w:val="center"/>
            </w:pPr>
            <w:r/>
            <w:r>
              <w:rPr>
                <w:rFonts w:ascii="Times New Roman" w:hAnsi="Times New Roman"/>
                <w:sz w:val="20"/>
              </w:rPr>
              <w:t>Контроль транзита волны в нижнее течение</w:t>
            </w:r>
          </w:p>
        </w:tc>
        <w:tc>
          <w:tcPr>
            <w:tcW w:type="dxa" w:w="1701"/>
            <w:vAlign w:val="center"/>
          </w:tcPr>
          <w:p>
            <w:pPr>
              <w:ind w:firstLine="0"/>
              <w:jc w:val="center"/>
            </w:pPr>
            <w:r/>
            <w:r>
              <w:rPr>
                <w:rFonts w:ascii="Times New Roman" w:hAnsi="Times New Roman"/>
                <w:sz w:val="20"/>
              </w:rPr>
              <w:t>1110</w:t>
            </w:r>
          </w:p>
        </w:tc>
      </w:tr>
    </w:tbl>
    <w:p>
      <w:pPr>
        <w:spacing w:after="120"/>
        <w:jc w:val="both"/>
      </w:pPr>
      <w:r>
        <w:t>По каждому из опорных постов за период 2008–2023 гг. рассчитан пик весеннего половодья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pPr>
        <w:spacing w:before="120" w:after="60"/>
        <w:ind w:firstLine="0"/>
        <w:jc w:val="left"/>
      </w:pPr>
      <w:r>
        <w:rPr>
          <w:b w:val="0"/>
          <w:i w:val="0"/>
          <w:sz w:val="22"/>
        </w:rPr>
        <w:t>Таблица 2.13 — Весенние пики уровней воды (см) и даты их наступления по опорным гидропостам (2008–2023 гг.)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D9D9"/>
            <w:vAlign w:val="center"/>
          </w:tcPr>
          <w:p>
            <w:pPr>
              <w:ind w:firstLine="0"/>
              <w:jc w:val="center"/>
            </w:pPr>
            <w:r/>
            <w:r>
              <w:rPr>
                <w:rFonts w:ascii="Times New Roman" w:hAnsi="Times New Roman"/>
                <w:b/>
                <w:sz w:val="18"/>
              </w:rPr>
              <w:t>Год</w:t>
            </w:r>
          </w:p>
        </w:tc>
        <w:tc>
          <w:tcPr>
            <w:tcW w:type="dxa" w:w="803"/>
            <w:shd w:val="clear" w:color="auto" w:fill="D9D9D9"/>
            <w:vAlign w:val="center"/>
          </w:tcPr>
          <w:p>
            <w:pPr>
              <w:ind w:firstLine="0"/>
              <w:jc w:val="center"/>
            </w:pPr>
            <w:r/>
            <w:r>
              <w:rPr>
                <w:rFonts w:ascii="Times New Roman" w:hAnsi="Times New Roman"/>
                <w:b/>
                <w:sz w:val="18"/>
              </w:rPr>
              <w:t>Ленск</w:t>
              <w:br/>
              <w:t>дата</w:t>
            </w:r>
          </w:p>
        </w:tc>
        <w:tc>
          <w:tcPr>
            <w:tcW w:type="dxa" w:w="803"/>
            <w:shd w:val="clear" w:color="auto" w:fill="D9D9D9"/>
            <w:vAlign w:val="center"/>
          </w:tcPr>
          <w:p>
            <w:pPr>
              <w:ind w:firstLine="0"/>
              <w:jc w:val="center"/>
            </w:pPr>
            <w:r/>
            <w:r>
              <w:rPr>
                <w:rFonts w:ascii="Times New Roman" w:hAnsi="Times New Roman"/>
                <w:b/>
                <w:sz w:val="18"/>
              </w:rPr>
              <w:t>Ленск</w:t>
              <w:br/>
              <w:t>см</w:t>
            </w:r>
          </w:p>
        </w:tc>
        <w:tc>
          <w:tcPr>
            <w:tcW w:type="dxa" w:w="803"/>
            <w:shd w:val="clear" w:color="auto" w:fill="D9D9D9"/>
            <w:vAlign w:val="center"/>
          </w:tcPr>
          <w:p>
            <w:pPr>
              <w:ind w:firstLine="0"/>
              <w:jc w:val="center"/>
            </w:pPr>
            <w:r/>
            <w:r>
              <w:rPr>
                <w:rFonts w:ascii="Times New Roman" w:hAnsi="Times New Roman"/>
                <w:b/>
                <w:sz w:val="18"/>
              </w:rPr>
              <w:t>Олёкминск</w:t>
              <w:br/>
              <w:t>дата</w:t>
            </w:r>
          </w:p>
        </w:tc>
        <w:tc>
          <w:tcPr>
            <w:tcW w:type="dxa" w:w="803"/>
            <w:shd w:val="clear" w:color="auto" w:fill="D9D9D9"/>
            <w:vAlign w:val="center"/>
          </w:tcPr>
          <w:p>
            <w:pPr>
              <w:ind w:firstLine="0"/>
              <w:jc w:val="center"/>
            </w:pPr>
            <w:r/>
            <w:r>
              <w:rPr>
                <w:rFonts w:ascii="Times New Roman" w:hAnsi="Times New Roman"/>
                <w:b/>
                <w:sz w:val="18"/>
              </w:rPr>
              <w:t>Олёкминск</w:t>
              <w:br/>
              <w:t>см</w:t>
            </w:r>
          </w:p>
        </w:tc>
        <w:tc>
          <w:tcPr>
            <w:tcW w:type="dxa" w:w="803"/>
            <w:shd w:val="clear" w:color="auto" w:fill="D9D9D9"/>
            <w:vAlign w:val="center"/>
          </w:tcPr>
          <w:p>
            <w:pPr>
              <w:ind w:firstLine="0"/>
              <w:jc w:val="center"/>
            </w:pPr>
            <w:r/>
            <w:r>
              <w:rPr>
                <w:rFonts w:ascii="Times New Roman" w:hAnsi="Times New Roman"/>
                <w:b/>
                <w:sz w:val="18"/>
              </w:rPr>
              <w:t>Якутск</w:t>
              <w:br/>
              <w:t>дата</w:t>
            </w:r>
          </w:p>
        </w:tc>
        <w:tc>
          <w:tcPr>
            <w:tcW w:type="dxa" w:w="803"/>
            <w:shd w:val="clear" w:color="auto" w:fill="D9D9D9"/>
            <w:vAlign w:val="center"/>
          </w:tcPr>
          <w:p>
            <w:pPr>
              <w:ind w:firstLine="0"/>
              <w:jc w:val="center"/>
            </w:pPr>
            <w:r/>
            <w:r>
              <w:rPr>
                <w:rFonts w:ascii="Times New Roman" w:hAnsi="Times New Roman"/>
                <w:b/>
                <w:sz w:val="18"/>
              </w:rPr>
              <w:t>Якутск</w:t>
              <w:br/>
              <w:t>см</w:t>
            </w:r>
          </w:p>
        </w:tc>
        <w:tc>
          <w:tcPr>
            <w:tcW w:type="dxa" w:w="803"/>
            <w:shd w:val="clear" w:color="auto" w:fill="D9D9D9"/>
            <w:vAlign w:val="center"/>
          </w:tcPr>
          <w:p>
            <w:pPr>
              <w:ind w:firstLine="0"/>
              <w:jc w:val="center"/>
            </w:pPr>
            <w:r/>
            <w:r>
              <w:rPr>
                <w:rFonts w:ascii="Times New Roman" w:hAnsi="Times New Roman"/>
                <w:b/>
                <w:sz w:val="18"/>
              </w:rPr>
              <w:t>Жиганск</w:t>
              <w:br/>
              <w:t>дата</w:t>
            </w:r>
          </w:p>
        </w:tc>
        <w:tc>
          <w:tcPr>
            <w:tcW w:type="dxa" w:w="803"/>
            <w:shd w:val="clear" w:color="auto" w:fill="D9D9D9"/>
            <w:vAlign w:val="center"/>
          </w:tcPr>
          <w:p>
            <w:pPr>
              <w:ind w:firstLine="0"/>
              <w:jc w:val="center"/>
            </w:pPr>
            <w:r/>
            <w:r>
              <w:rPr>
                <w:rFonts w:ascii="Times New Roman" w:hAnsi="Times New Roman"/>
                <w:b/>
                <w:sz w:val="18"/>
              </w:rPr>
              <w:t>Жиганск</w:t>
              <w:br/>
              <w:t>см</w:t>
            </w:r>
          </w:p>
        </w:tc>
        <w:tc>
          <w:tcPr>
            <w:tcW w:type="dxa" w:w="803"/>
            <w:shd w:val="clear" w:color="auto" w:fill="D9D9D9"/>
            <w:vAlign w:val="center"/>
          </w:tcPr>
          <w:p>
            <w:pPr>
              <w:ind w:firstLine="0"/>
              <w:jc w:val="center"/>
            </w:pPr>
            <w:r/>
            <w:r>
              <w:rPr>
                <w:rFonts w:ascii="Times New Roman" w:hAnsi="Times New Roman"/>
                <w:b/>
                <w:sz w:val="18"/>
              </w:rPr>
              <w:t>Лаг Ленск→Якутск, сут</w:t>
            </w:r>
          </w:p>
        </w:tc>
        <w:tc>
          <w:tcPr>
            <w:tcW w:type="dxa" w:w="803"/>
            <w:shd w:val="clear" w:color="auto" w:fill="D9D9D9"/>
            <w:vAlign w:val="center"/>
          </w:tcPr>
          <w:p>
            <w:pPr>
              <w:ind w:firstLine="0"/>
              <w:jc w:val="center"/>
            </w:pPr>
            <w:r/>
            <w:r>
              <w:rPr>
                <w:rFonts w:ascii="Times New Roman" w:hAnsi="Times New Roman"/>
                <w:b/>
                <w:sz w:val="18"/>
              </w:rPr>
              <w:t>Лаг Олёкм.→Якутск, сут</w:t>
            </w:r>
          </w:p>
        </w:tc>
        <w:tc>
          <w:tcPr>
            <w:tcW w:type="dxa" w:w="803"/>
            <w:shd w:val="clear" w:color="auto" w:fill="D9D9D9"/>
            <w:vAlign w:val="center"/>
          </w:tcPr>
          <w:p>
            <w:pPr>
              <w:ind w:firstLine="0"/>
              <w:jc w:val="center"/>
            </w:pPr>
            <w:r/>
            <w:r>
              <w:rPr>
                <w:rFonts w:ascii="Times New Roman" w:hAnsi="Times New Roman"/>
                <w:b/>
                <w:sz w:val="18"/>
              </w:rPr>
              <w:t>Лаг Якутск→Жиганск, сут</w:t>
            </w:r>
          </w:p>
        </w:tc>
      </w:tr>
      <w:tr>
        <w:tc>
          <w:tcPr>
            <w:tcW w:type="dxa" w:w="803"/>
            <w:vAlign w:val="center"/>
          </w:tcPr>
          <w:p>
            <w:pPr>
              <w:ind w:firstLine="0"/>
              <w:jc w:val="center"/>
            </w:pPr>
            <w:r/>
            <w:r>
              <w:rPr>
                <w:rFonts w:ascii="Times New Roman" w:hAnsi="Times New Roman"/>
                <w:sz w:val="18"/>
              </w:rPr>
              <w:t>2008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858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779</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651</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1241</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2009</w:t>
            </w:r>
          </w:p>
        </w:tc>
        <w:tc>
          <w:tcPr>
            <w:tcW w:type="dxa" w:w="803"/>
            <w:vAlign w:val="center"/>
          </w:tcPr>
          <w:p>
            <w:pPr>
              <w:ind w:firstLine="0"/>
              <w:jc w:val="center"/>
            </w:pPr>
            <w:r/>
            <w:r>
              <w:rPr>
                <w:rFonts w:ascii="Times New Roman" w:hAnsi="Times New Roman"/>
                <w:sz w:val="18"/>
              </w:rPr>
              <w:t>05.05</w:t>
            </w:r>
          </w:p>
        </w:tc>
        <w:tc>
          <w:tcPr>
            <w:tcW w:type="dxa" w:w="803"/>
            <w:vAlign w:val="center"/>
          </w:tcPr>
          <w:p>
            <w:pPr>
              <w:ind w:firstLine="0"/>
              <w:jc w:val="center"/>
            </w:pPr>
            <w:r/>
            <w:r>
              <w:rPr>
                <w:rFonts w:ascii="Times New Roman" w:hAnsi="Times New Roman"/>
                <w:sz w:val="18"/>
              </w:rPr>
              <w:t>1353</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920</w:t>
            </w:r>
          </w:p>
        </w:tc>
        <w:tc>
          <w:tcPr>
            <w:tcW w:type="dxa" w:w="803"/>
            <w:vAlign w:val="center"/>
          </w:tcPr>
          <w:p>
            <w:pPr>
              <w:ind w:firstLine="0"/>
              <w:jc w:val="center"/>
            </w:pPr>
            <w:r/>
            <w:r>
              <w:rPr>
                <w:rFonts w:ascii="Times New Roman" w:hAnsi="Times New Roman"/>
                <w:sz w:val="18"/>
              </w:rPr>
              <w:t>14.06</w:t>
            </w:r>
          </w:p>
        </w:tc>
        <w:tc>
          <w:tcPr>
            <w:tcW w:type="dxa" w:w="803"/>
            <w:vAlign w:val="center"/>
          </w:tcPr>
          <w:p>
            <w:pPr>
              <w:ind w:firstLine="0"/>
              <w:jc w:val="center"/>
            </w:pPr>
            <w:r/>
            <w:r>
              <w:rPr>
                <w:rFonts w:ascii="Times New Roman" w:hAnsi="Times New Roman"/>
                <w:sz w:val="18"/>
              </w:rPr>
              <w:t>558</w:t>
            </w:r>
          </w:p>
        </w:tc>
        <w:tc>
          <w:tcPr>
            <w:tcW w:type="dxa" w:w="803"/>
            <w:vAlign w:val="center"/>
          </w:tcPr>
          <w:p>
            <w:pPr>
              <w:ind w:firstLine="0"/>
              <w:jc w:val="center"/>
            </w:pPr>
            <w:r/>
            <w:r>
              <w:rPr>
                <w:rFonts w:ascii="Times New Roman" w:hAnsi="Times New Roman"/>
                <w:sz w:val="18"/>
              </w:rPr>
              <w:t>28.05</w:t>
            </w:r>
          </w:p>
        </w:tc>
        <w:tc>
          <w:tcPr>
            <w:tcW w:type="dxa" w:w="803"/>
            <w:vAlign w:val="center"/>
          </w:tcPr>
          <w:p>
            <w:pPr>
              <w:ind w:firstLine="0"/>
              <w:jc w:val="center"/>
            </w:pPr>
            <w:r/>
            <w:r>
              <w:rPr>
                <w:rFonts w:ascii="Times New Roman" w:hAnsi="Times New Roman"/>
                <w:sz w:val="18"/>
              </w:rPr>
              <w:t>1039</w:t>
            </w:r>
          </w:p>
        </w:tc>
        <w:tc>
          <w:tcPr>
            <w:tcW w:type="dxa" w:w="803"/>
            <w:vAlign w:val="center"/>
          </w:tcPr>
          <w:p>
            <w:pPr>
              <w:ind w:firstLine="0"/>
              <w:jc w:val="center"/>
            </w:pPr>
            <w:r/>
            <w:r>
              <w:rPr>
                <w:rFonts w:ascii="Times New Roman" w:hAnsi="Times New Roman"/>
                <w:sz w:val="18"/>
              </w:rPr>
              <w:t>40</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−17</w:t>
            </w:r>
          </w:p>
        </w:tc>
      </w:tr>
      <w:tr>
        <w:tc>
          <w:tcPr>
            <w:tcW w:type="dxa" w:w="803"/>
            <w:vAlign w:val="center"/>
            <w:shd w:val="clear" w:color="auto" w:fill="E2EFDA"/>
          </w:tcPr>
          <w:p>
            <w:pPr>
              <w:ind w:firstLine="0"/>
              <w:jc w:val="center"/>
            </w:pPr>
            <w:r/>
            <w:r>
              <w:rPr>
                <w:rFonts w:ascii="Times New Roman" w:hAnsi="Times New Roman"/>
                <w:sz w:val="18"/>
              </w:rPr>
              <w:t>2010</w:t>
            </w:r>
          </w:p>
        </w:tc>
        <w:tc>
          <w:tcPr>
            <w:tcW w:type="dxa" w:w="803"/>
            <w:vAlign w:val="center"/>
            <w:shd w:val="clear" w:color="auto" w:fill="E2EFDA"/>
          </w:tcPr>
          <w:p>
            <w:pPr>
              <w:ind w:firstLine="0"/>
              <w:jc w:val="center"/>
            </w:pPr>
            <w:r/>
            <w:r>
              <w:rPr>
                <w:rFonts w:ascii="Times New Roman" w:hAnsi="Times New Roman"/>
                <w:sz w:val="18"/>
              </w:rPr>
              <w:t>15.05</w:t>
            </w:r>
          </w:p>
        </w:tc>
        <w:tc>
          <w:tcPr>
            <w:tcW w:type="dxa" w:w="803"/>
            <w:vAlign w:val="center"/>
            <w:shd w:val="clear" w:color="auto" w:fill="E2EFDA"/>
          </w:tcPr>
          <w:p>
            <w:pPr>
              <w:ind w:firstLine="0"/>
              <w:jc w:val="center"/>
            </w:pPr>
            <w:r/>
            <w:r>
              <w:rPr>
                <w:rFonts w:ascii="Times New Roman" w:hAnsi="Times New Roman"/>
                <w:sz w:val="18"/>
              </w:rPr>
              <w:t>1210</w:t>
            </w:r>
          </w:p>
        </w:tc>
        <w:tc>
          <w:tcPr>
            <w:tcW w:type="dxa" w:w="803"/>
            <w:vAlign w:val="center"/>
            <w:shd w:val="clear" w:color="auto" w:fill="E2EFDA"/>
          </w:tcPr>
          <w:p>
            <w:pPr>
              <w:ind w:firstLine="0"/>
              <w:jc w:val="center"/>
            </w:pPr>
            <w:r/>
            <w:r>
              <w:rPr>
                <w:rFonts w:ascii="Times New Roman" w:hAnsi="Times New Roman"/>
                <w:sz w:val="18"/>
              </w:rPr>
              <w:t>18.05</w:t>
            </w:r>
          </w:p>
        </w:tc>
        <w:tc>
          <w:tcPr>
            <w:tcW w:type="dxa" w:w="803"/>
            <w:vAlign w:val="center"/>
            <w:shd w:val="clear" w:color="auto" w:fill="E2EFDA"/>
          </w:tcPr>
          <w:p>
            <w:pPr>
              <w:ind w:firstLine="0"/>
              <w:jc w:val="center"/>
            </w:pPr>
            <w:r/>
            <w:r>
              <w:rPr>
                <w:rFonts w:ascii="Times New Roman" w:hAnsi="Times New Roman"/>
                <w:sz w:val="18"/>
              </w:rPr>
              <w:t>1076</w:t>
            </w:r>
          </w:p>
        </w:tc>
        <w:tc>
          <w:tcPr>
            <w:tcW w:type="dxa" w:w="803"/>
            <w:vAlign w:val="center"/>
            <w:shd w:val="clear" w:color="auto" w:fill="E2EFDA"/>
          </w:tcPr>
          <w:p>
            <w:pPr>
              <w:ind w:firstLine="0"/>
              <w:jc w:val="center"/>
            </w:pPr>
            <w:r/>
            <w:r>
              <w:rPr>
                <w:rFonts w:ascii="Times New Roman" w:hAnsi="Times New Roman"/>
                <w:sz w:val="18"/>
              </w:rPr>
              <w:t>21.05</w:t>
            </w:r>
          </w:p>
        </w:tc>
        <w:tc>
          <w:tcPr>
            <w:tcW w:type="dxa" w:w="803"/>
            <w:vAlign w:val="center"/>
            <w:shd w:val="clear" w:color="auto" w:fill="E2EFDA"/>
          </w:tcPr>
          <w:p>
            <w:pPr>
              <w:ind w:firstLine="0"/>
              <w:jc w:val="center"/>
            </w:pPr>
            <w:r/>
            <w:r>
              <w:rPr>
                <w:rFonts w:ascii="Times New Roman" w:hAnsi="Times New Roman"/>
                <w:sz w:val="18"/>
              </w:rPr>
              <w:t>845</w:t>
            </w:r>
          </w:p>
        </w:tc>
        <w:tc>
          <w:tcPr>
            <w:tcW w:type="dxa" w:w="803"/>
            <w:vAlign w:val="center"/>
            <w:shd w:val="clear" w:color="auto" w:fill="E2EFDA"/>
          </w:tcPr>
          <w:p>
            <w:pPr>
              <w:ind w:firstLine="0"/>
              <w:jc w:val="center"/>
            </w:pPr>
            <w:r/>
            <w:r>
              <w:rPr>
                <w:rFonts w:ascii="Times New Roman" w:hAnsi="Times New Roman"/>
                <w:sz w:val="18"/>
              </w:rPr>
              <w:t>29.05</w:t>
            </w:r>
          </w:p>
        </w:tc>
        <w:tc>
          <w:tcPr>
            <w:tcW w:type="dxa" w:w="803"/>
            <w:vAlign w:val="center"/>
            <w:shd w:val="clear" w:color="auto" w:fill="E2EFDA"/>
          </w:tcPr>
          <w:p>
            <w:pPr>
              <w:ind w:firstLine="0"/>
              <w:jc w:val="center"/>
            </w:pPr>
            <w:r/>
            <w:r>
              <w:rPr>
                <w:rFonts w:ascii="Times New Roman" w:hAnsi="Times New Roman"/>
                <w:sz w:val="18"/>
              </w:rPr>
              <w:t>968</w:t>
            </w:r>
          </w:p>
        </w:tc>
        <w:tc>
          <w:tcPr>
            <w:tcW w:type="dxa" w:w="803"/>
            <w:vAlign w:val="center"/>
            <w:shd w:val="clear" w:color="auto" w:fill="E2EFDA"/>
          </w:tcPr>
          <w:p>
            <w:pPr>
              <w:ind w:firstLine="0"/>
              <w:jc w:val="center"/>
            </w:pPr>
            <w:r/>
            <w:r>
              <w:rPr>
                <w:rFonts w:ascii="Times New Roman" w:hAnsi="Times New Roman"/>
                <w:sz w:val="18"/>
              </w:rPr>
              <w:t>6</w:t>
            </w:r>
          </w:p>
        </w:tc>
        <w:tc>
          <w:tcPr>
            <w:tcW w:type="dxa" w:w="803"/>
            <w:vAlign w:val="center"/>
            <w:shd w:val="clear" w:color="auto" w:fill="E2EFDA"/>
          </w:tcPr>
          <w:p>
            <w:pPr>
              <w:ind w:firstLine="0"/>
              <w:jc w:val="center"/>
            </w:pPr>
            <w:r/>
            <w:r>
              <w:rPr>
                <w:rFonts w:ascii="Times New Roman" w:hAnsi="Times New Roman"/>
                <w:sz w:val="18"/>
              </w:rPr>
              <w:t>3</w:t>
            </w:r>
          </w:p>
        </w:tc>
        <w:tc>
          <w:tcPr>
            <w:tcW w:type="dxa" w:w="803"/>
            <w:vAlign w:val="center"/>
            <w:shd w:val="clear" w:color="auto" w:fill="E2EFDA"/>
          </w:tcPr>
          <w:p>
            <w:pPr>
              <w:ind w:firstLine="0"/>
              <w:jc w:val="center"/>
            </w:pPr>
            <w:r/>
            <w:r>
              <w:rPr>
                <w:rFonts w:ascii="Times New Roman" w:hAnsi="Times New Roman"/>
                <w:sz w:val="18"/>
              </w:rPr>
              <w:t>8</w:t>
            </w:r>
          </w:p>
        </w:tc>
      </w:tr>
      <w:tr>
        <w:tc>
          <w:tcPr>
            <w:tcW w:type="dxa" w:w="803"/>
            <w:vAlign w:val="center"/>
            <w:shd w:val="clear" w:color="auto" w:fill="E2EFDA"/>
          </w:tcPr>
          <w:p>
            <w:pPr>
              <w:ind w:firstLine="0"/>
              <w:jc w:val="center"/>
            </w:pPr>
            <w:r/>
            <w:r>
              <w:rPr>
                <w:rFonts w:ascii="Times New Roman" w:hAnsi="Times New Roman"/>
                <w:sz w:val="18"/>
              </w:rPr>
              <w:t>2011</w:t>
            </w:r>
          </w:p>
        </w:tc>
        <w:tc>
          <w:tcPr>
            <w:tcW w:type="dxa" w:w="803"/>
            <w:vAlign w:val="center"/>
            <w:shd w:val="clear" w:color="auto" w:fill="E2EFDA"/>
          </w:tcPr>
          <w:p>
            <w:pPr>
              <w:ind w:firstLine="0"/>
              <w:jc w:val="center"/>
            </w:pPr>
            <w:r/>
            <w:r>
              <w:rPr>
                <w:rFonts w:ascii="Times New Roman" w:hAnsi="Times New Roman"/>
                <w:sz w:val="18"/>
              </w:rPr>
              <w:t>03.05</w:t>
            </w:r>
          </w:p>
        </w:tc>
        <w:tc>
          <w:tcPr>
            <w:tcW w:type="dxa" w:w="803"/>
            <w:vAlign w:val="center"/>
            <w:shd w:val="clear" w:color="auto" w:fill="E2EFDA"/>
          </w:tcPr>
          <w:p>
            <w:pPr>
              <w:ind w:firstLine="0"/>
              <w:jc w:val="center"/>
            </w:pPr>
            <w:r/>
            <w:r>
              <w:rPr>
                <w:rFonts w:ascii="Times New Roman" w:hAnsi="Times New Roman"/>
                <w:sz w:val="18"/>
              </w:rPr>
              <w:t>1222</w:t>
            </w:r>
          </w:p>
        </w:tc>
        <w:tc>
          <w:tcPr>
            <w:tcW w:type="dxa" w:w="803"/>
            <w:vAlign w:val="center"/>
            <w:shd w:val="clear" w:color="auto" w:fill="E2EFDA"/>
          </w:tcPr>
          <w:p>
            <w:pPr>
              <w:ind w:firstLine="0"/>
              <w:jc w:val="center"/>
            </w:pPr>
            <w:r/>
            <w:r>
              <w:rPr>
                <w:rFonts w:ascii="Times New Roman" w:hAnsi="Times New Roman"/>
                <w:sz w:val="18"/>
              </w:rPr>
              <w:t>09.05</w:t>
            </w:r>
          </w:p>
        </w:tc>
        <w:tc>
          <w:tcPr>
            <w:tcW w:type="dxa" w:w="803"/>
            <w:vAlign w:val="center"/>
            <w:shd w:val="clear" w:color="auto" w:fill="E2EFDA"/>
          </w:tcPr>
          <w:p>
            <w:pPr>
              <w:ind w:firstLine="0"/>
              <w:jc w:val="center"/>
            </w:pPr>
            <w:r/>
            <w:r>
              <w:rPr>
                <w:rFonts w:ascii="Times New Roman" w:hAnsi="Times New Roman"/>
                <w:sz w:val="18"/>
              </w:rPr>
              <w:t>1048</w:t>
            </w:r>
          </w:p>
        </w:tc>
        <w:tc>
          <w:tcPr>
            <w:tcW w:type="dxa" w:w="803"/>
            <w:vAlign w:val="center"/>
            <w:shd w:val="clear" w:color="auto" w:fill="E2EFDA"/>
          </w:tcPr>
          <w:p>
            <w:pPr>
              <w:ind w:firstLine="0"/>
              <w:jc w:val="center"/>
            </w:pPr>
            <w:r/>
            <w:r>
              <w:rPr>
                <w:rFonts w:ascii="Times New Roman" w:hAnsi="Times New Roman"/>
                <w:sz w:val="18"/>
              </w:rPr>
              <w:t>16.05</w:t>
            </w:r>
          </w:p>
        </w:tc>
        <w:tc>
          <w:tcPr>
            <w:tcW w:type="dxa" w:w="803"/>
            <w:vAlign w:val="center"/>
            <w:shd w:val="clear" w:color="auto" w:fill="E2EFDA"/>
          </w:tcPr>
          <w:p>
            <w:pPr>
              <w:ind w:firstLine="0"/>
              <w:jc w:val="center"/>
            </w:pPr>
            <w:r/>
            <w:r>
              <w:rPr>
                <w:rFonts w:ascii="Times New Roman" w:hAnsi="Times New Roman"/>
                <w:sz w:val="18"/>
              </w:rPr>
              <w:t>829</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1007</w:t>
            </w:r>
          </w:p>
        </w:tc>
        <w:tc>
          <w:tcPr>
            <w:tcW w:type="dxa" w:w="803"/>
            <w:vAlign w:val="center"/>
            <w:shd w:val="clear" w:color="auto" w:fill="E2EFDA"/>
          </w:tcPr>
          <w:p>
            <w:pPr>
              <w:ind w:firstLine="0"/>
              <w:jc w:val="center"/>
            </w:pPr>
            <w:r/>
            <w:r>
              <w:rPr>
                <w:rFonts w:ascii="Times New Roman" w:hAnsi="Times New Roman"/>
                <w:sz w:val="18"/>
              </w:rPr>
              <w:t>13</w:t>
            </w:r>
          </w:p>
        </w:tc>
        <w:tc>
          <w:tcPr>
            <w:tcW w:type="dxa" w:w="803"/>
            <w:vAlign w:val="center"/>
            <w:shd w:val="clear" w:color="auto" w:fill="E2EFDA"/>
          </w:tcPr>
          <w:p>
            <w:pPr>
              <w:ind w:firstLine="0"/>
              <w:jc w:val="center"/>
            </w:pPr>
            <w:r/>
            <w:r>
              <w:rPr>
                <w:rFonts w:ascii="Times New Roman" w:hAnsi="Times New Roman"/>
                <w:sz w:val="18"/>
              </w:rPr>
              <w:t>7</w:t>
            </w:r>
          </w:p>
        </w:tc>
        <w:tc>
          <w:tcPr>
            <w:tcW w:type="dxa" w:w="803"/>
            <w:vAlign w:val="center"/>
            <w:shd w:val="clear" w:color="auto" w:fill="E2EFDA"/>
          </w:tcPr>
          <w:p>
            <w:pPr>
              <w:ind w:firstLine="0"/>
              <w:jc w:val="center"/>
            </w:pPr>
            <w:r/>
            <w:r>
              <w:rPr>
                <w:rFonts w:ascii="Times New Roman" w:hAnsi="Times New Roman"/>
                <w:sz w:val="18"/>
              </w:rPr>
              <w:t>7</w:t>
            </w:r>
          </w:p>
        </w:tc>
      </w:tr>
      <w:tr>
        <w:tc>
          <w:tcPr>
            <w:tcW w:type="dxa" w:w="803"/>
            <w:vAlign w:val="center"/>
          </w:tcPr>
          <w:p>
            <w:pPr>
              <w:ind w:firstLine="0"/>
              <w:jc w:val="center"/>
            </w:pPr>
            <w:r/>
            <w:r>
              <w:rPr>
                <w:rFonts w:ascii="Times New Roman" w:hAnsi="Times New Roman"/>
                <w:sz w:val="18"/>
              </w:rPr>
              <w:t>2012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1066</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1011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704</w:t>
            </w:r>
          </w:p>
        </w:tc>
        <w:tc>
          <w:tcPr>
            <w:tcW w:type="dxa" w:w="803"/>
            <w:vAlign w:val="center"/>
          </w:tcPr>
          <w:p>
            <w:pPr>
              <w:ind w:firstLine="0"/>
              <w:jc w:val="center"/>
            </w:pPr>
            <w:r/>
            <w:r>
              <w:rPr>
                <w:rFonts w:ascii="Times New Roman" w:hAnsi="Times New Roman"/>
                <w:sz w:val="18"/>
              </w:rPr>
              <w:t>24.05</w:t>
            </w:r>
          </w:p>
        </w:tc>
        <w:tc>
          <w:tcPr>
            <w:tcW w:type="dxa" w:w="803"/>
            <w:vAlign w:val="center"/>
          </w:tcPr>
          <w:p>
            <w:pPr>
              <w:ind w:firstLine="0"/>
              <w:jc w:val="center"/>
            </w:pPr>
            <w:r/>
            <w:r>
              <w:rPr>
                <w:rFonts w:ascii="Times New Roman" w:hAnsi="Times New Roman"/>
                <w:sz w:val="18"/>
              </w:rPr>
              <w:t>1107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4</w:t>
            </w:r>
          </w:p>
        </w:tc>
      </w:tr>
      <w:tr>
        <w:tc>
          <w:tcPr>
            <w:tcW w:type="dxa" w:w="803"/>
            <w:vAlign w:val="center"/>
          </w:tcPr>
          <w:p>
            <w:pPr>
              <w:ind w:firstLine="0"/>
              <w:jc w:val="center"/>
            </w:pPr>
            <w:r/>
            <w:r>
              <w:rPr>
                <w:rFonts w:ascii="Times New Roman" w:hAnsi="Times New Roman"/>
                <w:sz w:val="18"/>
              </w:rPr>
              <w:t>2013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1210</w:t>
            </w:r>
          </w:p>
        </w:tc>
        <w:tc>
          <w:tcPr>
            <w:tcW w:type="dxa" w:w="803"/>
            <w:vAlign w:val="center"/>
          </w:tcPr>
          <w:p>
            <w:pPr>
              <w:ind w:firstLine="0"/>
              <w:jc w:val="center"/>
            </w:pPr>
            <w:r/>
            <w:r>
              <w:rPr>
                <w:rFonts w:ascii="Times New Roman" w:hAnsi="Times New Roman"/>
                <w:sz w:val="18"/>
              </w:rPr>
              <w:t>09.05</w:t>
            </w:r>
          </w:p>
        </w:tc>
        <w:tc>
          <w:tcPr>
            <w:tcW w:type="dxa" w:w="803"/>
            <w:vAlign w:val="center"/>
          </w:tcPr>
          <w:p>
            <w:pPr>
              <w:ind w:firstLine="0"/>
              <w:jc w:val="center"/>
            </w:pPr>
            <w:r/>
            <w:r>
              <w:rPr>
                <w:rFonts w:ascii="Times New Roman" w:hAnsi="Times New Roman"/>
                <w:sz w:val="18"/>
              </w:rPr>
              <w:t>951</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747</w:t>
            </w:r>
          </w:p>
        </w:tc>
        <w:tc>
          <w:tcPr>
            <w:tcW w:type="dxa" w:w="803"/>
            <w:vAlign w:val="center"/>
          </w:tcPr>
          <w:p>
            <w:pPr>
              <w:ind w:firstLine="0"/>
              <w:jc w:val="center"/>
            </w:pPr>
            <w:r/>
            <w:r>
              <w:rPr>
                <w:rFonts w:ascii="Times New Roman" w:hAnsi="Times New Roman"/>
                <w:sz w:val="18"/>
              </w:rPr>
              <w:t>22.05</w:t>
            </w:r>
          </w:p>
        </w:tc>
        <w:tc>
          <w:tcPr>
            <w:tcW w:type="dxa" w:w="803"/>
            <w:vAlign w:val="center"/>
          </w:tcPr>
          <w:p>
            <w:pPr>
              <w:ind w:firstLine="0"/>
              <w:jc w:val="center"/>
            </w:pPr>
            <w:r/>
            <w:r>
              <w:rPr>
                <w:rFonts w:ascii="Times New Roman" w:hAnsi="Times New Roman"/>
                <w:sz w:val="18"/>
              </w:rPr>
              <w:t>1121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7</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2014</w:t>
            </w:r>
          </w:p>
        </w:tc>
        <w:tc>
          <w:tcPr>
            <w:tcW w:type="dxa" w:w="803"/>
            <w:vAlign w:val="center"/>
          </w:tcPr>
          <w:p>
            <w:pPr>
              <w:ind w:firstLine="0"/>
              <w:jc w:val="center"/>
            </w:pPr>
            <w:r/>
            <w:r>
              <w:rPr>
                <w:rFonts w:ascii="Times New Roman" w:hAnsi="Times New Roman"/>
                <w:sz w:val="18"/>
              </w:rPr>
              <w:t>28.04</w:t>
            </w:r>
          </w:p>
        </w:tc>
        <w:tc>
          <w:tcPr>
            <w:tcW w:type="dxa" w:w="803"/>
            <w:vAlign w:val="center"/>
          </w:tcPr>
          <w:p>
            <w:pPr>
              <w:ind w:firstLine="0"/>
              <w:jc w:val="center"/>
            </w:pPr>
            <w:r/>
            <w:r>
              <w:rPr>
                <w:rFonts w:ascii="Times New Roman" w:hAnsi="Times New Roman"/>
                <w:sz w:val="18"/>
              </w:rPr>
              <w:t>792</w:t>
            </w:r>
          </w:p>
        </w:tc>
        <w:tc>
          <w:tcPr>
            <w:tcW w:type="dxa" w:w="803"/>
            <w:vAlign w:val="center"/>
          </w:tcPr>
          <w:p>
            <w:pPr>
              <w:ind w:firstLine="0"/>
              <w:jc w:val="center"/>
            </w:pPr>
            <w:r/>
            <w:r>
              <w:rPr>
                <w:rFonts w:ascii="Times New Roman" w:hAnsi="Times New Roman"/>
                <w:sz w:val="18"/>
              </w:rPr>
              <w:t>02.05</w:t>
            </w:r>
          </w:p>
        </w:tc>
        <w:tc>
          <w:tcPr>
            <w:tcW w:type="dxa" w:w="803"/>
            <w:vAlign w:val="center"/>
          </w:tcPr>
          <w:p>
            <w:pPr>
              <w:ind w:firstLine="0"/>
              <w:jc w:val="center"/>
            </w:pPr>
            <w:r/>
            <w:r>
              <w:rPr>
                <w:rFonts w:ascii="Times New Roman" w:hAnsi="Times New Roman"/>
                <w:sz w:val="18"/>
              </w:rPr>
              <w:t>638</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432</w:t>
            </w:r>
          </w:p>
        </w:tc>
        <w:tc>
          <w:tcPr>
            <w:tcW w:type="dxa" w:w="803"/>
            <w:vAlign w:val="center"/>
          </w:tcPr>
          <w:p>
            <w:pPr>
              <w:ind w:firstLine="0"/>
              <w:jc w:val="center"/>
            </w:pPr>
            <w:r/>
            <w:r>
              <w:rPr>
                <w:rFonts w:ascii="Times New Roman" w:hAnsi="Times New Roman"/>
                <w:sz w:val="18"/>
              </w:rPr>
              <w:t>21.05</w:t>
            </w:r>
          </w:p>
        </w:tc>
        <w:tc>
          <w:tcPr>
            <w:tcW w:type="dxa" w:w="803"/>
            <w:vAlign w:val="center"/>
          </w:tcPr>
          <w:p>
            <w:pPr>
              <w:ind w:firstLine="0"/>
              <w:jc w:val="center"/>
            </w:pPr>
            <w:r/>
            <w:r>
              <w:rPr>
                <w:rFonts w:ascii="Times New Roman" w:hAnsi="Times New Roman"/>
                <w:sz w:val="18"/>
              </w:rPr>
              <w:t>1062</w:t>
            </w:r>
          </w:p>
        </w:tc>
        <w:tc>
          <w:tcPr>
            <w:tcW w:type="dxa" w:w="803"/>
            <w:vAlign w:val="center"/>
          </w:tcPr>
          <w:p>
            <w:pPr>
              <w:ind w:firstLine="0"/>
              <w:jc w:val="center"/>
            </w:pPr>
            <w:r/>
            <w:r>
              <w:rPr>
                <w:rFonts w:ascii="Times New Roman" w:hAnsi="Times New Roman"/>
                <w:sz w:val="18"/>
              </w:rPr>
              <w:t>15</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8</w:t>
            </w:r>
          </w:p>
        </w:tc>
      </w:tr>
      <w:tr>
        <w:tc>
          <w:tcPr>
            <w:tcW w:type="dxa" w:w="803"/>
            <w:vAlign w:val="center"/>
          </w:tcPr>
          <w:p>
            <w:pPr>
              <w:ind w:firstLine="0"/>
              <w:jc w:val="center"/>
            </w:pPr>
            <w:r/>
            <w:r>
              <w:rPr>
                <w:rFonts w:ascii="Times New Roman" w:hAnsi="Times New Roman"/>
                <w:sz w:val="18"/>
              </w:rPr>
              <w:t>2015</w:t>
            </w:r>
          </w:p>
        </w:tc>
        <w:tc>
          <w:tcPr>
            <w:tcW w:type="dxa" w:w="803"/>
            <w:vAlign w:val="center"/>
          </w:tcPr>
          <w:p>
            <w:pPr>
              <w:ind w:firstLine="0"/>
              <w:jc w:val="center"/>
            </w:pPr>
            <w:r/>
            <w:r>
              <w:rPr>
                <w:rFonts w:ascii="Times New Roman" w:hAnsi="Times New Roman"/>
                <w:sz w:val="18"/>
              </w:rPr>
              <w:t>06.05</w:t>
            </w:r>
          </w:p>
        </w:tc>
        <w:tc>
          <w:tcPr>
            <w:tcW w:type="dxa" w:w="803"/>
            <w:vAlign w:val="center"/>
          </w:tcPr>
          <w:p>
            <w:pPr>
              <w:ind w:firstLine="0"/>
              <w:jc w:val="center"/>
            </w:pPr>
            <w:r/>
            <w:r>
              <w:rPr>
                <w:rFonts w:ascii="Times New Roman" w:hAnsi="Times New Roman"/>
                <w:sz w:val="18"/>
              </w:rPr>
              <w:t>803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876</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644</w:t>
            </w:r>
          </w:p>
        </w:tc>
        <w:tc>
          <w:tcPr>
            <w:tcW w:type="dxa" w:w="803"/>
            <w:vAlign w:val="center"/>
          </w:tcPr>
          <w:p>
            <w:pPr>
              <w:ind w:firstLine="0"/>
              <w:jc w:val="center"/>
            </w:pPr>
            <w:r/>
            <w:r>
              <w:rPr>
                <w:rFonts w:ascii="Times New Roman" w:hAnsi="Times New Roman"/>
                <w:sz w:val="18"/>
              </w:rPr>
              <w:t>25.05</w:t>
            </w:r>
          </w:p>
        </w:tc>
        <w:tc>
          <w:tcPr>
            <w:tcW w:type="dxa" w:w="803"/>
            <w:vAlign w:val="center"/>
          </w:tcPr>
          <w:p>
            <w:pPr>
              <w:ind w:firstLine="0"/>
              <w:jc w:val="center"/>
            </w:pPr>
            <w:r/>
            <w:r>
              <w:rPr>
                <w:rFonts w:ascii="Times New Roman" w:hAnsi="Times New Roman"/>
                <w:sz w:val="18"/>
              </w:rPr>
              <w:t>1331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2016</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981</w:t>
            </w:r>
          </w:p>
        </w:tc>
        <w:tc>
          <w:tcPr>
            <w:tcW w:type="dxa" w:w="803"/>
            <w:vAlign w:val="center"/>
          </w:tcPr>
          <w:p>
            <w:pPr>
              <w:ind w:firstLine="0"/>
              <w:jc w:val="center"/>
            </w:pPr>
            <w:r/>
            <w:r>
              <w:rPr>
                <w:rFonts w:ascii="Times New Roman" w:hAnsi="Times New Roman"/>
                <w:sz w:val="18"/>
              </w:rPr>
              <w:t>09.06</w:t>
            </w:r>
          </w:p>
        </w:tc>
        <w:tc>
          <w:tcPr>
            <w:tcW w:type="dxa" w:w="803"/>
            <w:vAlign w:val="center"/>
          </w:tcPr>
          <w:p>
            <w:pPr>
              <w:ind w:firstLine="0"/>
              <w:jc w:val="center"/>
            </w:pPr>
            <w:r/>
            <w:r>
              <w:rPr>
                <w:rFonts w:ascii="Times New Roman" w:hAnsi="Times New Roman"/>
                <w:sz w:val="18"/>
              </w:rPr>
              <w:t>868</w:t>
            </w:r>
          </w:p>
        </w:tc>
        <w:tc>
          <w:tcPr>
            <w:tcW w:type="dxa" w:w="803"/>
            <w:vAlign w:val="center"/>
          </w:tcPr>
          <w:p>
            <w:pPr>
              <w:ind w:firstLine="0"/>
              <w:jc w:val="center"/>
            </w:pPr>
            <w:r/>
            <w:r>
              <w:rPr>
                <w:rFonts w:ascii="Times New Roman" w:hAnsi="Times New Roman"/>
                <w:sz w:val="18"/>
              </w:rPr>
              <w:t>13.06</w:t>
            </w:r>
          </w:p>
        </w:tc>
        <w:tc>
          <w:tcPr>
            <w:tcW w:type="dxa" w:w="803"/>
            <w:vAlign w:val="center"/>
          </w:tcPr>
          <w:p>
            <w:pPr>
              <w:ind w:firstLine="0"/>
              <w:jc w:val="center"/>
            </w:pPr>
            <w:r/>
            <w:r>
              <w:rPr>
                <w:rFonts w:ascii="Times New Roman" w:hAnsi="Times New Roman"/>
                <w:sz w:val="18"/>
              </w:rPr>
              <w:t>536</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863</w:t>
            </w:r>
          </w:p>
        </w:tc>
        <w:tc>
          <w:tcPr>
            <w:tcW w:type="dxa" w:w="803"/>
            <w:vAlign w:val="center"/>
          </w:tcPr>
          <w:p>
            <w:pPr>
              <w:ind w:firstLine="0"/>
              <w:jc w:val="center"/>
            </w:pPr>
            <w:r/>
            <w:r>
              <w:rPr>
                <w:rFonts w:ascii="Times New Roman" w:hAnsi="Times New Roman"/>
                <w:sz w:val="18"/>
              </w:rPr>
              <w:t>31</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−21</w:t>
            </w:r>
          </w:p>
        </w:tc>
      </w:tr>
      <w:tr>
        <w:tc>
          <w:tcPr>
            <w:tcW w:type="dxa" w:w="803"/>
            <w:vAlign w:val="center"/>
          </w:tcPr>
          <w:p>
            <w:pPr>
              <w:ind w:firstLine="0"/>
              <w:jc w:val="center"/>
            </w:pPr>
            <w:r/>
            <w:r>
              <w:rPr>
                <w:rFonts w:ascii="Times New Roman" w:hAnsi="Times New Roman"/>
                <w:sz w:val="18"/>
              </w:rPr>
              <w:t>2017</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722</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637</w:t>
            </w:r>
          </w:p>
        </w:tc>
        <w:tc>
          <w:tcPr>
            <w:tcW w:type="dxa" w:w="803"/>
            <w:vAlign w:val="center"/>
          </w:tcPr>
          <w:p>
            <w:pPr>
              <w:ind w:firstLine="0"/>
              <w:jc w:val="center"/>
            </w:pPr>
            <w:r/>
            <w:r>
              <w:rPr>
                <w:rFonts w:ascii="Times New Roman" w:hAnsi="Times New Roman"/>
                <w:sz w:val="18"/>
              </w:rPr>
              <w:t>19.05</w:t>
            </w:r>
          </w:p>
        </w:tc>
        <w:tc>
          <w:tcPr>
            <w:tcW w:type="dxa" w:w="803"/>
            <w:vAlign w:val="center"/>
          </w:tcPr>
          <w:p>
            <w:pPr>
              <w:ind w:firstLine="0"/>
              <w:jc w:val="center"/>
            </w:pPr>
            <w:r/>
            <w:r>
              <w:rPr>
                <w:rFonts w:ascii="Times New Roman" w:hAnsi="Times New Roman"/>
                <w:sz w:val="18"/>
              </w:rPr>
              <w:t>527</w:t>
            </w:r>
          </w:p>
        </w:tc>
        <w:tc>
          <w:tcPr>
            <w:tcW w:type="dxa" w:w="803"/>
            <w:vAlign w:val="center"/>
          </w:tcPr>
          <w:p>
            <w:pPr>
              <w:ind w:firstLine="0"/>
              <w:jc w:val="center"/>
            </w:pPr>
            <w:r/>
            <w:r>
              <w:rPr>
                <w:rFonts w:ascii="Times New Roman" w:hAnsi="Times New Roman"/>
                <w:sz w:val="18"/>
              </w:rPr>
              <w:t>30.05</w:t>
            </w:r>
          </w:p>
        </w:tc>
        <w:tc>
          <w:tcPr>
            <w:tcW w:type="dxa" w:w="803"/>
            <w:vAlign w:val="center"/>
          </w:tcPr>
          <w:p>
            <w:pPr>
              <w:ind w:firstLine="0"/>
              <w:jc w:val="center"/>
            </w:pPr>
            <w:r/>
            <w:r>
              <w:rPr>
                <w:rFonts w:ascii="Times New Roman" w:hAnsi="Times New Roman"/>
                <w:sz w:val="18"/>
              </w:rPr>
              <w:t>914</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−12</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2018</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931</w:t>
            </w:r>
          </w:p>
        </w:tc>
        <w:tc>
          <w:tcPr>
            <w:tcW w:type="dxa" w:w="803"/>
            <w:vAlign w:val="center"/>
          </w:tcPr>
          <w:p>
            <w:pPr>
              <w:ind w:firstLine="0"/>
              <w:jc w:val="center"/>
            </w:pPr>
            <w:r/>
            <w:r>
              <w:rPr>
                <w:rFonts w:ascii="Times New Roman" w:hAnsi="Times New Roman"/>
                <w:sz w:val="18"/>
              </w:rPr>
              <w:t>05.06</w:t>
            </w:r>
          </w:p>
        </w:tc>
        <w:tc>
          <w:tcPr>
            <w:tcW w:type="dxa" w:w="803"/>
            <w:vAlign w:val="center"/>
          </w:tcPr>
          <w:p>
            <w:pPr>
              <w:ind w:firstLine="0"/>
              <w:jc w:val="center"/>
            </w:pPr>
            <w:r/>
            <w:r>
              <w:rPr>
                <w:rFonts w:ascii="Times New Roman" w:hAnsi="Times New Roman"/>
                <w:sz w:val="18"/>
              </w:rPr>
              <w:t>847</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654</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1467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−20</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2019</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885</w:t>
            </w:r>
          </w:p>
        </w:tc>
        <w:tc>
          <w:tcPr>
            <w:tcW w:type="dxa" w:w="803"/>
            <w:vAlign w:val="center"/>
          </w:tcPr>
          <w:p>
            <w:pPr>
              <w:ind w:firstLine="0"/>
              <w:jc w:val="center"/>
            </w:pPr>
            <w:r/>
            <w:r>
              <w:rPr>
                <w:rFonts w:ascii="Times New Roman" w:hAnsi="Times New Roman"/>
                <w:sz w:val="18"/>
              </w:rPr>
              <w:t>16.06</w:t>
            </w:r>
          </w:p>
        </w:tc>
        <w:tc>
          <w:tcPr>
            <w:tcW w:type="dxa" w:w="803"/>
            <w:vAlign w:val="center"/>
          </w:tcPr>
          <w:p>
            <w:pPr>
              <w:ind w:firstLine="0"/>
              <w:jc w:val="center"/>
            </w:pPr>
            <w:r/>
            <w:r>
              <w:rPr>
                <w:rFonts w:ascii="Times New Roman" w:hAnsi="Times New Roman"/>
                <w:sz w:val="18"/>
              </w:rPr>
              <w:t>756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468</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1374</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−27</w:t>
            </w:r>
          </w:p>
        </w:tc>
        <w:tc>
          <w:tcPr>
            <w:tcW w:type="dxa" w:w="803"/>
            <w:vAlign w:val="center"/>
          </w:tcPr>
          <w:p>
            <w:pPr>
              <w:ind w:firstLine="0"/>
              <w:jc w:val="center"/>
            </w:pPr>
            <w:r/>
            <w:r>
              <w:rPr>
                <w:rFonts w:ascii="Times New Roman" w:hAnsi="Times New Roman"/>
                <w:sz w:val="18"/>
              </w:rPr>
              <w:t>7</w:t>
            </w:r>
          </w:p>
        </w:tc>
      </w:tr>
      <w:tr>
        <w:tc>
          <w:tcPr>
            <w:tcW w:type="dxa" w:w="803"/>
            <w:vAlign w:val="center"/>
            <w:shd w:val="clear" w:color="auto" w:fill="E2EFDA"/>
          </w:tcPr>
          <w:p>
            <w:pPr>
              <w:ind w:firstLine="0"/>
              <w:jc w:val="center"/>
            </w:pPr>
            <w:r/>
            <w:r>
              <w:rPr>
                <w:rFonts w:ascii="Times New Roman" w:hAnsi="Times New Roman"/>
                <w:sz w:val="18"/>
              </w:rPr>
              <w:t>2020</w:t>
            </w:r>
          </w:p>
        </w:tc>
        <w:tc>
          <w:tcPr>
            <w:tcW w:type="dxa" w:w="803"/>
            <w:vAlign w:val="center"/>
            <w:shd w:val="clear" w:color="auto" w:fill="E2EFDA"/>
          </w:tcPr>
          <w:p>
            <w:pPr>
              <w:ind w:firstLine="0"/>
              <w:jc w:val="center"/>
            </w:pPr>
            <w:r/>
            <w:r>
              <w:rPr>
                <w:rFonts w:ascii="Times New Roman" w:hAnsi="Times New Roman"/>
                <w:sz w:val="18"/>
              </w:rPr>
              <w:t>05.05</w:t>
            </w:r>
          </w:p>
        </w:tc>
        <w:tc>
          <w:tcPr>
            <w:tcW w:type="dxa" w:w="803"/>
            <w:vAlign w:val="center"/>
            <w:shd w:val="clear" w:color="auto" w:fill="E2EFDA"/>
          </w:tcPr>
          <w:p>
            <w:pPr>
              <w:ind w:firstLine="0"/>
              <w:jc w:val="center"/>
            </w:pPr>
            <w:r/>
            <w:r>
              <w:rPr>
                <w:rFonts w:ascii="Times New Roman" w:hAnsi="Times New Roman"/>
                <w:sz w:val="18"/>
              </w:rPr>
              <w:t>1098</w:t>
            </w:r>
          </w:p>
        </w:tc>
        <w:tc>
          <w:tcPr>
            <w:tcW w:type="dxa" w:w="803"/>
            <w:vAlign w:val="center"/>
            <w:shd w:val="clear" w:color="auto" w:fill="E2EFDA"/>
          </w:tcPr>
          <w:p>
            <w:pPr>
              <w:ind w:firstLine="0"/>
              <w:jc w:val="center"/>
            </w:pPr>
            <w:r/>
            <w:r>
              <w:rPr>
                <w:rFonts w:ascii="Times New Roman" w:hAnsi="Times New Roman"/>
                <w:sz w:val="18"/>
              </w:rPr>
              <w:t>31.05</w:t>
            </w:r>
          </w:p>
        </w:tc>
        <w:tc>
          <w:tcPr>
            <w:tcW w:type="dxa" w:w="803"/>
            <w:vAlign w:val="center"/>
            <w:shd w:val="clear" w:color="auto" w:fill="E2EFDA"/>
          </w:tcPr>
          <w:p>
            <w:pPr>
              <w:ind w:firstLine="0"/>
              <w:jc w:val="center"/>
            </w:pPr>
            <w:r/>
            <w:r>
              <w:rPr>
                <w:rFonts w:ascii="Times New Roman" w:hAnsi="Times New Roman"/>
                <w:sz w:val="18"/>
              </w:rPr>
              <w:t>751</w:t>
            </w:r>
          </w:p>
        </w:tc>
        <w:tc>
          <w:tcPr>
            <w:tcW w:type="dxa" w:w="803"/>
            <w:vAlign w:val="center"/>
            <w:shd w:val="clear" w:color="auto" w:fill="E2EFDA"/>
          </w:tcPr>
          <w:p>
            <w:pPr>
              <w:ind w:firstLine="0"/>
              <w:jc w:val="center"/>
            </w:pPr>
            <w:r/>
            <w:r>
              <w:rPr>
                <w:rFonts w:ascii="Times New Roman" w:hAnsi="Times New Roman"/>
                <w:sz w:val="18"/>
              </w:rPr>
              <w:t>14.05</w:t>
            </w:r>
          </w:p>
        </w:tc>
        <w:tc>
          <w:tcPr>
            <w:tcW w:type="dxa" w:w="803"/>
            <w:vAlign w:val="center"/>
            <w:shd w:val="clear" w:color="auto" w:fill="E2EFDA"/>
          </w:tcPr>
          <w:p>
            <w:pPr>
              <w:ind w:firstLine="0"/>
              <w:jc w:val="center"/>
            </w:pPr>
            <w:r/>
            <w:r>
              <w:rPr>
                <w:rFonts w:ascii="Times New Roman" w:hAnsi="Times New Roman"/>
                <w:sz w:val="18"/>
              </w:rPr>
              <w:t>854</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1039</w:t>
            </w:r>
          </w:p>
        </w:tc>
        <w:tc>
          <w:tcPr>
            <w:tcW w:type="dxa" w:w="803"/>
            <w:vAlign w:val="center"/>
            <w:shd w:val="clear" w:color="auto" w:fill="E2EFDA"/>
          </w:tcPr>
          <w:p>
            <w:pPr>
              <w:ind w:firstLine="0"/>
              <w:jc w:val="center"/>
            </w:pPr>
            <w:r/>
            <w:r>
              <w:rPr>
                <w:rFonts w:ascii="Times New Roman" w:hAnsi="Times New Roman"/>
                <w:sz w:val="18"/>
              </w:rPr>
              <w:t>9</w:t>
            </w:r>
          </w:p>
        </w:tc>
        <w:tc>
          <w:tcPr>
            <w:tcW w:type="dxa" w:w="803"/>
            <w:vAlign w:val="center"/>
            <w:shd w:val="clear" w:color="auto" w:fill="E2EFDA"/>
          </w:tcPr>
          <w:p>
            <w:pPr>
              <w:ind w:firstLine="0"/>
              <w:jc w:val="center"/>
            </w:pPr>
            <w:r/>
            <w:r>
              <w:rPr>
                <w:rFonts w:ascii="Times New Roman" w:hAnsi="Times New Roman"/>
                <w:sz w:val="18"/>
              </w:rPr>
              <w:t>−17</w:t>
            </w:r>
          </w:p>
        </w:tc>
        <w:tc>
          <w:tcPr>
            <w:tcW w:type="dxa" w:w="803"/>
            <w:vAlign w:val="center"/>
            <w:shd w:val="clear" w:color="auto" w:fill="E2EFDA"/>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2021</w:t>
            </w:r>
          </w:p>
        </w:tc>
        <w:tc>
          <w:tcPr>
            <w:tcW w:type="dxa" w:w="803"/>
            <w:vAlign w:val="center"/>
          </w:tcPr>
          <w:p>
            <w:pPr>
              <w:ind w:firstLine="0"/>
              <w:jc w:val="center"/>
            </w:pPr>
            <w:r/>
            <w:r>
              <w:rPr>
                <w:rFonts w:ascii="Times New Roman" w:hAnsi="Times New Roman"/>
                <w:sz w:val="18"/>
              </w:rPr>
              <w:t>10.06</w:t>
            </w:r>
          </w:p>
        </w:tc>
        <w:tc>
          <w:tcPr>
            <w:tcW w:type="dxa" w:w="803"/>
            <w:vAlign w:val="center"/>
          </w:tcPr>
          <w:p>
            <w:pPr>
              <w:ind w:firstLine="0"/>
              <w:jc w:val="center"/>
            </w:pPr>
            <w:r/>
            <w:r>
              <w:rPr>
                <w:rFonts w:ascii="Times New Roman" w:hAnsi="Times New Roman"/>
                <w:sz w:val="18"/>
              </w:rPr>
              <w:t>821</w:t>
            </w:r>
          </w:p>
        </w:tc>
        <w:tc>
          <w:tcPr>
            <w:tcW w:type="dxa" w:w="803"/>
            <w:vAlign w:val="center"/>
          </w:tcPr>
          <w:p>
            <w:pPr>
              <w:ind w:firstLine="0"/>
              <w:jc w:val="center"/>
            </w:pPr>
            <w:r/>
            <w:r>
              <w:rPr>
                <w:rFonts w:ascii="Times New Roman" w:hAnsi="Times New Roman"/>
                <w:sz w:val="18"/>
              </w:rPr>
              <w:t>11.05</w:t>
            </w:r>
          </w:p>
        </w:tc>
        <w:tc>
          <w:tcPr>
            <w:tcW w:type="dxa" w:w="803"/>
            <w:vAlign w:val="center"/>
          </w:tcPr>
          <w:p>
            <w:pPr>
              <w:ind w:firstLine="0"/>
              <w:jc w:val="center"/>
            </w:pPr>
            <w:r/>
            <w:r>
              <w:rPr>
                <w:rFonts w:ascii="Times New Roman" w:hAnsi="Times New Roman"/>
                <w:sz w:val="18"/>
              </w:rPr>
              <w:t>786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600</w:t>
            </w:r>
          </w:p>
        </w:tc>
        <w:tc>
          <w:tcPr>
            <w:tcW w:type="dxa" w:w="803"/>
            <w:vAlign w:val="center"/>
          </w:tcPr>
          <w:p>
            <w:pPr>
              <w:ind w:firstLine="0"/>
              <w:jc w:val="center"/>
            </w:pPr>
            <w:r/>
            <w:r>
              <w:rPr>
                <w:rFonts w:ascii="Times New Roman" w:hAnsi="Times New Roman"/>
                <w:sz w:val="18"/>
              </w:rPr>
              <w:t>26.05</w:t>
            </w:r>
          </w:p>
        </w:tc>
        <w:tc>
          <w:tcPr>
            <w:tcW w:type="dxa" w:w="803"/>
            <w:vAlign w:val="center"/>
          </w:tcPr>
          <w:p>
            <w:pPr>
              <w:ind w:firstLine="0"/>
              <w:jc w:val="center"/>
            </w:pPr>
            <w:r/>
            <w:r>
              <w:rPr>
                <w:rFonts w:ascii="Times New Roman" w:hAnsi="Times New Roman"/>
                <w:sz w:val="18"/>
              </w:rPr>
              <w:t>910</w:t>
            </w:r>
          </w:p>
        </w:tc>
        <w:tc>
          <w:tcPr>
            <w:tcW w:type="dxa" w:w="803"/>
            <w:vAlign w:val="center"/>
          </w:tcPr>
          <w:p>
            <w:pPr>
              <w:ind w:firstLine="0"/>
              <w:jc w:val="center"/>
            </w:pPr>
            <w:r/>
            <w:r>
              <w:rPr>
                <w:rFonts w:ascii="Times New Roman" w:hAnsi="Times New Roman"/>
                <w:sz w:val="18"/>
              </w:rPr>
              <w:t>−21</w:t>
            </w:r>
          </w:p>
        </w:tc>
        <w:tc>
          <w:tcPr>
            <w:tcW w:type="dxa" w:w="803"/>
            <w:vAlign w:val="center"/>
          </w:tcPr>
          <w:p>
            <w:pPr>
              <w:ind w:firstLine="0"/>
              <w:jc w:val="center"/>
            </w:pPr>
            <w:r/>
            <w:r>
              <w:rPr>
                <w:rFonts w:ascii="Times New Roman" w:hAnsi="Times New Roman"/>
                <w:sz w:val="18"/>
              </w:rPr>
              <w:t>9</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841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960</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733</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1092</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2023</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1351</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907</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596</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1226</w:t>
            </w:r>
          </w:p>
        </w:tc>
        <w:tc>
          <w:tcPr>
            <w:tcW w:type="dxa" w:w="803"/>
            <w:vAlign w:val="center"/>
          </w:tcPr>
          <w:p>
            <w:pPr>
              <w:ind w:firstLine="0"/>
              <w:jc w:val="center"/>
            </w:pPr>
            <w:r/>
            <w:r>
              <w:rPr>
                <w:rFonts w:ascii="Times New Roman" w:hAnsi="Times New Roman"/>
                <w:sz w:val="18"/>
              </w:rPr>
              <w:t>5</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bl>
    <w:p>
      <w:pPr>
        <w:spacing w:after="240"/>
        <w:ind w:firstLine="0"/>
        <w:jc w:val="both"/>
      </w:pPr>
      <w:r>
        <w:rPr>
          <w:i/>
        </w:rPr>
        <w:t>Светло-зелёным цветом выделены годы, в которые пик в Якутске достиг или превысил критический порог 800 см. Пост Покровск в таблицу не включён ввиду фрагментарности данных о пиках за весь шестнадцатилетний период.</w:t>
      </w:r>
    </w:p>
    <w:p>
      <w:pPr>
        <w:spacing w:after="120"/>
        <w:jc w:val="both"/>
      </w:pPr>
      <w:r>
        <w:t>Медианный лаг по верхнему предиктору составляет: Ленск → Якутск — 8 суток, Олёкминск → Якутск — 3–4 суток, Покровск → Якутск — 0,5–1 сут (по отдельным наблюдениям). Наибольшие пики в Якутске зафиксированы в 2020 г. (854 см) и 2011 г. (829 см); минимальный — в 2014 г. (432 см). Пики в Жиганске систематически выше якутских (медиана 1110 против 648 см) вследствие аккумуляции стока от правых притоков (в первую очередь Алдана) и более частого формирования заторных подпоров в нижнем течении.</w:t>
      </w:r>
    </w:p>
    <w:p>
      <w:pPr>
        <w:spacing w:after="120"/>
        <w:jc w:val="both"/>
      </w:pPr>
      <w:r>
        <w:t>Часть лет демонстрирует отрицательные значения лагов Ленск→Якутск и Олёкминск→Якутск (например, 2008, 2012, 2016–2019 гг.). Отрицательный лаг является результатом формирования паводков под воздействием локальных и приточных факторов — ледовых заторов и специфики режима вскрытия реки. Пиковые отметки в верхних створах могут возникать как зажорные подъёмы в период осеннего ледообразования (например, на Ленске в ноябре 2008 г.) либо как поздние июньские пики после прохождения основного якутского максимума. В обоих случаях наблюдаемая последовательность не противоречит физике процесса, а свидетельствует о доминировании заторного либо зажорного механизма над динамикой транзитной волны в данном году. Для оценки операционного окна упреждения такие годы исключаются из корреляционного анализа или обрабатываются по медианному, а не среднему лагу — это устраняет смещение, вызванное единичными аномальными ледовыми сценариями.</w:t>
      </w:r>
    </w:p>
    <w:p>
      <w:pPr>
        <w:spacing w:before="240" w:after="120"/>
        <w:ind w:firstLine="0"/>
        <w:jc w:val="left"/>
      </w:pPr>
      <w:r>
        <w:rPr>
          <w:b/>
          <w:sz w:val="26"/>
        </w:rPr>
        <w:t>2.1.5. Данные о глубине сезонного протаивания (программа CALM)</w:t>
      </w:r>
    </w:p>
    <w:p>
      <w:pPr>
        <w:spacing w:after="120"/>
        <w:jc w:val="both"/>
      </w:pPr>
      <w:r>
        <w:rPr>
          <w:rFonts w:ascii="Times New Roman" w:hAnsi="Times New Roman" w:eastAsia="Times New Roman" w:cs="Times New Roman"/>
        </w:rPr>
        <w:t>Многолетние ряды глубины сезонного протаивания грунта (сезонно-талый слой, СТС; в международной терминологии — Active Layer Thickness, ALT) получены из официального реестра международной программы циркумполярного мониторинга вечной мерзлоты CALM (Circumpolar Active Layer Monitoring), координируемой Университетом Джорджа Вашингтона (портал https://www2.gwu.edu/~calm/data/data-links.htm).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pPr>
        <w:spacing w:after="120"/>
        <w:jc w:val="both"/>
      </w:pPr>
      <w:r>
        <w:t>Площадка R42 «Туймаада»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pPr>
        <w:spacing w:after="120"/>
        <w:jc w:val="both"/>
      </w:pPr>
      <w:r>
        <w:t>Контраст трендов (+5,2 против +1,7 см/десятилетие) интерпретируется как количественное проявление антропогенно-теплового усиления деградации мерзлоты: в условиях плотной городской застройки термодеградация деятельного слоя протекает примерно в три раза интенсивнее, чем на фоновом ненарушенном ландшафте. При сохранении наблюдаемой скорости роста и проекции линейного тренда температуры на глубине 3,2 м (см. раздел 2.1.3) ожидаемое прохождение нулевой среднегодовой изотермы на горизонте 3,2 м произойдёт в 2030–2032 гг., что соответствует прогнозу потери несущей способности оснований по Принципу I (сохранение мёрзлого состояния).</w:t>
      </w:r>
    </w:p>
    <w:p>
      <w:pPr>
        <w:spacing w:before="240" w:after="120"/>
        <w:ind w:firstLine="0"/>
        <w:jc w:val="left"/>
      </w:pPr>
      <w:r>
        <w:rPr>
          <w:b/>
          <w:sz w:val="26"/>
        </w:rPr>
        <w:t>2.1.6. Архив чрезвычайных ситуаций (МЧС)</w:t>
      </w:r>
    </w:p>
    <w:p>
      <w:pPr>
        <w:spacing w:after="120"/>
        <w:jc w:val="both"/>
      </w:pPr>
      <w:r>
        <w:t>Информационная база по чрезвычайным ситуациям сформирована на основе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pPr>
        <w:spacing w:after="120"/>
        <w:jc w:val="both"/>
      </w:pPr>
      <w:r>
        <w:rPr>
          <w:rFonts w:ascii="Times New Roman" w:hAnsi="Times New Roman" w:eastAsia="Times New Roman" w:cs="Times New Roman"/>
        </w:rPr>
        <w:t>В расчётный массив работы (2008–2023 гг.) попадает 79 событий всех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pPr>
        <w:spacing w:before="240" w:after="120"/>
        <w:ind w:firstLine="0"/>
        <w:jc w:val="left"/>
      </w:pPr>
      <w:r>
        <w:rPr>
          <w:b/>
          <w:sz w:val="28"/>
        </w:rPr>
        <w:t>2.2. Обоснование пространственно-временных границ исследования</w:t>
      </w:r>
    </w:p>
    <w:p>
      <w:pPr>
        <w:spacing w:before="240" w:after="120"/>
        <w:ind w:firstLine="0"/>
        <w:jc w:val="left"/>
      </w:pPr>
      <w:r>
        <w:rPr>
          <w:b/>
          <w:sz w:val="26"/>
        </w:rPr>
        <w:t>2.2.1. Пространственная фильтрация</w:t>
      </w:r>
    </w:p>
    <w:p>
      <w:pPr>
        <w:spacing w:after="120"/>
        <w:jc w:val="both"/>
      </w:pPr>
      <w:r>
        <w:rPr>
          <w:rFonts w:ascii="Times New Roman" w:hAnsi="Times New Roman" w:eastAsia="Times New Roman" w:cs="Times New Roman"/>
        </w:rPr>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Итоговый опорная метеорологическая сеть сужен до четырёх репрезентативных станций — Киренск, Олёкминск, Якутск, Жиганск, — описанных в разделе 2.1.1.</w:t>
      </w:r>
    </w:p>
    <w:p>
      <w:pPr>
        <w:spacing w:after="120"/>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деградации мерзлоты в урбанизированных и фоновых ландшафтных условиях при идентичном макроклиматическом давлении.</w:t>
      </w:r>
    </w:p>
    <w:p>
      <w:pPr>
        <w:spacing w:before="240" w:after="120"/>
        <w:ind w:firstLine="0"/>
        <w:jc w:val="left"/>
      </w:pPr>
      <w:r>
        <w:rPr>
          <w:b/>
          <w:sz w:val="26"/>
        </w:rPr>
        <w:t>2.2.2. Обоснование расчётного периода 2008–2023 гг.</w:t>
      </w:r>
    </w:p>
    <w:p>
      <w:pPr>
        <w:spacing w:after="120"/>
        <w:jc w:val="both"/>
      </w:pPr>
      <w:r>
        <w:t>Расчётный период 2008–2023 гг. определён доступностью непрерывных и репрезентативных рядов глубины сезонного протаивания на опорных площадках CALM. Для остальных категорий данных в исходных архивах сохранены значительно более длинные ряды: метеорологические наблюдения ВНИИГМИ-МЦД охватывают период с конца XIX в. по 2025 г.; гидрологические ряды AllRivers — 2001–2026 гг.; ряд температуры грунта на глубине 3,2 м по Якутску — с 1970-х гг. Однако методология работы требует жёсткой синхронизации всех предикторов 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 используются как самостоятельный материал при описании долгосрочных трендов (раздел 2.1.3).</w:t>
      </w:r>
    </w:p>
    <w:p>
      <w:pPr>
        <w:spacing w:after="120"/>
        <w:jc w:val="both"/>
      </w:pPr>
      <w:r>
        <w:rPr>
          <w:rFonts w:ascii="Times New Roman" w:hAnsi="Times New Roman" w:eastAsia="Times New Roman" w:cs="Times New Roman"/>
        </w:rPr>
        <w:t>Для анализа зимних рядов период расширен на зиму 2007/2008 гг. (ноябрь–декабрь 2007 г.), поскольку методика согласования зимнего снегозапаса с весенним половодьем требует учёта зимней предыстории, формирующейся непосредственно перед первым весенним сезоном расчётного периода (весна 2008 г.).</w:t>
      </w:r>
    </w:p>
    <w:p>
      <w:pPr>
        <w:spacing w:before="240" w:after="120"/>
        <w:ind w:firstLine="0"/>
        <w:jc w:val="left"/>
      </w:pPr>
      <w:r>
        <w:rPr>
          <w:b/>
          <w:sz w:val="26"/>
        </w:rPr>
        <w:t>2.2.3. Уровни временного агрегирования</w:t>
      </w:r>
    </w:p>
    <w:p>
      <w:pPr>
        <w:spacing w:after="120"/>
        <w:jc w:val="both"/>
      </w:pPr>
      <w:r>
        <w:rPr>
          <w:rFonts w:ascii="Times New Roman" w:hAnsi="Times New Roman" w:eastAsia="Times New Roman" w:cs="Times New Roman"/>
        </w:rPr>
        <w:t>По результатам разведочного анализа приняты два уровня временной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мерзлотных процессов (глубина сезонного протаивания, среднегодовая температура грунта на глубине 3,2 м). Месячный уровень агрегации сознательно исключён: при переходе к месячным суммам или средним теряются короткие критические эпизоды — суточные пики уровней воды, экстремальные осадки, аномально тёплые дни и весенние оттепели, — непосредственно связанные с риском чрезвычайных ситуаций.</w:t>
      </w:r>
    </w:p>
    <w:p>
      <w:pPr>
        <w:spacing w:before="240" w:after="120"/>
        <w:ind w:firstLine="0"/>
        <w:jc w:val="left"/>
      </w:pPr>
      <w:r>
        <w:rPr>
          <w:b/>
          <w:sz w:val="28"/>
        </w:rPr>
        <w:t>2.3. Описание индексов аномальности</w:t>
      </w:r>
    </w:p>
    <w:p>
      <w:pPr>
        <w:spacing w:before="240" w:after="120"/>
        <w:ind w:firstLine="0"/>
        <w:jc w:val="left"/>
      </w:pPr>
      <w:r>
        <w:rPr>
          <w:b/>
          <w:sz w:val="26"/>
        </w:rPr>
        <w:t>2.3.1. Стандартизованные Z-оценки климатических параметров</w:t>
      </w:r>
    </w:p>
    <w:p>
      <w:pPr>
        <w:spacing w:after="120"/>
        <w:jc w:val="both"/>
      </w:pPr>
      <w:r>
        <w:t>Для унификации сравнительного анализа гидрометеорологических параметров, измеряемых в разных физических единицах, применяется метод стандартизации через Z-оценки. Для каждого параметра x и каждого года t рассчитывается отклонение от климатической нормы периода 2008–2023 гг. в единицах стандартного отклонения:</w:t>
      </w:r>
    </w:p>
    <w:p>
      <w:pPr>
        <w:ind w:firstLine="0"/>
        <w:jc w:val="center"/>
      </w:pPr>
      <w:r>
        <w:rPr>
          <w:i/>
          <w:sz w:val="26"/>
        </w:rPr>
        <w:t>z_t = (x_t − x̄) / σ_x</w:t>
      </w:r>
    </w:p>
    <w:p>
      <w:pPr>
        <w:spacing w:after="120"/>
        <w:jc w:val="both"/>
      </w:pPr>
      <w:r>
        <w:t>где x_t —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мерзлота, ЧС) и устраняет влияние ретроспективного выбора базы.</w:t>
      </w:r>
    </w:p>
    <w:p>
      <w:pPr>
        <w:spacing w:after="120"/>
        <w:jc w:val="both"/>
      </w:pPr>
      <w:r>
        <w:rPr>
          <w:rFonts w:ascii="Times New Roman" w:hAnsi="Times New Roman" w:eastAsia="Times New Roman" w:cs="Times New Roman"/>
        </w:rPr>
        <w:t>Полученная Z-оценка обеспечивает прямую количественную классификацию событий по степени аномальности и используется и для характеристики сезонов (см. таблицы 2.4–2.11), так и для построения интегрального индекса PSRS в главе 3. Принятая шкала классификации приведена в таблице 2.14.</w:t>
      </w:r>
    </w:p>
    <w:p>
      <w:pPr>
        <w:spacing w:before="120" w:after="60"/>
        <w:ind w:firstLine="0"/>
        <w:jc w:val="left"/>
      </w:pPr>
      <w:r>
        <w:rPr>
          <w:b w:val="0"/>
          <w:i w:val="0"/>
          <w:sz w:val="22"/>
        </w:rPr>
        <w:t>Таблица 2.14 — Классификация климатических сезонов по Z-оценке медианной суточной температуры</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928"/>
            <w:shd w:val="clear" w:color="auto" w:fill="D9D9D9"/>
            <w:vAlign w:val="center"/>
          </w:tcPr>
          <w:p>
            <w:pPr>
              <w:ind w:firstLine="0"/>
              <w:jc w:val="center"/>
            </w:pPr>
            <w:r/>
            <w:r>
              <w:rPr>
                <w:rFonts w:ascii="Times New Roman" w:hAnsi="Times New Roman"/>
                <w:b/>
                <w:sz w:val="20"/>
              </w:rPr>
              <w:t>Z-оценка</w:t>
            </w:r>
          </w:p>
        </w:tc>
        <w:tc>
          <w:tcPr>
            <w:tcW w:type="dxa" w:w="2154"/>
            <w:shd w:val="clear" w:color="auto" w:fill="D9D9D9"/>
            <w:vAlign w:val="center"/>
          </w:tcPr>
          <w:p>
            <w:pPr>
              <w:ind w:firstLine="0"/>
              <w:jc w:val="center"/>
            </w:pPr>
            <w:r/>
            <w:r>
              <w:rPr>
                <w:rFonts w:ascii="Times New Roman" w:hAnsi="Times New Roman"/>
                <w:b/>
                <w:sz w:val="20"/>
              </w:rPr>
              <w:t>Характер сезона</w:t>
            </w:r>
          </w:p>
        </w:tc>
        <w:tc>
          <w:tcPr>
            <w:tcW w:type="dxa" w:w="2665"/>
            <w:shd w:val="clear" w:color="auto" w:fill="D9D9D9"/>
            <w:vAlign w:val="center"/>
          </w:tcPr>
          <w:p>
            <w:pPr>
              <w:ind w:firstLine="0"/>
              <w:jc w:val="center"/>
            </w:pPr>
            <w:r/>
            <w:r>
              <w:rPr>
                <w:rFonts w:ascii="Times New Roman" w:hAnsi="Times New Roman"/>
                <w:b/>
                <w:sz w:val="20"/>
              </w:rPr>
              <w:t>Климатический смысл</w:t>
            </w:r>
          </w:p>
        </w:tc>
        <w:tc>
          <w:tcPr>
            <w:tcW w:type="dxa" w:w="2665"/>
            <w:shd w:val="clear" w:color="auto" w:fill="D9D9D9"/>
            <w:vAlign w:val="center"/>
          </w:tcPr>
          <w:p>
            <w:pPr>
              <w:ind w:firstLine="0"/>
              <w:jc w:val="center"/>
            </w:pPr>
            <w:r/>
            <w:r>
              <w:rPr>
                <w:rFonts w:ascii="Times New Roman" w:hAnsi="Times New Roman"/>
                <w:b/>
                <w:sz w:val="20"/>
              </w:rPr>
              <w:t>Эмпирическая частота</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тёплая</w:t>
            </w:r>
          </w:p>
        </w:tc>
        <w:tc>
          <w:tcPr>
            <w:tcW w:type="dxa" w:w="2665"/>
            <w:vAlign w:val="center"/>
          </w:tcPr>
          <w:p>
            <w:pPr>
              <w:ind w:firstLine="0"/>
              <w:jc w:val="center"/>
            </w:pPr>
            <w:r/>
            <w:r>
              <w:rPr>
                <w:rFonts w:ascii="Times New Roman" w:hAnsi="Times New Roman"/>
                <w:sz w:val="20"/>
              </w:rPr>
              <w:t>Резко выше климатической нормы</w:t>
            </w:r>
          </w:p>
        </w:tc>
        <w:tc>
          <w:tcPr>
            <w:tcW w:type="dxa" w:w="2665"/>
            <w:vAlign w:val="center"/>
          </w:tcPr>
          <w:p>
            <w:pPr>
              <w:ind w:firstLine="0"/>
              <w:jc w:val="center"/>
            </w:pPr>
            <w:r/>
            <w:r>
              <w:rPr>
                <w:rFonts w:ascii="Times New Roman" w:hAnsi="Times New Roman"/>
                <w:sz w:val="20"/>
              </w:rPr>
              <w:t>Редкое явление (≈1 раз в 10 лет)</w:t>
            </w:r>
          </w:p>
        </w:tc>
      </w:tr>
      <w:tr>
        <w:tc>
          <w:tcPr>
            <w:tcW w:type="dxa" w:w="1928"/>
            <w:vAlign w:val="center"/>
          </w:tcPr>
          <w:p>
            <w:pPr>
              <w:ind w:firstLine="0"/>
              <w:jc w:val="center"/>
            </w:pPr>
            <w:r/>
            <w:r>
              <w:rPr>
                <w:rFonts w:ascii="Times New Roman" w:hAnsi="Times New Roman"/>
                <w:sz w:val="20"/>
              </w:rPr>
              <w:t>+0,5 ≤ z &lt; +1,5</w:t>
            </w:r>
          </w:p>
        </w:tc>
        <w:tc>
          <w:tcPr>
            <w:tcW w:type="dxa" w:w="2154"/>
            <w:vAlign w:val="center"/>
          </w:tcPr>
          <w:p>
            <w:pPr>
              <w:ind w:firstLine="0"/>
              <w:jc w:val="center"/>
            </w:pPr>
            <w:r/>
            <w:r>
              <w:rPr>
                <w:rFonts w:ascii="Times New Roman" w:hAnsi="Times New Roman"/>
                <w:sz w:val="20"/>
              </w:rPr>
              <w:t>Тёплая</w:t>
            </w:r>
          </w:p>
        </w:tc>
        <w:tc>
          <w:tcPr>
            <w:tcW w:type="dxa" w:w="2665"/>
            <w:vAlign w:val="center"/>
          </w:tcPr>
          <w:p>
            <w:pPr>
              <w:ind w:firstLine="0"/>
              <w:jc w:val="center"/>
            </w:pPr>
            <w:r/>
            <w:r>
              <w:rPr>
                <w:rFonts w:ascii="Times New Roman" w:hAnsi="Times New Roman"/>
                <w:sz w:val="20"/>
              </w:rPr>
              <w:t>Выше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−0,5 &lt; z &lt; +0,5</w:t>
            </w:r>
          </w:p>
        </w:tc>
        <w:tc>
          <w:tcPr>
            <w:tcW w:type="dxa" w:w="2154"/>
            <w:vAlign w:val="center"/>
          </w:tcPr>
          <w:p>
            <w:pPr>
              <w:ind w:firstLine="0"/>
              <w:jc w:val="center"/>
            </w:pPr>
            <w:r/>
            <w:r>
              <w:rPr>
                <w:rFonts w:ascii="Times New Roman" w:hAnsi="Times New Roman"/>
                <w:sz w:val="20"/>
              </w:rPr>
              <w:t>Норма</w:t>
            </w:r>
          </w:p>
        </w:tc>
        <w:tc>
          <w:tcPr>
            <w:tcW w:type="dxa" w:w="2665"/>
            <w:vAlign w:val="center"/>
          </w:tcPr>
          <w:p>
            <w:pPr>
              <w:ind w:firstLine="0"/>
              <w:jc w:val="center"/>
            </w:pPr>
            <w:r/>
            <w:r>
              <w:rPr>
                <w:rFonts w:ascii="Times New Roman" w:hAnsi="Times New Roman"/>
                <w:sz w:val="20"/>
              </w:rPr>
              <w:t>Близко к климатической норме</w:t>
            </w:r>
          </w:p>
        </w:tc>
        <w:tc>
          <w:tcPr>
            <w:tcW w:type="dxa" w:w="2665"/>
            <w:vAlign w:val="center"/>
          </w:tcPr>
          <w:p>
            <w:pPr>
              <w:ind w:firstLine="0"/>
              <w:jc w:val="center"/>
            </w:pPr>
            <w:r/>
            <w:r>
              <w:rPr>
                <w:rFonts w:ascii="Times New Roman" w:hAnsi="Times New Roman"/>
                <w:sz w:val="20"/>
              </w:rPr>
              <w:t>Типичное состояние</w:t>
            </w:r>
          </w:p>
        </w:tc>
      </w:tr>
      <w:tr>
        <w:tc>
          <w:tcPr>
            <w:tcW w:type="dxa" w:w="1928"/>
            <w:vAlign w:val="center"/>
          </w:tcPr>
          <w:p>
            <w:pPr>
              <w:ind w:firstLine="0"/>
              <w:jc w:val="center"/>
            </w:pPr>
            <w:r/>
            <w:r>
              <w:rPr>
                <w:rFonts w:ascii="Times New Roman" w:hAnsi="Times New Roman"/>
                <w:sz w:val="20"/>
              </w:rPr>
              <w:t>−1,5 ≤ z ≤ −0,5</w:t>
            </w:r>
          </w:p>
        </w:tc>
        <w:tc>
          <w:tcPr>
            <w:tcW w:type="dxa" w:w="2154"/>
            <w:vAlign w:val="center"/>
          </w:tcPr>
          <w:p>
            <w:pPr>
              <w:ind w:firstLine="0"/>
              <w:jc w:val="center"/>
            </w:pPr>
            <w:r/>
            <w:r>
              <w:rPr>
                <w:rFonts w:ascii="Times New Roman" w:hAnsi="Times New Roman"/>
                <w:sz w:val="20"/>
              </w:rPr>
              <w:t>Холодная</w:t>
            </w:r>
          </w:p>
        </w:tc>
        <w:tc>
          <w:tcPr>
            <w:tcW w:type="dxa" w:w="2665"/>
            <w:vAlign w:val="center"/>
          </w:tcPr>
          <w:p>
            <w:pPr>
              <w:ind w:firstLine="0"/>
              <w:jc w:val="center"/>
            </w:pPr>
            <w:r/>
            <w:r>
              <w:rPr>
                <w:rFonts w:ascii="Times New Roman" w:hAnsi="Times New Roman"/>
                <w:sz w:val="20"/>
              </w:rPr>
              <w:t>Ниже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холодная</w:t>
            </w:r>
          </w:p>
        </w:tc>
        <w:tc>
          <w:tcPr>
            <w:tcW w:type="dxa" w:w="2665"/>
            <w:vAlign w:val="center"/>
          </w:tcPr>
          <w:p>
            <w:pPr>
              <w:ind w:firstLine="0"/>
              <w:jc w:val="center"/>
            </w:pPr>
            <w:r/>
            <w:r>
              <w:rPr>
                <w:rFonts w:ascii="Times New Roman" w:hAnsi="Times New Roman"/>
                <w:sz w:val="20"/>
              </w:rPr>
              <w:t>Резко ниже климатической нормы</w:t>
            </w:r>
          </w:p>
        </w:tc>
        <w:tc>
          <w:tcPr>
            <w:tcW w:type="dxa" w:w="2665"/>
            <w:vAlign w:val="center"/>
          </w:tcPr>
          <w:p>
            <w:pPr>
              <w:ind w:firstLine="0"/>
              <w:jc w:val="center"/>
            </w:pPr>
            <w:r/>
            <w:r>
              <w:rPr>
                <w:rFonts w:ascii="Times New Roman" w:hAnsi="Times New Roman"/>
                <w:sz w:val="20"/>
              </w:rPr>
              <w:t>Редкое явление</w:t>
            </w:r>
          </w:p>
        </w:tc>
      </w:tr>
    </w:tbl>
    <w:p>
      <w:pPr>
        <w:spacing w:after="120"/>
        <w:jc w:val="both"/>
      </w:pPr>
      <w:r>
        <w:t>Применение классификации к шестнадцатилетнему ряду медианных весенних температур в Якутске даёт распределение, приведённое в таблице 2.15. Из 16 лет наблюдений выделяется единственная аномально тёплая весна — 2014 г. (z = +1,8; T_med = +1,2 °C, что на 3,3 °C выше нормы −2,1 °C); единственная аномально холодная — 2021 г. (z = −1,4; −4,9 °C). Остальные 14 лет укладываются в диапазон нормы и умеренных отклонений (|z| &lt; 1,5). Слабый положительный тренд медиан (≈+0,1 °C/год за 2008–2023 гг.) согласуется с региональными климатическими тенденциями Центральной Якутии.</w:t>
      </w:r>
    </w:p>
    <w:p>
      <w:pPr>
        <w:spacing w:before="120" w:after="60"/>
        <w:ind w:firstLine="0"/>
        <w:jc w:val="left"/>
      </w:pPr>
      <w:r>
        <w:rPr>
          <w:b w:val="0"/>
          <w:i w:val="0"/>
          <w:sz w:val="22"/>
        </w:rPr>
        <w:t>Таблица 2.15 — Классификация весен в Якутске по температурному Z-индексу (2008–2023 гг.)</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134"/>
            <w:shd w:val="clear" w:color="auto" w:fill="D9D9D9"/>
            <w:vAlign w:val="center"/>
          </w:tcPr>
          <w:p>
            <w:pPr>
              <w:ind w:firstLine="0"/>
              <w:jc w:val="center"/>
            </w:pPr>
            <w:r/>
            <w:r>
              <w:rPr>
                <w:rFonts w:ascii="Times New Roman" w:hAnsi="Times New Roman"/>
                <w:b/>
                <w:sz w:val="20"/>
              </w:rPr>
              <w:t>Год</w:t>
            </w:r>
          </w:p>
        </w:tc>
        <w:tc>
          <w:tcPr>
            <w:tcW w:type="dxa" w:w="1984"/>
            <w:shd w:val="clear" w:color="auto" w:fill="D9D9D9"/>
            <w:vAlign w:val="center"/>
          </w:tcPr>
          <w:p>
            <w:pPr>
              <w:ind w:firstLine="0"/>
              <w:jc w:val="center"/>
            </w:pPr>
            <w:r/>
            <w:r>
              <w:rPr>
                <w:rFonts w:ascii="Times New Roman" w:hAnsi="Times New Roman"/>
                <w:b/>
                <w:sz w:val="20"/>
              </w:rPr>
              <w:t>T_med весна, °C</w:t>
            </w:r>
          </w:p>
        </w:tc>
        <w:tc>
          <w:tcPr>
            <w:tcW w:type="dxa" w:w="1417"/>
            <w:shd w:val="clear" w:color="auto" w:fill="D9D9D9"/>
            <w:vAlign w:val="center"/>
          </w:tcPr>
          <w:p>
            <w:pPr>
              <w:ind w:firstLine="0"/>
              <w:jc w:val="center"/>
            </w:pPr>
            <w:r/>
            <w:r>
              <w:rPr>
                <w:rFonts w:ascii="Times New Roman" w:hAnsi="Times New Roman"/>
                <w:b/>
                <w:sz w:val="20"/>
              </w:rPr>
              <w:t>Z-оценка</w:t>
            </w:r>
          </w:p>
        </w:tc>
        <w:tc>
          <w:tcPr>
            <w:tcW w:type="dxa" w:w="2551"/>
            <w:shd w:val="clear" w:color="auto" w:fill="D9D9D9"/>
            <w:vAlign w:val="center"/>
          </w:tcPr>
          <w:p>
            <w:pPr>
              <w:ind w:firstLine="0"/>
              <w:jc w:val="center"/>
            </w:pPr>
            <w:r/>
            <w:r>
              <w:rPr>
                <w:rFonts w:ascii="Times New Roman" w:hAnsi="Times New Roman"/>
                <w:b/>
                <w:sz w:val="20"/>
              </w:rPr>
              <w:t>Характер весны</w:t>
            </w:r>
          </w:p>
        </w:tc>
      </w:tr>
      <w:tr>
        <w:tc>
          <w:tcPr>
            <w:tcW w:type="dxa" w:w="1134"/>
            <w:vAlign w:val="center"/>
          </w:tcPr>
          <w:p>
            <w:pPr>
              <w:ind w:firstLine="0"/>
              <w:jc w:val="center"/>
            </w:pPr>
            <w:r/>
            <w:r>
              <w:rPr>
                <w:rFonts w:ascii="Times New Roman" w:hAnsi="Times New Roman"/>
                <w:sz w:val="20"/>
              </w:rPr>
              <w:t>2008</w:t>
            </w:r>
          </w:p>
        </w:tc>
        <w:tc>
          <w:tcPr>
            <w:tcW w:type="dxa" w:w="1984"/>
            <w:vAlign w:val="center"/>
          </w:tcPr>
          <w:p>
            <w:pPr>
              <w:ind w:firstLine="0"/>
              <w:jc w:val="center"/>
            </w:pPr>
            <w:r/>
            <w:r>
              <w:rPr>
                <w:rFonts w:ascii="Times New Roman" w:hAnsi="Times New Roman"/>
                <w:sz w:val="20"/>
              </w:rPr>
              <w:t>−4,4</w:t>
            </w:r>
          </w:p>
        </w:tc>
        <w:tc>
          <w:tcPr>
            <w:tcW w:type="dxa" w:w="1417"/>
            <w:vAlign w:val="center"/>
          </w:tcPr>
          <w:p>
            <w:pPr>
              <w:ind w:firstLine="0"/>
              <w:jc w:val="center"/>
            </w:pPr>
            <w:r/>
            <w:r>
              <w:rPr>
                <w:rFonts w:ascii="Times New Roman" w:hAnsi="Times New Roman"/>
                <w:sz w:val="20"/>
              </w:rPr>
              <w:t>−1,2</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2009</w:t>
            </w:r>
          </w:p>
        </w:tc>
        <w:tc>
          <w:tcPr>
            <w:tcW w:type="dxa" w:w="1984"/>
            <w:vAlign w:val="center"/>
          </w:tcPr>
          <w:p>
            <w:pPr>
              <w:ind w:firstLine="0"/>
              <w:jc w:val="center"/>
            </w:pPr>
            <w:r/>
            <w:r>
              <w:rPr>
                <w:rFonts w:ascii="Times New Roman" w:hAnsi="Times New Roman"/>
                <w:sz w:val="20"/>
              </w:rPr>
              <w:t>−3,1</w:t>
            </w:r>
          </w:p>
        </w:tc>
        <w:tc>
          <w:tcPr>
            <w:tcW w:type="dxa" w:w="1417"/>
            <w:vAlign w:val="center"/>
          </w:tcPr>
          <w:p>
            <w:pPr>
              <w:ind w:firstLine="0"/>
              <w:jc w:val="center"/>
            </w:pPr>
            <w:r/>
            <w:r>
              <w:rPr>
                <w:rFonts w:ascii="Times New Roman" w:hAnsi="Times New Roman"/>
                <w:sz w:val="20"/>
              </w:rPr>
              <w:t>−0,8</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2010</w:t>
            </w:r>
          </w:p>
        </w:tc>
        <w:tc>
          <w:tcPr>
            <w:tcW w:type="dxa" w:w="1984"/>
            <w:vAlign w:val="center"/>
          </w:tcPr>
          <w:p>
            <w:pPr>
              <w:ind w:firstLine="0"/>
              <w:jc w:val="center"/>
            </w:pPr>
            <w:r/>
            <w:r>
              <w:rPr>
                <w:rFonts w:ascii="Times New Roman" w:hAnsi="Times New Roman"/>
                <w:sz w:val="20"/>
              </w:rPr>
              <w:t>−4,6</w:t>
            </w:r>
          </w:p>
        </w:tc>
        <w:tc>
          <w:tcPr>
            <w:tcW w:type="dxa" w:w="1417"/>
            <w:vAlign w:val="center"/>
          </w:tcPr>
          <w:p>
            <w:pPr>
              <w:ind w:firstLine="0"/>
              <w:jc w:val="center"/>
            </w:pPr>
            <w:r/>
            <w:r>
              <w:rPr>
                <w:rFonts w:ascii="Times New Roman" w:hAnsi="Times New Roman"/>
                <w:sz w:val="20"/>
              </w:rPr>
              <w:t>−1,3</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2011</w:t>
            </w:r>
          </w:p>
        </w:tc>
        <w:tc>
          <w:tcPr>
            <w:tcW w:type="dxa" w:w="1984"/>
            <w:vAlign w:val="center"/>
          </w:tcPr>
          <w:p>
            <w:pPr>
              <w:ind w:firstLine="0"/>
              <w:jc w:val="center"/>
            </w:pPr>
            <w:r/>
            <w:r>
              <w:rPr>
                <w:rFonts w:ascii="Times New Roman" w:hAnsi="Times New Roman"/>
                <w:sz w:val="20"/>
              </w:rPr>
              <w:t>−2,8</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2012</w:t>
            </w:r>
          </w:p>
        </w:tc>
        <w:tc>
          <w:tcPr>
            <w:tcW w:type="dxa" w:w="1984"/>
            <w:vAlign w:val="center"/>
          </w:tcPr>
          <w:p>
            <w:pPr>
              <w:ind w:firstLine="0"/>
              <w:jc w:val="center"/>
            </w:pPr>
            <w:r/>
            <w:r>
              <w:rPr>
                <w:rFonts w:ascii="Times New Roman" w:hAnsi="Times New Roman"/>
                <w:sz w:val="20"/>
              </w:rPr>
              <w:t>−3,5</w:t>
            </w:r>
          </w:p>
        </w:tc>
        <w:tc>
          <w:tcPr>
            <w:tcW w:type="dxa" w:w="1417"/>
            <w:vAlign w:val="center"/>
          </w:tcPr>
          <w:p>
            <w:pPr>
              <w:ind w:firstLine="0"/>
              <w:jc w:val="center"/>
            </w:pPr>
            <w:r/>
            <w:r>
              <w:rPr>
                <w:rFonts w:ascii="Times New Roman" w:hAnsi="Times New Roman"/>
                <w:sz w:val="20"/>
              </w:rPr>
              <w:t>−1,0</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2013</w:t>
            </w:r>
          </w:p>
        </w:tc>
        <w:tc>
          <w:tcPr>
            <w:tcW w:type="dxa" w:w="1984"/>
            <w:vAlign w:val="center"/>
          </w:tcPr>
          <w:p>
            <w:pPr>
              <w:ind w:firstLine="0"/>
              <w:jc w:val="center"/>
            </w:pPr>
            <w:r/>
            <w:r>
              <w:rPr>
                <w:rFonts w:ascii="Times New Roman" w:hAnsi="Times New Roman"/>
                <w:sz w:val="20"/>
              </w:rPr>
              <w:t>−2,3</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2014</w:t>
            </w:r>
          </w:p>
        </w:tc>
        <w:tc>
          <w:tcPr>
            <w:tcW w:type="dxa" w:w="1984"/>
            <w:vAlign w:val="center"/>
          </w:tcPr>
          <w:p>
            <w:pPr>
              <w:ind w:firstLine="0"/>
              <w:jc w:val="center"/>
            </w:pPr>
            <w:r/>
            <w:r>
              <w:rPr>
                <w:rFonts w:ascii="Times New Roman" w:hAnsi="Times New Roman"/>
                <w:sz w:val="20"/>
              </w:rPr>
              <w:t>+1,2</w:t>
            </w:r>
          </w:p>
        </w:tc>
        <w:tc>
          <w:tcPr>
            <w:tcW w:type="dxa" w:w="1417"/>
            <w:vAlign w:val="center"/>
          </w:tcPr>
          <w:p>
            <w:pPr>
              <w:ind w:firstLine="0"/>
              <w:jc w:val="center"/>
            </w:pPr>
            <w:r/>
            <w:r>
              <w:rPr>
                <w:rFonts w:ascii="Times New Roman" w:hAnsi="Times New Roman"/>
                <w:sz w:val="20"/>
              </w:rPr>
              <w:t>+1,8</w:t>
            </w:r>
          </w:p>
        </w:tc>
        <w:tc>
          <w:tcPr>
            <w:tcW w:type="dxa" w:w="2551"/>
            <w:vAlign w:val="center"/>
          </w:tcPr>
          <w:p>
            <w:pPr>
              <w:ind w:firstLine="0"/>
              <w:jc w:val="center"/>
            </w:pPr>
            <w:r/>
            <w:r>
              <w:rPr>
                <w:rFonts w:ascii="Times New Roman" w:hAnsi="Times New Roman"/>
                <w:sz w:val="20"/>
              </w:rPr>
              <w:t>Аномально тёплая</w:t>
            </w:r>
          </w:p>
        </w:tc>
      </w:tr>
      <w:tr>
        <w:tc>
          <w:tcPr>
            <w:tcW w:type="dxa" w:w="1134"/>
            <w:vAlign w:val="center"/>
          </w:tcPr>
          <w:p>
            <w:pPr>
              <w:ind w:firstLine="0"/>
              <w:jc w:val="center"/>
            </w:pPr>
            <w:r/>
            <w:r>
              <w:rPr>
                <w:rFonts w:ascii="Times New Roman" w:hAnsi="Times New Roman"/>
                <w:sz w:val="20"/>
              </w:rPr>
              <w:t>2015</w:t>
            </w:r>
          </w:p>
        </w:tc>
        <w:tc>
          <w:tcPr>
            <w:tcW w:type="dxa" w:w="1984"/>
            <w:vAlign w:val="center"/>
          </w:tcPr>
          <w:p>
            <w:pPr>
              <w:ind w:firstLine="0"/>
              <w:jc w:val="center"/>
            </w:pPr>
            <w:r/>
            <w:r>
              <w:rPr>
                <w:rFonts w:ascii="Times New Roman" w:hAnsi="Times New Roman"/>
                <w:sz w:val="20"/>
              </w:rPr>
              <w:t>−2,9</w:t>
            </w:r>
          </w:p>
        </w:tc>
        <w:tc>
          <w:tcPr>
            <w:tcW w:type="dxa" w:w="1417"/>
            <w:vAlign w:val="center"/>
          </w:tcPr>
          <w:p>
            <w:pPr>
              <w:ind w:firstLine="0"/>
              <w:jc w:val="center"/>
            </w:pPr>
            <w:r/>
            <w:r>
              <w:rPr>
                <w:rFonts w:ascii="Times New Roman" w:hAnsi="Times New Roman"/>
                <w:sz w:val="20"/>
              </w:rPr>
              <w:t>−0,6</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2016</w:t>
            </w:r>
          </w:p>
        </w:tc>
        <w:tc>
          <w:tcPr>
            <w:tcW w:type="dxa" w:w="1984"/>
            <w:vAlign w:val="center"/>
          </w:tcPr>
          <w:p>
            <w:pPr>
              <w:ind w:firstLine="0"/>
              <w:jc w:val="center"/>
            </w:pPr>
            <w:r/>
            <w:r>
              <w:rPr>
                <w:rFonts w:ascii="Times New Roman" w:hAnsi="Times New Roman"/>
                <w:sz w:val="20"/>
              </w:rPr>
              <w:t>+0,4</w:t>
            </w:r>
          </w:p>
        </w:tc>
        <w:tc>
          <w:tcPr>
            <w:tcW w:type="dxa" w:w="1417"/>
            <w:vAlign w:val="center"/>
          </w:tcPr>
          <w:p>
            <w:pPr>
              <w:ind w:firstLine="0"/>
              <w:jc w:val="center"/>
            </w:pPr>
            <w:r/>
            <w:r>
              <w:rPr>
                <w:rFonts w:ascii="Times New Roman" w:hAnsi="Times New Roman"/>
                <w:sz w:val="20"/>
              </w:rPr>
              <w:t>+0,5</w:t>
            </w:r>
          </w:p>
        </w:tc>
        <w:tc>
          <w:tcPr>
            <w:tcW w:type="dxa" w:w="2551"/>
            <w:vAlign w:val="center"/>
          </w:tcPr>
          <w:p>
            <w:pPr>
              <w:ind w:firstLine="0"/>
              <w:jc w:val="center"/>
            </w:pPr>
            <w:r/>
            <w:r>
              <w:rPr>
                <w:rFonts w:ascii="Times New Roman" w:hAnsi="Times New Roman"/>
                <w:sz w:val="20"/>
              </w:rPr>
              <w:t>Тёплая</w:t>
            </w:r>
          </w:p>
        </w:tc>
      </w:tr>
      <w:tr>
        <w:tc>
          <w:tcPr>
            <w:tcW w:type="dxa" w:w="1134"/>
            <w:vAlign w:val="center"/>
          </w:tcPr>
          <w:p>
            <w:pPr>
              <w:ind w:firstLine="0"/>
              <w:jc w:val="center"/>
            </w:pPr>
            <w:r/>
            <w:r>
              <w:rPr>
                <w:rFonts w:ascii="Times New Roman" w:hAnsi="Times New Roman"/>
                <w:sz w:val="20"/>
              </w:rPr>
              <w:t>2017</w:t>
            </w:r>
          </w:p>
        </w:tc>
        <w:tc>
          <w:tcPr>
            <w:tcW w:type="dxa" w:w="1984"/>
            <w:vAlign w:val="center"/>
          </w:tcPr>
          <w:p>
            <w:pPr>
              <w:ind w:firstLine="0"/>
              <w:jc w:val="center"/>
            </w:pPr>
            <w:r/>
            <w:r>
              <w:rPr>
                <w:rFonts w:ascii="Times New Roman" w:hAnsi="Times New Roman"/>
                <w:sz w:val="20"/>
              </w:rPr>
              <w:t>−0,6</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2018</w:t>
            </w:r>
          </w:p>
        </w:tc>
        <w:tc>
          <w:tcPr>
            <w:tcW w:type="dxa" w:w="1984"/>
            <w:vAlign w:val="center"/>
          </w:tcPr>
          <w:p>
            <w:pPr>
              <w:ind w:firstLine="0"/>
              <w:jc w:val="center"/>
            </w:pPr>
            <w:r/>
            <w:r>
              <w:rPr>
                <w:rFonts w:ascii="Times New Roman" w:hAnsi="Times New Roman"/>
                <w:sz w:val="20"/>
              </w:rPr>
              <w:t>−1,3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2019</w:t>
            </w:r>
          </w:p>
        </w:tc>
        <w:tc>
          <w:tcPr>
            <w:tcW w:type="dxa" w:w="1984"/>
            <w:vAlign w:val="center"/>
          </w:tcPr>
          <w:p>
            <w:pPr>
              <w:ind w:firstLine="0"/>
              <w:jc w:val="center"/>
            </w:pPr>
            <w:r/>
            <w:r>
              <w:rPr>
                <w:rFonts w:ascii="Times New Roman" w:hAnsi="Times New Roman"/>
                <w:sz w:val="20"/>
              </w:rPr>
              <w:t>−0,3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2020</w:t>
            </w:r>
          </w:p>
        </w:tc>
        <w:tc>
          <w:tcPr>
            <w:tcW w:type="dxa" w:w="1984"/>
            <w:vAlign w:val="center"/>
          </w:tcPr>
          <w:p>
            <w:pPr>
              <w:ind w:firstLine="0"/>
              <w:jc w:val="center"/>
            </w:pPr>
            <w:r/>
            <w:r>
              <w:rPr>
                <w:rFonts w:ascii="Times New Roman" w:hAnsi="Times New Roman"/>
                <w:sz w:val="20"/>
              </w:rPr>
              <w:t>+0,2</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2021</w:t>
            </w:r>
          </w:p>
        </w:tc>
        <w:tc>
          <w:tcPr>
            <w:tcW w:type="dxa" w:w="1984"/>
            <w:vAlign w:val="center"/>
          </w:tcPr>
          <w:p>
            <w:pPr>
              <w:ind w:firstLine="0"/>
              <w:jc w:val="center"/>
            </w:pPr>
            <w:r/>
            <w:r>
              <w:rPr>
                <w:rFonts w:ascii="Times New Roman" w:hAnsi="Times New Roman"/>
                <w:sz w:val="20"/>
              </w:rPr>
              <w:t>−4,9</w:t>
            </w:r>
          </w:p>
        </w:tc>
        <w:tc>
          <w:tcPr>
            <w:tcW w:type="dxa" w:w="1417"/>
            <w:vAlign w:val="center"/>
          </w:tcPr>
          <w:p>
            <w:pPr>
              <w:ind w:firstLine="0"/>
              <w:jc w:val="center"/>
            </w:pPr>
            <w:r/>
            <w:r>
              <w:rPr>
                <w:rFonts w:ascii="Times New Roman" w:hAnsi="Times New Roman"/>
                <w:sz w:val="20"/>
              </w:rPr>
              <w:t>−1,4</w:t>
            </w:r>
          </w:p>
        </w:tc>
        <w:tc>
          <w:tcPr>
            <w:tcW w:type="dxa" w:w="2551"/>
            <w:vAlign w:val="center"/>
          </w:tcPr>
          <w:p>
            <w:pPr>
              <w:ind w:firstLine="0"/>
              <w:jc w:val="center"/>
            </w:pPr>
            <w:r/>
            <w:r>
              <w:rPr>
                <w:rFonts w:ascii="Times New Roman" w:hAnsi="Times New Roman"/>
                <w:sz w:val="20"/>
              </w:rPr>
              <w:t>Аномально холодная</w:t>
            </w:r>
          </w:p>
        </w:tc>
      </w:tr>
      <w:tr>
        <w:tc>
          <w:tcPr>
            <w:tcW w:type="dxa" w:w="1134"/>
            <w:vAlign w:val="center"/>
          </w:tcPr>
          <w:p>
            <w:pPr>
              <w:ind w:firstLine="0"/>
              <w:jc w:val="center"/>
            </w:pPr>
            <w:r/>
            <w:r>
              <w:rPr>
                <w:rFonts w:ascii="Times New Roman" w:hAnsi="Times New Roman"/>
                <w:sz w:val="20"/>
              </w:rPr>
              <w:t>2022</w:t>
            </w:r>
          </w:p>
        </w:tc>
        <w:tc>
          <w:tcPr>
            <w:tcW w:type="dxa" w:w="1984"/>
            <w:vAlign w:val="center"/>
          </w:tcPr>
          <w:p>
            <w:pPr>
              <w:ind w:firstLine="0"/>
              <w:jc w:val="center"/>
            </w:pPr>
            <w:r/>
            <w:r>
              <w:rPr>
                <w:rFonts w:ascii="Times New Roman" w:hAnsi="Times New Roman"/>
                <w:sz w:val="20"/>
              </w:rPr>
              <w:t>−2,2</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2023</w:t>
            </w:r>
          </w:p>
        </w:tc>
        <w:tc>
          <w:tcPr>
            <w:tcW w:type="dxa" w:w="1984"/>
            <w:vAlign w:val="center"/>
          </w:tcPr>
          <w:p>
            <w:pPr>
              <w:ind w:firstLine="0"/>
              <w:jc w:val="center"/>
            </w:pPr>
            <w:r/>
            <w:r>
              <w:rPr>
                <w:rFonts w:ascii="Times New Roman" w:hAnsi="Times New Roman"/>
                <w:sz w:val="20"/>
              </w:rPr>
              <w:t>−1,0</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bl>
    <w:p>
      <w:pPr>
        <w:spacing w:after="120"/>
        <w:jc w:val="both"/>
      </w:pPr>
      <w:r>
        <w:rPr>
          <w:rFonts w:ascii="Times New Roman" w:hAnsi="Times New Roman" w:eastAsia="Times New Roman" w:cs="Times New Roman"/>
        </w:rPr>
        <w:t>Аналогичная классификация (с теми же z-порогами) применяется к зимнему периоду по медианной декабрь–февральской температуре. Категории характера зимы для каждой станции приведены в правой колонке таблиц 2.8–2.11.</w:t>
      </w:r>
    </w:p>
    <w:p>
      <w:pPr>
        <w:spacing w:before="240" w:after="120"/>
        <w:ind w:firstLine="0"/>
        <w:jc w:val="left"/>
      </w:pPr>
      <w:r>
        <w:rPr>
          <w:b/>
          <w:sz w:val="26"/>
        </w:rPr>
        <w:t>2.3.2. Индекс Degree-Days Temperature (DDT)</w:t>
      </w:r>
    </w:p>
    <w:p>
      <w:pPr>
        <w:spacing w:after="120"/>
        <w:jc w:val="both"/>
      </w:pPr>
      <w:r>
        <w:t>Индекс Degree-Days Temperature (DDT) — интегральный показатель накопления тепловой нагрузки за сезон, рассчитываемый как сумма суточных температур, превышающих пороговое значение 0 °C. Весенняя версия индекса определяется выражением:</w:t>
      </w:r>
    </w:p>
    <w:p>
      <w:pPr>
        <w:ind w:firstLine="0"/>
        <w:jc w:val="center"/>
      </w:pPr>
      <w:r>
        <w:rPr>
          <w:i/>
          <w:sz w:val="26"/>
        </w:rPr>
        <w:t>DDT = Σ max(T_t, 0),   t ∈ [1 марта, 31 мая],   [°C·сут]</w:t>
      </w:r>
    </w:p>
    <w:p>
      <w:pPr>
        <w:spacing w:after="120"/>
        <w:jc w:val="both"/>
      </w:pPr>
      <w:r>
        <w:t>В данной формулировке DDT представляет собой пост-факторный итог сезона; для оперативного прогноза в главе 3 параллельно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pPr>
        <w:spacing w:before="120" w:after="60"/>
        <w:ind w:firstLine="0"/>
        <w:jc w:val="left"/>
      </w:pPr>
      <w:r>
        <w:rPr>
          <w:b w:val="0"/>
          <w:i w:val="0"/>
          <w:sz w:val="22"/>
        </w:rPr>
        <w:t>Таблица 2.16 — Индекс Degree-Days Temperature весной по станциям (°C·сут,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vAlign w:val="center"/>
          </w:tcPr>
          <w:p>
            <w:pPr>
              <w:ind w:firstLine="0"/>
              <w:jc w:val="center"/>
            </w:pPr>
            <w:r/>
            <w:r>
              <w:rPr>
                <w:rFonts w:ascii="Times New Roman" w:hAnsi="Times New Roman"/>
                <w:b/>
                <w:sz w:val="20"/>
              </w:rPr>
              <w:t>Год</w:t>
            </w:r>
          </w:p>
        </w:tc>
        <w:tc>
          <w:tcPr>
            <w:tcW w:type="dxa" w:w="1134"/>
            <w:shd w:val="clear" w:color="auto" w:fill="D9D9D9"/>
            <w:vAlign w:val="center"/>
          </w:tcPr>
          <w:p>
            <w:pPr>
              <w:ind w:firstLine="0"/>
              <w:jc w:val="center"/>
            </w:pPr>
            <w:r/>
            <w:r>
              <w:rPr>
                <w:rFonts w:ascii="Times New Roman" w:hAnsi="Times New Roman"/>
                <w:b/>
                <w:sz w:val="20"/>
              </w:rPr>
              <w:t>Киренск</w:t>
            </w:r>
          </w:p>
        </w:tc>
        <w:tc>
          <w:tcPr>
            <w:tcW w:type="dxa" w:w="1247"/>
            <w:shd w:val="clear" w:color="auto" w:fill="D9D9D9"/>
            <w:vAlign w:val="center"/>
          </w:tcPr>
          <w:p>
            <w:pPr>
              <w:ind w:firstLine="0"/>
              <w:jc w:val="center"/>
            </w:pPr>
            <w:r/>
            <w:r>
              <w:rPr>
                <w:rFonts w:ascii="Times New Roman" w:hAnsi="Times New Roman"/>
                <w:b/>
                <w:sz w:val="20"/>
              </w:rPr>
              <w:t>Олёкминск</w:t>
            </w:r>
          </w:p>
        </w:tc>
        <w:tc>
          <w:tcPr>
            <w:tcW w:type="dxa" w:w="1134"/>
            <w:shd w:val="clear" w:color="auto" w:fill="D9D9D9"/>
            <w:vAlign w:val="center"/>
          </w:tcPr>
          <w:p>
            <w:pPr>
              <w:ind w:firstLine="0"/>
              <w:jc w:val="center"/>
            </w:pPr>
            <w:r/>
            <w:r>
              <w:rPr>
                <w:rFonts w:ascii="Times New Roman" w:hAnsi="Times New Roman"/>
                <w:b/>
                <w:sz w:val="20"/>
              </w:rPr>
              <w:t>Якутск</w:t>
            </w:r>
          </w:p>
        </w:tc>
        <w:tc>
          <w:tcPr>
            <w:tcW w:type="dxa" w:w="1134"/>
            <w:shd w:val="clear" w:color="auto" w:fill="D9D9D9"/>
            <w:vAlign w:val="center"/>
          </w:tcPr>
          <w:p>
            <w:pPr>
              <w:ind w:firstLine="0"/>
              <w:jc w:val="center"/>
            </w:pPr>
            <w:r/>
            <w:r>
              <w:rPr>
                <w:rFonts w:ascii="Times New Roman" w:hAnsi="Times New Roman"/>
                <w:b/>
                <w:sz w:val="20"/>
              </w:rPr>
              <w:t>Жиганск</w:t>
            </w:r>
          </w:p>
        </w:tc>
        <w:tc>
          <w:tcPr>
            <w:tcW w:type="dxa" w:w="2608"/>
            <w:shd w:val="clear" w:color="auto" w:fill="D9D9D9"/>
            <w:vAlign w:val="center"/>
          </w:tcPr>
          <w:p>
            <w:pPr>
              <w:ind w:firstLine="0"/>
              <w:jc w:val="center"/>
            </w:pPr>
            <w:r/>
            <w:r>
              <w:rPr>
                <w:rFonts w:ascii="Times New Roman" w:hAnsi="Times New Roman"/>
                <w:b/>
                <w:sz w:val="20"/>
              </w:rPr>
              <w:t>Характер весны (по Якутску)</w:t>
            </w:r>
          </w:p>
        </w:tc>
      </w:tr>
      <w:tr>
        <w:tc>
          <w:tcPr>
            <w:tcW w:type="dxa" w:w="2041"/>
            <w:vAlign w:val="center"/>
          </w:tcPr>
          <w:p>
            <w:pPr>
              <w:ind w:firstLine="0"/>
              <w:jc w:val="center"/>
            </w:pPr>
            <w:r/>
            <w:r>
              <w:rPr>
                <w:rFonts w:ascii="Times New Roman" w:hAnsi="Times New Roman"/>
                <w:sz w:val="20"/>
              </w:rPr>
              <w:t>2008</w:t>
            </w:r>
          </w:p>
        </w:tc>
        <w:tc>
          <w:tcPr>
            <w:tcW w:type="dxa" w:w="1134"/>
            <w:vAlign w:val="center"/>
          </w:tcPr>
          <w:p>
            <w:pPr>
              <w:ind w:firstLine="0"/>
              <w:jc w:val="center"/>
            </w:pPr>
            <w:r/>
            <w:r>
              <w:rPr>
                <w:rFonts w:ascii="Times New Roman" w:hAnsi="Times New Roman"/>
                <w:sz w:val="20"/>
              </w:rPr>
              <w:t>270</w:t>
            </w:r>
          </w:p>
        </w:tc>
        <w:tc>
          <w:tcPr>
            <w:tcW w:type="dxa" w:w="1247"/>
            <w:vAlign w:val="center"/>
          </w:tcPr>
          <w:p>
            <w:pPr>
              <w:ind w:firstLine="0"/>
              <w:jc w:val="center"/>
            </w:pPr>
            <w:r/>
            <w:r>
              <w:rPr>
                <w:rFonts w:ascii="Times New Roman" w:hAnsi="Times New Roman"/>
                <w:sz w:val="20"/>
              </w:rPr>
              <w:t>257</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150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2009</w:t>
            </w:r>
          </w:p>
        </w:tc>
        <w:tc>
          <w:tcPr>
            <w:tcW w:type="dxa" w:w="1134"/>
            <w:vAlign w:val="center"/>
          </w:tcPr>
          <w:p>
            <w:pPr>
              <w:ind w:firstLine="0"/>
              <w:jc w:val="center"/>
            </w:pPr>
            <w:r/>
            <w:r>
              <w:rPr>
                <w:rFonts w:ascii="Times New Roman" w:hAnsi="Times New Roman"/>
                <w:sz w:val="20"/>
              </w:rPr>
              <w:t>299</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293</w:t>
            </w:r>
          </w:p>
        </w:tc>
        <w:tc>
          <w:tcPr>
            <w:tcW w:type="dxa" w:w="1134"/>
            <w:vAlign w:val="center"/>
          </w:tcPr>
          <w:p>
            <w:pPr>
              <w:ind w:firstLine="0"/>
              <w:jc w:val="center"/>
            </w:pPr>
            <w:r/>
            <w:r>
              <w:rPr>
                <w:rFonts w:ascii="Times New Roman" w:hAnsi="Times New Roman"/>
                <w:sz w:val="20"/>
              </w:rPr>
              <w:t>96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2010</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304</w:t>
            </w:r>
          </w:p>
        </w:tc>
        <w:tc>
          <w:tcPr>
            <w:tcW w:type="dxa" w:w="1134"/>
            <w:vAlign w:val="center"/>
          </w:tcPr>
          <w:p>
            <w:pPr>
              <w:ind w:firstLine="0"/>
              <w:jc w:val="center"/>
            </w:pPr>
            <w:r/>
            <w:r>
              <w:rPr>
                <w:rFonts w:ascii="Times New Roman" w:hAnsi="Times New Roman"/>
                <w:sz w:val="20"/>
              </w:rPr>
              <w:t>327</w:t>
            </w:r>
          </w:p>
        </w:tc>
        <w:tc>
          <w:tcPr>
            <w:tcW w:type="dxa" w:w="1134"/>
            <w:vAlign w:val="center"/>
          </w:tcPr>
          <w:p>
            <w:pPr>
              <w:ind w:firstLine="0"/>
              <w:jc w:val="center"/>
            </w:pPr>
            <w:r/>
            <w:r>
              <w:rPr>
                <w:rFonts w:ascii="Times New Roman" w:hAnsi="Times New Roman"/>
                <w:sz w:val="20"/>
              </w:rPr>
              <w:t>228</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2011</w:t>
            </w:r>
          </w:p>
        </w:tc>
        <w:tc>
          <w:tcPr>
            <w:tcW w:type="dxa" w:w="1134"/>
            <w:vAlign w:val="center"/>
          </w:tcPr>
          <w:p>
            <w:pPr>
              <w:ind w:firstLine="0"/>
              <w:jc w:val="center"/>
            </w:pPr>
            <w:r/>
            <w:r>
              <w:rPr>
                <w:rFonts w:ascii="Times New Roman" w:hAnsi="Times New Roman"/>
                <w:sz w:val="20"/>
              </w:rPr>
              <w:t>401</w:t>
            </w:r>
          </w:p>
        </w:tc>
        <w:tc>
          <w:tcPr>
            <w:tcW w:type="dxa" w:w="1247"/>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189</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2012</w:t>
            </w:r>
          </w:p>
        </w:tc>
        <w:tc>
          <w:tcPr>
            <w:tcW w:type="dxa" w:w="1134"/>
            <w:vAlign w:val="center"/>
          </w:tcPr>
          <w:p>
            <w:pPr>
              <w:ind w:firstLine="0"/>
              <w:jc w:val="center"/>
            </w:pPr>
            <w:r/>
            <w:r>
              <w:rPr>
                <w:rFonts w:ascii="Times New Roman" w:hAnsi="Times New Roman"/>
                <w:sz w:val="20"/>
              </w:rPr>
              <w:t>319</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312</w:t>
            </w:r>
          </w:p>
        </w:tc>
        <w:tc>
          <w:tcPr>
            <w:tcW w:type="dxa" w:w="1134"/>
            <w:vAlign w:val="center"/>
          </w:tcPr>
          <w:p>
            <w:pPr>
              <w:ind w:firstLine="0"/>
              <w:jc w:val="center"/>
            </w:pPr>
            <w:r/>
            <w:r>
              <w:rPr>
                <w:rFonts w:ascii="Times New Roman" w:hAnsi="Times New Roman"/>
                <w:sz w:val="20"/>
              </w:rPr>
              <w:t>170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2013</w:t>
            </w:r>
          </w:p>
        </w:tc>
        <w:tc>
          <w:tcPr>
            <w:tcW w:type="dxa" w:w="1134"/>
            <w:vAlign w:val="center"/>
          </w:tcPr>
          <w:p>
            <w:pPr>
              <w:ind w:firstLine="0"/>
              <w:jc w:val="center"/>
            </w:pPr>
            <w:r/>
            <w:r>
              <w:rPr>
                <w:rFonts w:ascii="Times New Roman" w:hAnsi="Times New Roman"/>
                <w:sz w:val="20"/>
              </w:rPr>
              <w:t>286</w:t>
            </w:r>
          </w:p>
        </w:tc>
        <w:tc>
          <w:tcPr>
            <w:tcW w:type="dxa" w:w="1247"/>
            <w:vAlign w:val="center"/>
          </w:tcPr>
          <w:p>
            <w:pPr>
              <w:ind w:firstLine="0"/>
              <w:jc w:val="center"/>
            </w:pPr>
            <w:r/>
            <w:r>
              <w:rPr>
                <w:rFonts w:ascii="Times New Roman" w:hAnsi="Times New Roman"/>
                <w:sz w:val="20"/>
              </w:rPr>
              <w:t>318</w:t>
            </w:r>
          </w:p>
        </w:tc>
        <w:tc>
          <w:tcPr>
            <w:tcW w:type="dxa" w:w="1134"/>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263</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2014</w:t>
            </w:r>
          </w:p>
        </w:tc>
        <w:tc>
          <w:tcPr>
            <w:tcW w:type="dxa" w:w="1134"/>
            <w:vAlign w:val="center"/>
          </w:tcPr>
          <w:p>
            <w:pPr>
              <w:ind w:firstLine="0"/>
              <w:jc w:val="center"/>
            </w:pPr>
            <w:r/>
            <w:r>
              <w:rPr>
                <w:rFonts w:ascii="Times New Roman" w:hAnsi="Times New Roman"/>
                <w:sz w:val="20"/>
              </w:rPr>
              <w:t>388</w:t>
            </w:r>
          </w:p>
        </w:tc>
        <w:tc>
          <w:tcPr>
            <w:tcW w:type="dxa" w:w="1247"/>
            <w:vAlign w:val="center"/>
          </w:tcPr>
          <w:p>
            <w:pPr>
              <w:ind w:firstLine="0"/>
              <w:jc w:val="center"/>
            </w:pPr>
            <w:r/>
            <w:r>
              <w:rPr>
                <w:rFonts w:ascii="Times New Roman" w:hAnsi="Times New Roman"/>
                <w:sz w:val="20"/>
              </w:rPr>
              <w:t>413</w:t>
            </w:r>
          </w:p>
        </w:tc>
        <w:tc>
          <w:tcPr>
            <w:tcW w:type="dxa" w:w="1134"/>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428</w:t>
            </w:r>
          </w:p>
        </w:tc>
        <w:tc>
          <w:tcPr>
            <w:tcW w:type="dxa" w:w="2608"/>
            <w:vAlign w:val="center"/>
          </w:tcPr>
          <w:p>
            <w:pPr>
              <w:ind w:firstLine="0"/>
              <w:jc w:val="center"/>
            </w:pPr>
            <w:r/>
            <w:r>
              <w:rPr>
                <w:rFonts w:ascii="Times New Roman" w:hAnsi="Times New Roman"/>
                <w:sz w:val="20"/>
              </w:rPr>
              <w:t>Аномально тёплая</w:t>
            </w:r>
          </w:p>
        </w:tc>
      </w:tr>
      <w:tr>
        <w:tc>
          <w:tcPr>
            <w:tcW w:type="dxa" w:w="2041"/>
            <w:vAlign w:val="center"/>
          </w:tcPr>
          <w:p>
            <w:pPr>
              <w:ind w:firstLine="0"/>
              <w:jc w:val="center"/>
            </w:pPr>
            <w:r/>
            <w:r>
              <w:rPr>
                <w:rFonts w:ascii="Times New Roman" w:hAnsi="Times New Roman"/>
                <w:sz w:val="20"/>
              </w:rPr>
              <w:t>2015</w:t>
            </w:r>
          </w:p>
        </w:tc>
        <w:tc>
          <w:tcPr>
            <w:tcW w:type="dxa" w:w="1134"/>
            <w:vAlign w:val="center"/>
          </w:tcPr>
          <w:p>
            <w:pPr>
              <w:ind w:firstLine="0"/>
              <w:jc w:val="center"/>
            </w:pPr>
            <w:r/>
            <w:r>
              <w:rPr>
                <w:rFonts w:ascii="Times New Roman" w:hAnsi="Times New Roman"/>
                <w:sz w:val="20"/>
              </w:rPr>
              <w:t>338</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251</w:t>
            </w:r>
          </w:p>
        </w:tc>
        <w:tc>
          <w:tcPr>
            <w:tcW w:type="dxa" w:w="1134"/>
            <w:vAlign w:val="center"/>
          </w:tcPr>
          <w:p>
            <w:pPr>
              <w:ind w:firstLine="0"/>
              <w:jc w:val="center"/>
            </w:pPr>
            <w:r/>
            <w:r>
              <w:rPr>
                <w:rFonts w:ascii="Times New Roman" w:hAnsi="Times New Roman"/>
                <w:sz w:val="20"/>
              </w:rPr>
              <w:t>102</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2016</w:t>
            </w:r>
          </w:p>
        </w:tc>
        <w:tc>
          <w:tcPr>
            <w:tcW w:type="dxa" w:w="1134"/>
            <w:vAlign w:val="center"/>
          </w:tcPr>
          <w:p>
            <w:pPr>
              <w:ind w:firstLine="0"/>
              <w:jc w:val="center"/>
            </w:pPr>
            <w:r/>
            <w:r>
              <w:rPr>
                <w:rFonts w:ascii="Times New Roman" w:hAnsi="Times New Roman"/>
                <w:sz w:val="20"/>
              </w:rPr>
              <w:t>250</w:t>
            </w:r>
          </w:p>
        </w:tc>
        <w:tc>
          <w:tcPr>
            <w:tcW w:type="dxa" w:w="1247"/>
            <w:vAlign w:val="center"/>
          </w:tcPr>
          <w:p>
            <w:pPr>
              <w:ind w:firstLine="0"/>
              <w:jc w:val="center"/>
            </w:pPr>
            <w:r/>
            <w:r>
              <w:rPr>
                <w:rFonts w:ascii="Times New Roman" w:hAnsi="Times New Roman"/>
                <w:sz w:val="20"/>
              </w:rPr>
              <w:t>222</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2017</w:t>
            </w:r>
          </w:p>
        </w:tc>
        <w:tc>
          <w:tcPr>
            <w:tcW w:type="dxa" w:w="1134"/>
            <w:vAlign w:val="center"/>
          </w:tcPr>
          <w:p>
            <w:pPr>
              <w:ind w:firstLine="0"/>
              <w:jc w:val="center"/>
            </w:pPr>
            <w:r/>
            <w:r>
              <w:rPr>
                <w:rFonts w:ascii="Times New Roman" w:hAnsi="Times New Roman"/>
                <w:sz w:val="20"/>
              </w:rPr>
              <w:t>354</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254</w:t>
            </w:r>
          </w:p>
        </w:tc>
        <w:tc>
          <w:tcPr>
            <w:tcW w:type="dxa" w:w="1134"/>
            <w:vAlign w:val="center"/>
          </w:tcPr>
          <w:p>
            <w:pPr>
              <w:ind w:firstLine="0"/>
              <w:jc w:val="center"/>
            </w:pPr>
            <w:r/>
            <w:r>
              <w:rPr>
                <w:rFonts w:ascii="Times New Roman" w:hAnsi="Times New Roman"/>
                <w:sz w:val="20"/>
              </w:rPr>
              <w:t>73</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2018</w:t>
            </w:r>
          </w:p>
        </w:tc>
        <w:tc>
          <w:tcPr>
            <w:tcW w:type="dxa" w:w="1134"/>
            <w:vAlign w:val="center"/>
          </w:tcPr>
          <w:p>
            <w:pPr>
              <w:ind w:firstLine="0"/>
              <w:jc w:val="center"/>
            </w:pPr>
            <w:r/>
            <w:r>
              <w:rPr>
                <w:rFonts w:ascii="Times New Roman" w:hAnsi="Times New Roman"/>
                <w:sz w:val="20"/>
              </w:rPr>
              <w:t>328</w:t>
            </w:r>
          </w:p>
        </w:tc>
        <w:tc>
          <w:tcPr>
            <w:tcW w:type="dxa" w:w="1247"/>
            <w:vAlign w:val="center"/>
          </w:tcPr>
          <w:p>
            <w:pPr>
              <w:ind w:firstLine="0"/>
              <w:jc w:val="center"/>
            </w:pPr>
            <w:r/>
            <w:r>
              <w:rPr>
                <w:rFonts w:ascii="Times New Roman" w:hAnsi="Times New Roman"/>
                <w:sz w:val="20"/>
              </w:rPr>
              <w:t>286</w:t>
            </w:r>
          </w:p>
        </w:tc>
        <w:tc>
          <w:tcPr>
            <w:tcW w:type="dxa" w:w="1134"/>
            <w:vAlign w:val="center"/>
          </w:tcPr>
          <w:p>
            <w:pPr>
              <w:ind w:firstLine="0"/>
              <w:jc w:val="center"/>
            </w:pPr>
            <w:r/>
            <w:r>
              <w:rPr>
                <w:rFonts w:ascii="Times New Roman" w:hAnsi="Times New Roman"/>
                <w:sz w:val="20"/>
              </w:rPr>
              <w:t>315</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2019</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275</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2020</w:t>
            </w:r>
          </w:p>
        </w:tc>
        <w:tc>
          <w:tcPr>
            <w:tcW w:type="dxa" w:w="1134"/>
            <w:vAlign w:val="center"/>
          </w:tcPr>
          <w:p>
            <w:pPr>
              <w:ind w:firstLine="0"/>
              <w:jc w:val="center"/>
            </w:pPr>
            <w:r/>
            <w:r>
              <w:rPr>
                <w:rFonts w:ascii="Times New Roman" w:hAnsi="Times New Roman"/>
                <w:sz w:val="20"/>
              </w:rPr>
              <w:t>420</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329</w:t>
            </w:r>
          </w:p>
        </w:tc>
        <w:tc>
          <w:tcPr>
            <w:tcW w:type="dxa" w:w="1134"/>
            <w:vAlign w:val="center"/>
          </w:tcPr>
          <w:p>
            <w:pPr>
              <w:ind w:firstLine="0"/>
              <w:jc w:val="center"/>
            </w:pPr>
            <w:r/>
            <w:r>
              <w:rPr>
                <w:rFonts w:ascii="Times New Roman" w:hAnsi="Times New Roman"/>
                <w:sz w:val="20"/>
              </w:rPr>
              <w:t>180</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2021</w:t>
            </w:r>
          </w:p>
        </w:tc>
        <w:tc>
          <w:tcPr>
            <w:tcW w:type="dxa" w:w="1134"/>
            <w:vAlign w:val="center"/>
          </w:tcPr>
          <w:p>
            <w:pPr>
              <w:ind w:firstLine="0"/>
              <w:jc w:val="center"/>
            </w:pPr>
            <w:r/>
            <w:r>
              <w:rPr>
                <w:rFonts w:ascii="Times New Roman" w:hAnsi="Times New Roman"/>
                <w:sz w:val="20"/>
              </w:rPr>
              <w:t>207</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216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2022</w:t>
            </w:r>
          </w:p>
        </w:tc>
        <w:tc>
          <w:tcPr>
            <w:tcW w:type="dxa" w:w="1134"/>
            <w:vAlign w:val="center"/>
          </w:tcPr>
          <w:p>
            <w:pPr>
              <w:ind w:firstLine="0"/>
              <w:jc w:val="center"/>
            </w:pPr>
            <w:r/>
            <w:r>
              <w:rPr>
                <w:rFonts w:ascii="Times New Roman" w:hAnsi="Times New Roman"/>
                <w:sz w:val="20"/>
              </w:rPr>
              <w:t>364</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214</w:t>
            </w:r>
          </w:p>
        </w:tc>
        <w:tc>
          <w:tcPr>
            <w:tcW w:type="dxa" w:w="1134"/>
            <w:vAlign w:val="center"/>
          </w:tcPr>
          <w:p>
            <w:pPr>
              <w:ind w:firstLine="0"/>
              <w:jc w:val="center"/>
            </w:pPr>
            <w:r/>
            <w:r>
              <w:rPr>
                <w:rFonts w:ascii="Times New Roman" w:hAnsi="Times New Roman"/>
                <w:sz w:val="20"/>
              </w:rPr>
              <w:t>111</w:t>
            </w:r>
          </w:p>
        </w:tc>
        <w:tc>
          <w:tcPr>
            <w:tcW w:type="dxa" w:w="2608"/>
            <w:vAlign w:val="center"/>
          </w:tcPr>
          <w:p>
            <w:pPr>
              <w:ind w:firstLine="0"/>
              <w:jc w:val="center"/>
            </w:pPr>
            <w:r/>
            <w:r>
              <w:rPr>
                <w:rFonts w:ascii="Times New Roman" w:hAnsi="Times New Roman"/>
                <w:sz w:val="20"/>
              </w:rPr>
              <w:t>Аномально холодная</w:t>
            </w:r>
          </w:p>
        </w:tc>
      </w:tr>
      <w:tr>
        <w:tc>
          <w:tcPr>
            <w:tcW w:type="dxa" w:w="2041"/>
            <w:vAlign w:val="center"/>
          </w:tcPr>
          <w:p>
            <w:pPr>
              <w:ind w:firstLine="0"/>
              <w:jc w:val="center"/>
            </w:pPr>
            <w:r/>
            <w:r>
              <w:rPr>
                <w:rFonts w:ascii="Times New Roman" w:hAnsi="Times New Roman"/>
                <w:sz w:val="20"/>
              </w:rPr>
              <w:t>2023</w:t>
            </w:r>
          </w:p>
        </w:tc>
        <w:tc>
          <w:tcPr>
            <w:tcW w:type="dxa" w:w="1134"/>
            <w:vAlign w:val="center"/>
          </w:tcPr>
          <w:p>
            <w:pPr>
              <w:ind w:firstLine="0"/>
              <w:jc w:val="center"/>
            </w:pPr>
            <w:r/>
            <w:r>
              <w:rPr>
                <w:rFonts w:ascii="Times New Roman" w:hAnsi="Times New Roman"/>
                <w:sz w:val="20"/>
              </w:rPr>
              <w:t>284</w:t>
            </w:r>
          </w:p>
        </w:tc>
        <w:tc>
          <w:tcPr>
            <w:tcW w:type="dxa" w:w="1247"/>
            <w:vAlign w:val="center"/>
          </w:tcPr>
          <w:p>
            <w:pPr>
              <w:ind w:firstLine="0"/>
              <w:jc w:val="center"/>
            </w:pPr>
            <w:r/>
            <w:r>
              <w:rPr>
                <w:rFonts w:ascii="Times New Roman" w:hAnsi="Times New Roman"/>
                <w:sz w:val="20"/>
              </w:rPr>
              <w:t>245</w:t>
            </w:r>
          </w:p>
        </w:tc>
        <w:tc>
          <w:tcPr>
            <w:tcW w:type="dxa" w:w="1134"/>
            <w:vAlign w:val="center"/>
          </w:tcPr>
          <w:p>
            <w:pPr>
              <w:ind w:firstLine="0"/>
              <w:jc w:val="center"/>
            </w:pPr>
            <w:r/>
            <w:r>
              <w:rPr>
                <w:rFonts w:ascii="Times New Roman" w:hAnsi="Times New Roman"/>
                <w:sz w:val="20"/>
              </w:rPr>
              <w:t>246</w:t>
            </w:r>
          </w:p>
        </w:tc>
        <w:tc>
          <w:tcPr>
            <w:tcW w:type="dxa" w:w="1134"/>
            <w:vAlign w:val="center"/>
          </w:tcPr>
          <w:p>
            <w:pPr>
              <w:ind w:firstLine="0"/>
              <w:jc w:val="center"/>
            </w:pPr>
            <w:r/>
            <w:r>
              <w:rPr>
                <w:rFonts w:ascii="Times New Roman" w:hAnsi="Times New Roman"/>
                <w:sz w:val="20"/>
              </w:rPr>
              <w:t>166</w:t>
            </w:r>
          </w:p>
        </w:tc>
        <w:tc>
          <w:tcPr>
            <w:tcW w:type="dxa" w:w="2608"/>
            <w:vAlign w:val="center"/>
          </w:tcPr>
          <w:p>
            <w:pPr>
              <w:ind w:firstLine="0"/>
              <w:jc w:val="center"/>
            </w:pPr>
            <w:r/>
            <w:r>
              <w:rPr>
                <w:rFonts w:ascii="Times New Roman" w:hAnsi="Times New Roman"/>
                <w:sz w:val="20"/>
              </w:rPr>
              <w:t>Холодная</w:t>
            </w:r>
          </w:p>
        </w:tc>
      </w:tr>
      <w:tr>
        <w:tc>
          <w:tcPr>
            <w:tcW w:type="dxa" w:w="2041"/>
            <w:shd w:val="clear" w:color="auto" w:fill="F2F2F2"/>
            <w:vAlign w:val="center"/>
          </w:tcPr>
          <w:p>
            <w:pPr>
              <w:ind w:firstLine="0"/>
              <w:jc w:val="center"/>
            </w:pPr>
            <w:r/>
            <w:r>
              <w:rPr>
                <w:rFonts w:ascii="Times New Roman" w:hAnsi="Times New Roman"/>
                <w:sz w:val="20"/>
              </w:rPr>
              <w:t>Среднее (2008–2023)</w:t>
            </w:r>
          </w:p>
        </w:tc>
        <w:tc>
          <w:tcPr>
            <w:tcW w:type="dxa" w:w="1134"/>
            <w:shd w:val="clear" w:color="auto" w:fill="F2F2F2"/>
            <w:vAlign w:val="center"/>
          </w:tcPr>
          <w:p>
            <w:pPr>
              <w:ind w:firstLine="0"/>
              <w:jc w:val="center"/>
            </w:pPr>
            <w:r/>
            <w:r>
              <w:rPr>
                <w:rFonts w:ascii="Times New Roman" w:hAnsi="Times New Roman"/>
                <w:sz w:val="20"/>
              </w:rPr>
              <w:t>318</w:t>
            </w:r>
          </w:p>
        </w:tc>
        <w:tc>
          <w:tcPr>
            <w:tcW w:type="dxa" w:w="1247"/>
            <w:shd w:val="clear" w:color="auto" w:fill="F2F2F2"/>
            <w:vAlign w:val="center"/>
          </w:tcPr>
          <w:p>
            <w:pPr>
              <w:ind w:firstLine="0"/>
              <w:jc w:val="center"/>
            </w:pPr>
            <w:r/>
            <w:r>
              <w:rPr>
                <w:rFonts w:ascii="Times New Roman" w:hAnsi="Times New Roman"/>
                <w:sz w:val="20"/>
              </w:rPr>
              <w:t>285</w:t>
            </w:r>
          </w:p>
        </w:tc>
        <w:tc>
          <w:tcPr>
            <w:tcW w:type="dxa" w:w="1134"/>
            <w:shd w:val="clear" w:color="auto" w:fill="F2F2F2"/>
            <w:vAlign w:val="center"/>
          </w:tcPr>
          <w:p>
            <w:pPr>
              <w:ind w:firstLine="0"/>
              <w:jc w:val="center"/>
            </w:pPr>
            <w:r/>
            <w:r>
              <w:rPr>
                <w:rFonts w:ascii="Times New Roman" w:hAnsi="Times New Roman"/>
                <w:sz w:val="20"/>
              </w:rPr>
              <w:t>303</w:t>
            </w:r>
          </w:p>
        </w:tc>
        <w:tc>
          <w:tcPr>
            <w:tcW w:type="dxa" w:w="1134"/>
            <w:shd w:val="clear" w:color="auto" w:fill="F2F2F2"/>
            <w:vAlign w:val="center"/>
          </w:tcPr>
          <w:p>
            <w:pPr>
              <w:ind w:firstLine="0"/>
              <w:jc w:val="center"/>
            </w:pPr>
            <w:r/>
            <w:r>
              <w:rPr>
                <w:rFonts w:ascii="Times New Roman" w:hAnsi="Times New Roman"/>
                <w:sz w:val="20"/>
              </w:rPr>
              <w:t>171</w:t>
            </w:r>
          </w:p>
        </w:tc>
        <w:tc>
          <w:tcPr>
            <w:tcW w:type="dxa" w:w="2608"/>
            <w:shd w:val="clear" w:color="auto" w:fill="F2F2F2"/>
            <w:vAlign w:val="center"/>
          </w:tcPr>
          <w:p>
            <w:pPr>
              <w:ind w:firstLine="0"/>
              <w:jc w:val="center"/>
            </w:pPr>
            <w:r/>
            <w:r>
              <w:rPr>
                <w:rFonts w:ascii="Times New Roman" w:hAnsi="Times New Roman"/>
                <w:sz w:val="20"/>
              </w:rPr>
              <w:t>—</w:t>
            </w:r>
          </w:p>
        </w:tc>
      </w:tr>
    </w:tbl>
    <w:p>
      <w:pPr>
        <w:spacing w:after="120"/>
        <w:jc w:val="both"/>
      </w:pPr>
      <w:r>
        <w:t>Значения DDT в Якутске варьируют от 214 °C·сут (2022, аномально холодная весна по медианной температуре) до 367 °C·сут (2014, аномально тёплая); среднее по периоду — 303 °C·сут. Олёкминск даёт более низкие значения (среднее 285 °C·сут), Киренск — наиболее тёплый по интегральному теплозапасу пункт (318 °C·сут), Жиганск — самый холодный (171 °C·сут). Годы с высоким DDT (&gt;350 °C·сут) в Якутске устойчиво ассоциируются с многоводными половодьями: 2011 г. (DDT = 352, H_peak = 829 см) и 2020 г. (DDT = 329, H_peak = 854 см). Расхождение между классификацией весны по медианной температуре и по DDT (например, для 2010 г.: «холодная» по медиане Якутска, «тёплая» по DDT) указывает на то, что DDT отражает накопленный, а не центральный тепловой режим — это делает индекс чувствительным к коротким эпизодам резкого потепления, характерным для весеннего вскрытия рек.</w:t>
      </w:r>
    </w:p>
    <w:p>
      <w:pPr>
        <w:spacing w:before="240" w:after="120"/>
        <w:ind w:firstLine="0"/>
        <w:jc w:val="left"/>
      </w:pPr>
      <w:r>
        <w:rPr>
          <w:b/>
          <w:sz w:val="28"/>
        </w:rPr>
        <w:t>2.4. Методология LC-кривых</w:t>
      </w:r>
    </w:p>
    <w:p>
      <w:pPr>
        <w:spacing w:before="240" w:after="120"/>
        <w:ind w:firstLine="0"/>
        <w:jc w:val="left"/>
      </w:pPr>
      <w:r>
        <w:rPr>
          <w:b/>
          <w:sz w:val="26"/>
        </w:rPr>
        <w:t>2.4.1. Теоретические основы метода и место в работе</w:t>
      </w:r>
    </w:p>
    <w:p>
      <w:pPr>
        <w:spacing w:after="120"/>
        <w:jc w:val="both"/>
      </w:pPr>
      <w:r>
        <w:rPr>
          <w:rFonts w:ascii="Times New Roman" w:hAnsi="Times New Roman" w:eastAsia="Times New Roman" w:cs="Times New Roman"/>
        </w:rPr>
        <w:t>Применяемый в исследовании метод LC-кривых (Life Cycle Curves), разработанный Ф. Т. Алескеровым и соавторами (Алескеров Ф. Т., Лола И. С., Асосков Д. Г., Забелина Д. А., Назарова Р. Д. Анализ деловой неопределённости с помощью LC-кривых. М.: НИУ ВШЭ, 2025), как инструмент анализа временных рядов в условиях нестационарности. Метод изначально предложен для анализа Композитного индекса деловой неопределённости (ИДН) по отраслям промышленности России и в исследовании впервые переносится в область геокриологии и управления гидрологическими рисками.</w:t>
      </w:r>
    </w:p>
    <w:p>
      <w:pPr>
        <w:spacing w:after="120"/>
        <w:jc w:val="both"/>
      </w:pPr>
      <w:r>
        <w:t>Преимущества метода, обосновавшие его выбор, состоят в следующем: (1) он применим к нестационарным рядам, для которых классические корреляционные и спектральные методы требуют предварительной трансформации; (2) он не требует нормальности распределения; (3) он выявляет концентрацию экстремальных значений в отдельных подпериодах ряда независимо от их положения в хронологии; (4) он позволяет сравнивать ряды качественно различной природы (тепловые суммы, уровни воды, частоты ЧС) независимо от единиц измерения.</w:t>
      </w:r>
    </w:p>
    <w:p>
      <w:pPr>
        <w:spacing w:after="120"/>
        <w:jc w:val="both"/>
      </w:pPr>
      <w:r>
        <w:rPr>
          <w:rFonts w:ascii="Times New Roman" w:hAnsi="Times New Roman" w:eastAsia="Times New Roman" w:cs="Times New Roman"/>
        </w:rPr>
        <w:t>Вклад настоящей работы по отношению к исходной экономической постановке состоит в адаптации математического аппарата метода и в новой предметной интерпретации: устойчивое опережающее положение LC-кривой климатического или верхне-постового гидрологического предиктора относительно LC-кривой целевого створа г. Якутска трактуется как практически значимый резерв упреждения, в пределах которого органы управления РСЧС и подразделения МЧС России могут перейти от режима реагирования к режиму превентивных действий.</w:t>
      </w:r>
    </w:p>
    <w:p>
      <w:pPr>
        <w:spacing w:before="240" w:after="120"/>
        <w:ind w:firstLine="0"/>
        <w:jc w:val="left"/>
      </w:pPr>
      <w:r>
        <w:rPr>
          <w:b/>
          <w:sz w:val="26"/>
        </w:rPr>
        <w:t>2.4.2. Математический аппарат метода LC-кривых</w:t>
      </w:r>
    </w:p>
    <w:p>
      <w:pPr>
        <w:spacing w:after="120"/>
        <w:jc w:val="both"/>
      </w:pPr>
      <w:r>
        <w:t>Для математической формализации временной структуры гидрометеорологических предикторов применяется следующий алгоритм. Время в методе рассматривается как самостоятельный параметр модели.</w:t>
      </w:r>
    </w:p>
    <w:p>
      <w:pPr>
        <w:spacing w:after="120"/>
        <w:jc w:val="both"/>
      </w:pPr>
      <w:r>
        <w:t>(1) На первом этапе через z_t обозначается значение анализируемого временного ряда в момент времени t (t = 1, …, n). Для каждого ряда проверяется условие z_max ≠ z_min: если максимум и минимум совпадают, ряд считается константным и исключается из анализируемой выборки ещё до нормировки, что предотвращает деление на ноль на следующем шаге.</w:t>
      </w:r>
    </w:p>
    <w:p>
      <w:pPr>
        <w:spacing w:after="120"/>
        <w:jc w:val="both"/>
      </w:pPr>
      <w:r>
        <w:t>(2) Производится min-max нормализация:</w:t>
      </w:r>
    </w:p>
    <w:p>
      <w:pPr>
        <w:ind w:firstLine="0"/>
        <w:jc w:val="center"/>
      </w:pPr>
      <w:r>
        <w:rPr>
          <w:i/>
          <w:sz w:val="26"/>
        </w:rPr>
        <w:t>v_t = (z_t − z_min) / (z_max − z_min),   v_t ∈ [0, 1].</w:t>
      </w:r>
    </w:p>
    <w:p>
      <w:pPr>
        <w:spacing w:after="120"/>
        <w:jc w:val="both"/>
      </w:pPr>
      <w:r>
        <w:t>(3) Для нормированного ряда v_t из n равноотстоящих наблюдений строится LC-кривая как доля эффекта, «остающегося» в хвосте ряда после момента t:</w:t>
      </w:r>
    </w:p>
    <w:p>
      <w:pPr>
        <w:ind w:firstLine="0"/>
        <w:jc w:val="center"/>
      </w:pPr>
      <w:r>
        <w:rPr>
          <w:i/>
          <w:sz w:val="26"/>
        </w:rPr>
        <w:t>LC(t) = Σ_{i=t}^{n} v_i  /  Σ_{i=1}^{n} v_i.</w:t>
      </w:r>
    </w:p>
    <w:p>
      <w:pPr>
        <w:spacing w:after="120"/>
        <w:jc w:val="both"/>
      </w:pPr>
      <w:r>
        <w:t>(4) Эталон равномерного распределения эффекта по всему периоду задаётся диагональю:</w:t>
      </w:r>
    </w:p>
    <w:p>
      <w:pPr>
        <w:ind w:firstLine="0"/>
        <w:jc w:val="center"/>
      </w:pPr>
      <w:r>
        <w:rPr>
          <w:i/>
          <w:sz w:val="26"/>
        </w:rPr>
        <w:t>D(t) = (n − t) / n.</w:t>
      </w:r>
    </w:p>
    <w:p>
      <w:pPr>
        <w:spacing w:after="120"/>
        <w:jc w:val="both"/>
      </w:pPr>
      <w:r>
        <w:rPr>
          <w:rFonts w:ascii="Times New Roman" w:hAnsi="Times New Roman" w:eastAsia="Times New Roman" w:cs="Times New Roman"/>
        </w:rPr>
        <w:t>(5) Для каждого момента времени t_i определяется разность между полученным значением LC-кривой и диагональю: Δ(t_i) = LC(t_i) − D(t_i). Согласно авторской методике (Алескеров и др., 2025, с. 9), положительные значения Δ указывают на концентрацию «эффекта» в начале периода до t_i, отрицательные — в конце периода после t_i. Для выделения наиболее выраженных переломов используется дополнительное преобразование: если Δ_max = Δ_min, ряд отклонений считается константным и преобразование не выполняется; в противном случае полученный ряд отклонений нормируется на свой максимум и минимум, приводится к диапазону [0, 1] и образует Δ*(t).</w:t>
      </w:r>
    </w:p>
    <w:p>
      <w:pPr>
        <w:spacing w:after="120"/>
        <w:jc w:val="both"/>
      </w:pPr>
      <w:r>
        <w:rPr>
          <w:rFonts w:ascii="Times New Roman" w:hAnsi="Times New Roman" w:eastAsia="Times New Roman" w:cs="Times New Roman"/>
        </w:rPr>
        <w:t>(6) Все значения нормированного ряда отклонений возводятся в четвёртую степень: Δ**(t) = [Δ*(t)]⁴. Использование именно четвёртой степени сохраняется в точном соответствии с авторской методикой (Алескеров и др., 2025, с. 9): «таким образом, устраняются малые отклонения и резко усиливаются значительные отклонения, фокусируя анализ на наиболее выраженных аномалиях распределения «эффекта» во времени». На основе преобразованного ряда Δ**(t) рассчитывается финальная LC-кривая по формуле шага (3).</w:t>
      </w:r>
    </w:p>
    <w:p>
      <w:pPr>
        <w:spacing w:before="240" w:after="120"/>
        <w:ind w:firstLine="0"/>
        <w:jc w:val="left"/>
      </w:pPr>
      <w:r>
        <w:rPr>
          <w:b/>
          <w:sz w:val="26"/>
        </w:rPr>
        <w:t>2.4.3. Применение LC-кривых к климатическим данным: пример DDT, Якутск</w:t>
      </w:r>
    </w:p>
    <w:p>
      <w:pPr>
        <w:spacing w:after="120"/>
        <w:jc w:val="both"/>
      </w:pPr>
      <w:r>
        <w:rPr>
          <w:rFonts w:ascii="Times New Roman" w:hAnsi="Times New Roman" w:eastAsia="Times New Roman" w:cs="Times New Roman"/>
        </w:rP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равномерного распределения; максимальное отклонение |LC − D| ≈ 0,13 достигается в окрестности t/n ≈ 0,44 (около 2014 г.). По табличным значениям DDT (см. таблицу 2.16) максимум ряда зафиксирован в 2014 г. (367 °C·сут), второй и третий по величине — в 2013 г. (353 °C·сут) и 2011 г. (352 °C·сут); абсолютный минимум — 214 °C·сут в 2022 г., второй минимум — 246 °C·сут в 2023 г. Высокие значения DDT кластеризованы в окрестности 2010–2014 гг., минимальные — в 2022–2023 гг. Слабый положительный тренд медианной весенней температуры (см. таблицу 2.15) и наблюдаемое распределение DDT не противоречат друг другу: первый отражает медленное нарастание медианы, второй — кумулятивный итог сезона, чувствительный к коротким эпизодам резкого потепления.</w:t>
      </w:r>
    </w:p>
    <w:p>
      <w:pPr>
        <w:spacing w:before="120" w:after="60"/>
        <w:ind w:firstLine="0"/>
        <w:jc w:val="center"/>
      </w:pPr>
      <w:r>
        <w:drawing>
          <wp:inline xmlns:a="http://schemas.openxmlformats.org/drawingml/2006/main" xmlns:pic="http://schemas.openxmlformats.org/drawingml/2006/picture">
            <wp:extent cx="5580000" cy="2118018"/>
            <wp:docPr id="7" name="Picture 7"/>
            <wp:cNvGraphicFramePr>
              <a:graphicFrameLocks noChangeAspect="1"/>
            </wp:cNvGraphicFramePr>
            <a:graphic>
              <a:graphicData uri="http://schemas.openxmlformats.org/drawingml/2006/picture">
                <pic:pic>
                  <pic:nvPicPr>
                    <pic:cNvPr id="0" name="fig_2_4_lc_ddt_yakutsk_v2.png"/>
                    <pic:cNvPicPr/>
                  </pic:nvPicPr>
                  <pic:blipFill>
                    <a:blip r:embed="rId15"/>
                    <a:stretch>
                      <a:fillRect/>
                    </a:stretch>
                  </pic:blipFill>
                  <pic:spPr>
                    <a:xfrm>
                      <a:off x="0" y="0"/>
                      <a:ext cx="5580000" cy="2118018"/>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2.4 — LC-кривая DDT Якутска за 2008–2023 гг. (левая панель, рассчитана по формуле LC(t) = Σ_{i=t}^n v_i / Σ v_i после min-max нормировки) и исходный ряд DDT с выделением аномалии 2014 г. (правая панель). Максимальное отклонение |LC − D| ≈ 0,13 достигается в окрестности t/n ≈ 0,44 (около 2014 г.); максимум исходного ряда — 367 °C·сут (2014 г.), минимум — 214 °C·сут (2022 г.); среднее значение — 303 °C·сут.</w:t>
      </w:r>
    </w:p>
    <w:p>
      <w:pPr>
        <w:spacing w:before="240" w:after="120"/>
        <w:ind w:firstLine="0"/>
        <w:jc w:val="left"/>
      </w:pPr>
      <w:r>
        <w:rPr>
          <w:b/>
          <w:sz w:val="26"/>
        </w:rPr>
        <w:t>2.4.4. Применение LC-кривых к гидрологическому отклику</w:t>
      </w:r>
    </w:p>
    <w:p>
      <w:pPr>
        <w:spacing w:after="120"/>
        <w:jc w:val="both"/>
      </w:pPr>
      <w:r>
        <w:rPr>
          <w:rFonts w:ascii="Times New Roman" w:hAnsi="Times New Roman" w:eastAsia="Times New Roman" w:cs="Times New Roman"/>
        </w:rPr>
        <w:t>Метод LC-кривых применён к рядам пиков уровней воды (март–июнь) по пяти опорным гидрологическим постам: Ленск, Олёкминск, Покровск, Якутск, Жиганск за 2008–2023 гг. LC-кривые всех четырёх опорных постов (Ленск, Олёкминск, Якутск, Жиганск; Покровск исключён из расчёта ввиду неполноты ряда) преимущественно идут ниже диагонали равномерного распределения. По модулю максимальные отклонения скромны: |LC − D|_max от 0,06 (Олёкминск) до 0,18 (Жиганск). По табличным значениям (см. таблицу 2.13) наибольшие пики по верхним постам приходятся на 2009 г. (Ленск — 1353 см), 2011 г. (Ленск — 1222 см) и 2023 г. (Ленск — 1351 см); по Олёкминску — 2010 г. (1076 см) и 2011 г. (1048 см); по Якутску — 2020 г. (854 см) и 2010 г. (845 см); по Жиганску — 2018 г. (1467 см), 2019 г. (1374 см) и 2015 г. (1331 см). LC-кривая пика Якутска во второй половине ряда пересекает диагональ и идёт незначительно выше неё.</w:t>
      </w:r>
    </w:p>
    <w:p>
      <w:pPr>
        <w:spacing w:before="120" w:after="60"/>
        <w:ind w:firstLine="0"/>
        <w:jc w:val="center"/>
      </w:pPr>
      <w:r>
        <w:drawing>
          <wp:inline xmlns:a="http://schemas.openxmlformats.org/drawingml/2006/main" xmlns:pic="http://schemas.openxmlformats.org/drawingml/2006/picture">
            <wp:extent cx="5580000" cy="2136474"/>
            <wp:docPr id="8" name="Picture 8"/>
            <wp:cNvGraphicFramePr>
              <a:graphicFrameLocks noChangeAspect="1"/>
            </wp:cNvGraphicFramePr>
            <a:graphic>
              <a:graphicData uri="http://schemas.openxmlformats.org/drawingml/2006/picture">
                <pic:pic>
                  <pic:nvPicPr>
                    <pic:cNvPr id="0" name="fig_2_5_lc_hpeaks_v2.png"/>
                    <pic:cNvPicPr/>
                  </pic:nvPicPr>
                  <pic:blipFill>
                    <a:blip r:embed="rId16"/>
                    <a:stretch>
                      <a:fillRect/>
                    </a:stretch>
                  </pic:blipFill>
                  <pic:spPr>
                    <a:xfrm>
                      <a:off x="0" y="0"/>
                      <a:ext cx="5580000" cy="213647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2.5 — Сравнение LC-кривых пиков уровней воды по четырём опорным гидропостам (Ленск, Олёкминск, Якутск, Жиганск) за 2008–2023 гг. Левая панель — LC-кривые в нормированных координатах (расчёт по той же формуле, что и для рисунка 2.4), правая — исходный ряд март–июньских пиков. По модулю максимальные отклонения от диагонали скромны: |LC − D|_max от ≈0,06 (Олёкминск) до ≈0,18 (Жиганск). Пост Покровск из расчёта LC-кривой исключён ввиду неполноты ряда пиков за все 16 лет.</w:t>
      </w:r>
    </w:p>
    <w:p>
      <w:pPr>
        <w:spacing w:before="240" w:after="120"/>
        <w:ind w:firstLine="0"/>
        <w:jc w:val="left"/>
      </w:pPr>
      <w:r>
        <w:rPr>
          <w:b/>
          <w:sz w:val="26"/>
        </w:rPr>
        <w:t>2.4.5. Сравнение LC-кривых и операционное окно упреждения</w:t>
      </w:r>
    </w:p>
    <w:p>
      <w:pPr>
        <w:spacing w:after="120"/>
        <w:jc w:val="both"/>
      </w:pPr>
      <w:r>
        <w:rPr>
          <w:rFonts w:ascii="Times New Roman" w:hAnsi="Times New Roman" w:eastAsia="Times New Roman" w:cs="Times New Roman"/>
        </w:rPr>
        <w:t>Сопоставление LC-кривой климатического предиктора (DDT, Якутск) и LC-кривой гидрологического отклика (пик уровня воды в створе Якутска) показывает, что обе кривые проходят ниже диагонали равномерного распределения на отрезке t/n ∈ [0,1; 0,6]; во второй половине ряда LC-кривая пика уровня смыкается с диагональю и эпизодически пересекает её. LC-кривая DDT идёт устойчиво ниже LC-кривой пика на участке t/n ∈ [0,2; 0,6]; максимальное расхождение |LC_DDT − LC_HPEAK| ≈ 0,13 достигается в окрестности t/n ≈ 0,44 (около 2014 г.).</w:t>
      </w:r>
    </w:p>
    <w:p>
      <w:pPr>
        <w:spacing w:after="120"/>
        <w:jc w:val="both"/>
      </w:pPr>
      <w:r>
        <w:rPr>
          <w:rFonts w:ascii="Times New Roman" w:hAnsi="Times New Roman" w:eastAsia="Times New Roman" w:cs="Times New Roman"/>
        </w:rPr>
        <w:t>В терминах настоящей работы выделенная разность LC-кривых интерпретируется как операционное окно — диапазон нормированной позиции, в пределах которого LC-кривые двух рядов отклоняются от диагонали по-разному. По результатам расчёта для DDT Якутска и пика уровня воды в Якутске это окно приходится на t/n ∈ [0,2; 0,6], что в исходной хронологии соответствует приблизительно 2010–2017 гг. На крайних участках ряда (t/n &lt; 0,15 и t/n &gt; 0,7) обе LC-кривые сближаются с диагональю, и их различимость ослабевает; в эти периоды интерпретация требует привлечения дополнительных предикторов (снегозапас, ледовая обстановка, верхне-постовые уровни).</w:t>
      </w:r>
    </w:p>
    <w:p>
      <w:pPr>
        <w:spacing w:before="120" w:after="60"/>
        <w:ind w:firstLine="0"/>
        <w:jc w:val="center"/>
      </w:pPr>
      <w:r>
        <w:drawing>
          <wp:inline xmlns:a="http://schemas.openxmlformats.org/drawingml/2006/main" xmlns:pic="http://schemas.openxmlformats.org/drawingml/2006/picture">
            <wp:extent cx="5580000" cy="3939564"/>
            <wp:docPr id="9" name="Picture 9"/>
            <wp:cNvGraphicFramePr>
              <a:graphicFrameLocks noChangeAspect="1"/>
            </wp:cNvGraphicFramePr>
            <a:graphic>
              <a:graphicData uri="http://schemas.openxmlformats.org/drawingml/2006/picture">
                <pic:pic>
                  <pic:nvPicPr>
                    <pic:cNvPr id="0" name="fig_2_6_lc_comparison_v2.png"/>
                    <pic:cNvPicPr/>
                  </pic:nvPicPr>
                  <pic:blipFill>
                    <a:blip r:embed="rId17"/>
                    <a:stretch>
                      <a:fillRect/>
                    </a:stretch>
                  </pic:blipFill>
                  <pic:spPr>
                    <a:xfrm>
                      <a:off x="0" y="0"/>
                      <a:ext cx="5580000" cy="393956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2.6 — Совмещённое представление LC-кривых DDT Якутска (климатический предиктор) и пика уровня воды в Якутске (гидрологический отклик) за 2008–2023 гг. Обе кривые на отрезке t/n ∈ [0,1; 0,6] проходят ниже диагонали равномерного распределения; во второй половине ряда LC-кривая пика уровня смыкается с диагональю и эпизодически пересекает её. Закрашенная область — зона расхождения LC-кривых; максимальное расхождение |LC_DDT − LC_HPEAK| ≈ 0,133 достигается в окрестности t/n ≈ 0,44 (около 2014 г.).</w:t>
      </w:r>
    </w:p>
    <w:p>
      <w:pPr>
        <w:spacing w:before="240" w:after="120"/>
        <w:ind w:firstLine="0"/>
        <w:jc w:val="left"/>
      </w:pPr>
      <w:r>
        <w:rPr>
          <w:b/>
          <w:sz w:val="28"/>
        </w:rPr>
        <w:t>2.5. Анализ поведения гидрометеорологических данных в LC-кривых</w:t>
      </w:r>
    </w:p>
    <w:p>
      <w:pPr>
        <w:spacing w:after="120"/>
        <w:jc w:val="both"/>
      </w:pPr>
      <w:r>
        <w:rPr>
          <w:rFonts w:ascii="Times New Roman" w:hAnsi="Times New Roman" w:eastAsia="Times New Roman" w:cs="Times New Roman"/>
        </w:rPr>
        <w:t>Анализируемый ряд наблюдений, охватывающий 2008–2023 гг. — шестнадцатилетнее окно, в течение которого в климатическом режиме Центральной Якутии зафиксировано устойчивое нарастание положительной тенденции потепления. По обобщённым данным Второго оценочного доклада Росгидромета об изменениях климата (Москва, 2022 г.) средняя годовая температура воздуха по Республике Саха (Якутия) за 1991–2020 гг. повысилась приблизительно на 0,8 °C относительно базовой климатической нормы 1961–1990 гг.; на территории Центральной Якутии и нижнего течения Лены темп потепления превышает среднеглобальный примерно в два раза.</w:t>
      </w:r>
    </w:p>
    <w:p>
      <w:pPr>
        <w:spacing w:after="120"/>
        <w:jc w:val="both"/>
      </w:pPr>
      <w:r>
        <w:rPr>
          <w:rFonts w:ascii="Times New Roman" w:hAnsi="Times New Roman" w:eastAsia="Times New Roman" w:cs="Times New Roman"/>
        </w:rPr>
        <w:t>Несмотря на наблюдаемую долгосрочную нестационарность, в исследовании весь шестнадцатилетний период рассматривается как единый ряд без искусственного разбиения на «холодный» и «тёплый» подпериоды.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 Принципиальное следствие такого подхода — отказ от классических корреляционных оценок с фиксированным лагом в пользу анализа фазовых сдвигов между кривыми разнородных рядов.</w:t>
      </w:r>
    </w:p>
    <w:p>
      <w:pPr>
        <w:spacing w:before="240" w:after="120"/>
        <w:ind w:firstLine="0"/>
        <w:jc w:val="left"/>
      </w:pPr>
      <w:r>
        <w:rPr>
          <w:b/>
          <w:sz w:val="26"/>
        </w:rPr>
        <w:t>2.5.1. Климатические предикторы</w:t>
      </w:r>
    </w:p>
    <w:p>
      <w:pPr>
        <w:spacing w:after="120"/>
        <w:jc w:val="both"/>
      </w:pPr>
      <w:r>
        <w:rPr>
          <w:rFonts w:ascii="Times New Roman" w:hAnsi="Times New Roman" w:eastAsia="Times New Roman" w:cs="Times New Roman"/>
        </w:rP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станциям тепловые ряды (температура и DDT) демонстрируют качественно сходное поведение: кривые проходят ниже диагонали равномерного распределения с умеренным отклонением (|LC − D|_max в пределах 0,07–0,18). По табличным значениям максимумы DDT в Якутске зафиксированы в 2014 г. (367 °C·сут) и 2013 г. (353 °C·сут), минимумы — в 2022 г. (214 °C·сут) и 2023 г. (246 °C·сут). Ряд медианных температур даёт более сглаженный сигнал и менее чувствителен к отдельным экстремумам, чем DDT.</w:t>
      </w:r>
    </w:p>
    <w:p>
      <w:pPr>
        <w:spacing w:after="120"/>
        <w:jc w:val="both"/>
      </w:pPr>
      <w:r>
        <w:t>Ряды осадков и максимальной высоты снежного покрова демонстрируют качественно иное поведение: их LC-кривые проходят ближе к диагонали, что указывает на отсутствие устойчивого временного смещения экстремумов. Это соответствует общефизическому представлению о том, что межгодовая изменчивость осадков на территории Центральной Якутии доминирует над климатическим трендом и не формирует устойчивых опережающих или запаздывающих сигналов в шестнадцатилетнем масштабе.</w:t>
      </w:r>
    </w:p>
    <w:p>
      <w:pPr>
        <w:spacing w:before="240" w:after="120"/>
        <w:ind w:firstLine="0"/>
        <w:jc w:val="left"/>
      </w:pPr>
      <w:r>
        <w:rPr>
          <w:b/>
          <w:sz w:val="26"/>
        </w:rPr>
        <w:t>2.5.2. Гидрологические отклики</w:t>
      </w:r>
    </w:p>
    <w:p>
      <w:pPr>
        <w:spacing w:after="120"/>
        <w:jc w:val="both"/>
      </w:pPr>
      <w:r>
        <w:rPr>
          <w:rFonts w:ascii="Times New Roman" w:hAnsi="Times New Roman" w:eastAsia="Times New Roman" w:cs="Times New Roman"/>
        </w:rPr>
        <w:t>По четырём опорным гидропостам с полными рядами (Ленск, Олёкминск, Якутск, Жиганск) LC-кривые пиков уровней воды на отрезке t/n ∈ [0,1; 0,6] идут ниже диагонали; |LC − D|_max меняется от ≈0,06 (Олёкминск) до ≈0,18 (Жиганск). Распределение максимальных пиков по годам по табличным данным: верхние посты — 2009 г. (Ленск — 1353 см), 2023 г. (Ленск — 1351 см), 2011 г. (Ленск — 1222 см); Олёкминск — 2010 г. (1076 см) и 2011 г. (1048 см); Якутск — 2020 г. (854 см) и 2010 г. (845 см); Жиганск — 2018 г. (1467 см), 2019 г. (1374 см) и 2015 г. (1331 см). Во второй половине ряда LC-кривые сдвигаются ближе к диагонали; для Якутска кривая её пересекает.</w:t>
      </w:r>
    </w:p>
    <w:p>
      <w:pPr>
        <w:spacing w:after="120"/>
        <w:jc w:val="both"/>
      </w:pPr>
      <w:r>
        <w:t>Сравнение LC-кривых пиков между постами выявляет иерархическую согласованность смещения экстремумов: верхние посты (Ленск, Олёкминск) формируют отклонение раньше Якутска, что физически соответствует транзитной природе паводковой волны и подтверждает обоснованность использования верхних створов как опережающих предикторов.</w:t>
      </w:r>
    </w:p>
    <w:p>
      <w:pPr>
        <w:spacing w:before="240" w:after="120"/>
        <w:ind w:firstLine="0"/>
        <w:jc w:val="left"/>
      </w:pPr>
      <w:r>
        <w:rPr>
          <w:b/>
          <w:sz w:val="26"/>
        </w:rPr>
        <w:t>2.5.3. Совместный анализ и опережающие сигналы</w:t>
      </w:r>
    </w:p>
    <w:p>
      <w:pPr>
        <w:spacing w:after="120"/>
        <w:jc w:val="both"/>
      </w:pPr>
      <w:r>
        <w:t>Сопоставление LC-кривых разнородных рядов в едином нормированном пространстве позволяет выделить три качественно различных режима: (а) синхронное опережение климатических и гидрологических сигналов в верхнем течении (Ленск, Олёкминск) относительно Якутска — реализуется в годах с классическим транзитным механизмом половодья (2011, 2013, 2020 гг.); (б) рассинхронизация климатического и гидрологического сигналов — наблюдается в годы с доминированием заторного механизма (2018 г., когда наибольший пик зафиксирован в Жиганске при умеренной тепловой нагрузке в Якутске); (в) одновременный сдвиг обоих сигналов относительно ожидаемой нормы — фиксируется в холодных вёснах (2010, 2012, 2021 гг.) и сопровождается переносом пика в более поздние сроки мая и в июнь.</w:t>
      </w:r>
    </w:p>
    <w:p>
      <w:pPr>
        <w:spacing w:after="120"/>
        <w:jc w:val="both"/>
      </w:pPr>
      <w:r>
        <w:rPr>
          <w:rFonts w:ascii="Times New Roman" w:hAnsi="Times New Roman" w:eastAsia="Times New Roman" w:cs="Times New Roman"/>
        </w:rPr>
        <w:t>Эти три режима определяют структуру операционных решений главы 3: в режиме (а) DDT и предуровни верхних постов являются надёжными опережающими предикторами с практически значимым окном упреждения (3–8 суток); в режиме (б) основным сигналом становится не тепловой, а ледовой комплекс (характеристика вскрытия, наличие заторов в нижнем течении), что требует дополнительного оперативного блока мониторинга; в режиме (в) допускается переход на консервативные сценарии планирования со смещением сроков превентивных мероприятий.</w:t>
      </w:r>
    </w:p>
    <w:p>
      <w:pPr>
        <w:spacing w:before="240" w:after="120"/>
        <w:ind w:firstLine="0"/>
        <w:jc w:val="left"/>
      </w:pPr>
      <w:r>
        <w:rPr>
          <w:b/>
          <w:sz w:val="28"/>
        </w:rPr>
        <w:t>2.6. Описание чрезвычайных ситуаций (ЧС)</w:t>
      </w:r>
    </w:p>
    <w:p>
      <w:pPr>
        <w:spacing w:before="240" w:after="120"/>
        <w:ind w:firstLine="0"/>
        <w:jc w:val="left"/>
      </w:pPr>
      <w:r>
        <w:rPr>
          <w:b/>
          <w:sz w:val="26"/>
        </w:rPr>
        <w:t>2.6.1. Источник данных и общие характеристики архива</w:t>
      </w:r>
    </w:p>
    <w:p>
      <w:pPr>
        <w:spacing w:after="120"/>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 (Затор, Половодье, Паводок).</w:t>
      </w:r>
    </w:p>
    <w:p>
      <w:pPr>
        <w:spacing w:after="120"/>
        <w:jc w:val="both"/>
      </w:pPr>
      <w:r>
        <w:rPr>
          <w:rFonts w:ascii="Times New Roman" w:hAnsi="Times New Roman" w:eastAsia="Times New Roman" w:cs="Times New Roman"/>
        </w:rP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категории (метель, дождь, аномально-жаркая погода, низкая межень, раннее ледообразование, снег) — по 1–2 события (суммарно ≈ 5 %). В расчётный массив работы (2008–2023 гг.) попадает 79 событий всех типов, из которых 40 относятся к гидрологическим — заторы льда (15), половодья (18) и дождевые паводки (7).</w:t>
      </w:r>
    </w:p>
    <w:p>
      <w:pPr>
        <w:spacing w:before="240" w:after="120"/>
        <w:ind w:firstLine="0"/>
        <w:jc w:val="left"/>
      </w:pPr>
      <w:r>
        <w:rPr>
          <w:b/>
          <w:sz w:val="26"/>
        </w:rPr>
        <w:t>2.6.2. Классификация ЧС и сезонное распределение типов</w:t>
      </w:r>
    </w:p>
    <w:p>
      <w:pPr>
        <w:spacing w:after="120"/>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статистика приведена в таблице 2.17.</w:t>
      </w:r>
    </w:p>
    <w:p>
      <w:pPr>
        <w:spacing w:before="120" w:after="60"/>
        <w:ind w:firstLine="0"/>
        <w:jc w:val="left"/>
      </w:pPr>
      <w:r>
        <w:rPr>
          <w:b w:val="0"/>
          <w:i w:val="0"/>
          <w:sz w:val="22"/>
        </w:rPr>
        <w:t>Таблица 2.17 — Распределение гидрологических ЧС по типу и месяцу формирования (архив МЧС, 1991–2024 гг., Республика Саха)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ind w:firstLine="0"/>
              <w:jc w:val="center"/>
            </w:pPr>
            <w:r/>
            <w:r>
              <w:rPr>
                <w:rFonts w:ascii="Times New Roman" w:hAnsi="Times New Roman"/>
                <w:b/>
                <w:sz w:val="20"/>
              </w:rPr>
              <w:t>Тип ЧС</w:t>
            </w:r>
          </w:p>
        </w:tc>
        <w:tc>
          <w:tcPr>
            <w:tcW w:type="dxa" w:w="907"/>
            <w:shd w:val="clear" w:color="auto" w:fill="D9D9D9"/>
            <w:vAlign w:val="center"/>
          </w:tcPr>
          <w:p>
            <w:pPr>
              <w:ind w:firstLine="0"/>
              <w:jc w:val="center"/>
            </w:pPr>
            <w:r/>
            <w:r>
              <w:rPr>
                <w:rFonts w:ascii="Times New Roman" w:hAnsi="Times New Roman"/>
                <w:b/>
                <w:sz w:val="20"/>
              </w:rPr>
              <w:t>Май</w:t>
            </w:r>
          </w:p>
        </w:tc>
        <w:tc>
          <w:tcPr>
            <w:tcW w:type="dxa" w:w="907"/>
            <w:shd w:val="clear" w:color="auto" w:fill="D9D9D9"/>
            <w:vAlign w:val="center"/>
          </w:tcPr>
          <w:p>
            <w:pPr>
              <w:ind w:firstLine="0"/>
              <w:jc w:val="center"/>
            </w:pPr>
            <w:r/>
            <w:r>
              <w:rPr>
                <w:rFonts w:ascii="Times New Roman" w:hAnsi="Times New Roman"/>
                <w:b/>
                <w:sz w:val="20"/>
              </w:rPr>
              <w:t>Июнь</w:t>
            </w:r>
          </w:p>
        </w:tc>
        <w:tc>
          <w:tcPr>
            <w:tcW w:type="dxa" w:w="907"/>
            <w:shd w:val="clear" w:color="auto" w:fill="D9D9D9"/>
            <w:vAlign w:val="center"/>
          </w:tcPr>
          <w:p>
            <w:pPr>
              <w:ind w:firstLine="0"/>
              <w:jc w:val="center"/>
            </w:pPr>
            <w:r/>
            <w:r>
              <w:rPr>
                <w:rFonts w:ascii="Times New Roman" w:hAnsi="Times New Roman"/>
                <w:b/>
                <w:sz w:val="20"/>
              </w:rPr>
              <w:t>Июль</w:t>
            </w:r>
          </w:p>
        </w:tc>
        <w:tc>
          <w:tcPr>
            <w:tcW w:type="dxa" w:w="907"/>
            <w:shd w:val="clear" w:color="auto" w:fill="D9D9D9"/>
            <w:vAlign w:val="center"/>
          </w:tcPr>
          <w:p>
            <w:pPr>
              <w:ind w:firstLine="0"/>
              <w:jc w:val="center"/>
            </w:pPr>
            <w:r/>
            <w:r>
              <w:rPr>
                <w:rFonts w:ascii="Times New Roman" w:hAnsi="Times New Roman"/>
                <w:b/>
                <w:sz w:val="20"/>
              </w:rPr>
              <w:t>Август</w:t>
            </w:r>
          </w:p>
        </w:tc>
        <w:tc>
          <w:tcPr>
            <w:tcW w:type="dxa" w:w="1134"/>
            <w:shd w:val="clear" w:color="auto" w:fill="D9D9D9"/>
            <w:vAlign w:val="center"/>
          </w:tcPr>
          <w:p>
            <w:pPr>
              <w:ind w:firstLine="0"/>
              <w:jc w:val="center"/>
            </w:pPr>
            <w:r/>
            <w:r>
              <w:rPr>
                <w:rFonts w:ascii="Times New Roman" w:hAnsi="Times New Roman"/>
                <w:b/>
                <w:sz w:val="20"/>
              </w:rPr>
              <w:t>Итого</w:t>
            </w:r>
          </w:p>
        </w:tc>
      </w:tr>
      <w:tr>
        <w:tc>
          <w:tcPr>
            <w:tcW w:type="dxa" w:w="2835"/>
            <w:vAlign w:val="center"/>
          </w:tcPr>
          <w:p>
            <w:pPr>
              <w:ind w:firstLine="0"/>
              <w:jc w:val="center"/>
            </w:pPr>
            <w:r/>
            <w:r>
              <w:rPr>
                <w:rFonts w:ascii="Times New Roman" w:hAnsi="Times New Roman"/>
                <w:sz w:val="20"/>
              </w:rPr>
              <w:t>Затор льда</w:t>
            </w:r>
          </w:p>
        </w:tc>
        <w:tc>
          <w:tcPr>
            <w:tcW w:type="dxa" w:w="907"/>
            <w:vAlign w:val="center"/>
          </w:tcPr>
          <w:p>
            <w:pPr>
              <w:ind w:firstLine="0"/>
              <w:jc w:val="center"/>
            </w:pPr>
            <w:r/>
            <w:r>
              <w:rPr>
                <w:rFonts w:ascii="Times New Roman" w:hAnsi="Times New Roman"/>
                <w:sz w:val="20"/>
              </w:rPr>
              <w:t>23</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24</w:t>
            </w:r>
          </w:p>
        </w:tc>
      </w:tr>
      <w:tr>
        <w:tc>
          <w:tcPr>
            <w:tcW w:type="dxa" w:w="2835"/>
            <w:vAlign w:val="center"/>
          </w:tcPr>
          <w:p>
            <w:pPr>
              <w:ind w:firstLine="0"/>
              <w:jc w:val="center"/>
            </w:pPr>
            <w:r/>
            <w:r>
              <w:rPr>
                <w:rFonts w:ascii="Times New Roman" w:hAnsi="Times New Roman"/>
                <w:sz w:val="20"/>
              </w:rPr>
              <w:t>Половодье</w:t>
            </w:r>
          </w:p>
        </w:tc>
        <w:tc>
          <w:tcPr>
            <w:tcW w:type="dxa" w:w="907"/>
            <w:vAlign w:val="center"/>
          </w:tcPr>
          <w:p>
            <w:pPr>
              <w:ind w:firstLine="0"/>
              <w:jc w:val="center"/>
            </w:pPr>
            <w:r/>
            <w:r>
              <w:rPr>
                <w:rFonts w:ascii="Times New Roman" w:hAnsi="Times New Roman"/>
                <w:sz w:val="20"/>
              </w:rPr>
              <w:t>26</w:t>
            </w:r>
          </w:p>
        </w:tc>
        <w:tc>
          <w:tcPr>
            <w:tcW w:type="dxa" w:w="907"/>
            <w:vAlign w:val="center"/>
          </w:tcPr>
          <w:p>
            <w:pPr>
              <w:ind w:firstLine="0"/>
              <w:jc w:val="center"/>
            </w:pPr>
            <w:r/>
            <w:r>
              <w:rPr>
                <w:rFonts w:ascii="Times New Roman" w:hAnsi="Times New Roman"/>
                <w:sz w:val="20"/>
              </w:rPr>
              <w:t>7</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34</w:t>
            </w:r>
          </w:p>
        </w:tc>
      </w:tr>
      <w:tr>
        <w:tc>
          <w:tcPr>
            <w:tcW w:type="dxa" w:w="2835"/>
            <w:vAlign w:val="center"/>
          </w:tcPr>
          <w:p>
            <w:pPr>
              <w:ind w:firstLine="0"/>
              <w:jc w:val="center"/>
            </w:pPr>
            <w:r/>
            <w:r>
              <w:rPr>
                <w:rFonts w:ascii="Times New Roman" w:hAnsi="Times New Roman"/>
                <w:sz w:val="20"/>
              </w:rPr>
              <w:t>Дождевой паводок</w:t>
            </w:r>
          </w:p>
        </w:tc>
        <w:tc>
          <w:tcPr>
            <w:tcW w:type="dxa" w:w="907"/>
            <w:vAlign w:val="center"/>
          </w:tcPr>
          <w:p>
            <w:pPr>
              <w:ind w:firstLine="0"/>
              <w:jc w:val="center"/>
            </w:pPr>
            <w:r/>
            <w:r>
              <w:rPr>
                <w:rFonts w:ascii="Times New Roman" w:hAnsi="Times New Roman"/>
                <w:sz w:val="20"/>
              </w:rPr>
              <w:t>2</w:t>
            </w:r>
          </w:p>
        </w:tc>
        <w:tc>
          <w:tcPr>
            <w:tcW w:type="dxa" w:w="907"/>
            <w:vAlign w:val="center"/>
          </w:tcPr>
          <w:p>
            <w:pPr>
              <w:ind w:firstLine="0"/>
              <w:jc w:val="center"/>
            </w:pPr>
            <w:r/>
            <w:r>
              <w:rPr>
                <w:rFonts w:ascii="Times New Roman" w:hAnsi="Times New Roman"/>
                <w:sz w:val="20"/>
              </w:rPr>
              <w:t>4</w:t>
            </w:r>
          </w:p>
        </w:tc>
        <w:tc>
          <w:tcPr>
            <w:tcW w:type="dxa" w:w="907"/>
            <w:vAlign w:val="center"/>
          </w:tcPr>
          <w:p>
            <w:pPr>
              <w:ind w:firstLine="0"/>
              <w:jc w:val="center"/>
            </w:pPr>
            <w:r/>
            <w:r>
              <w:rPr>
                <w:rFonts w:ascii="Times New Roman" w:hAnsi="Times New Roman"/>
                <w:sz w:val="20"/>
              </w:rPr>
              <w:t>6</w:t>
            </w:r>
          </w:p>
        </w:tc>
        <w:tc>
          <w:tcPr>
            <w:tcW w:type="dxa" w:w="907"/>
            <w:vAlign w:val="center"/>
          </w:tcPr>
          <w:p>
            <w:pPr>
              <w:ind w:firstLine="0"/>
              <w:jc w:val="center"/>
            </w:pPr>
            <w:r/>
            <w:r>
              <w:rPr>
                <w:rFonts w:ascii="Times New Roman" w:hAnsi="Times New Roman"/>
                <w:sz w:val="20"/>
              </w:rPr>
              <w:t>1</w:t>
            </w:r>
          </w:p>
        </w:tc>
        <w:tc>
          <w:tcPr>
            <w:tcW w:type="dxa" w:w="1134"/>
            <w:vAlign w:val="center"/>
          </w:tcPr>
          <w:p>
            <w:pPr>
              <w:ind w:firstLine="0"/>
              <w:jc w:val="center"/>
            </w:pPr>
            <w:r/>
            <w:r>
              <w:rPr>
                <w:rFonts w:ascii="Times New Roman" w:hAnsi="Times New Roman"/>
                <w:sz w:val="20"/>
              </w:rPr>
              <w:t>13</w:t>
            </w:r>
          </w:p>
        </w:tc>
      </w:tr>
      <w:tr>
        <w:tc>
          <w:tcPr>
            <w:tcW w:type="dxa" w:w="2835"/>
            <w:shd w:val="clear" w:color="auto" w:fill="F2F2F2"/>
            <w:vAlign w:val="center"/>
          </w:tcPr>
          <w:p>
            <w:pPr>
              <w:ind w:firstLine="0"/>
              <w:jc w:val="center"/>
            </w:pPr>
            <w:r/>
            <w:r>
              <w:rPr>
                <w:rFonts w:ascii="Times New Roman" w:hAnsi="Times New Roman"/>
                <w:sz w:val="20"/>
              </w:rPr>
              <w:t>Итого</w:t>
            </w:r>
          </w:p>
        </w:tc>
        <w:tc>
          <w:tcPr>
            <w:tcW w:type="dxa" w:w="907"/>
            <w:shd w:val="clear" w:color="auto" w:fill="F2F2F2"/>
            <w:vAlign w:val="center"/>
          </w:tcPr>
          <w:p>
            <w:pPr>
              <w:ind w:firstLine="0"/>
              <w:jc w:val="center"/>
            </w:pPr>
            <w:r/>
            <w:r>
              <w:rPr>
                <w:rFonts w:ascii="Times New Roman" w:hAnsi="Times New Roman"/>
                <w:sz w:val="20"/>
              </w:rPr>
              <w:t>51</w:t>
            </w:r>
          </w:p>
        </w:tc>
        <w:tc>
          <w:tcPr>
            <w:tcW w:type="dxa" w:w="907"/>
            <w:shd w:val="clear" w:color="auto" w:fill="F2F2F2"/>
            <w:vAlign w:val="center"/>
          </w:tcPr>
          <w:p>
            <w:pPr>
              <w:ind w:firstLine="0"/>
              <w:jc w:val="center"/>
            </w:pPr>
            <w:r/>
            <w:r>
              <w:rPr>
                <w:rFonts w:ascii="Times New Roman" w:hAnsi="Times New Roman"/>
                <w:sz w:val="20"/>
              </w:rPr>
              <w:t>12</w:t>
            </w:r>
          </w:p>
        </w:tc>
        <w:tc>
          <w:tcPr>
            <w:tcW w:type="dxa" w:w="907"/>
            <w:shd w:val="clear" w:color="auto" w:fill="F2F2F2"/>
            <w:vAlign w:val="center"/>
          </w:tcPr>
          <w:p>
            <w:pPr>
              <w:ind w:firstLine="0"/>
              <w:jc w:val="center"/>
            </w:pPr>
            <w:r/>
            <w:r>
              <w:rPr>
                <w:rFonts w:ascii="Times New Roman" w:hAnsi="Times New Roman"/>
                <w:sz w:val="20"/>
              </w:rPr>
              <w:t>7</w:t>
            </w:r>
          </w:p>
        </w:tc>
        <w:tc>
          <w:tcPr>
            <w:tcW w:type="dxa" w:w="907"/>
            <w:shd w:val="clear" w:color="auto" w:fill="F2F2F2"/>
            <w:vAlign w:val="center"/>
          </w:tcPr>
          <w:p>
            <w:pPr>
              <w:ind w:firstLine="0"/>
              <w:jc w:val="center"/>
            </w:pPr>
            <w:r/>
            <w:r>
              <w:rPr>
                <w:rFonts w:ascii="Times New Roman" w:hAnsi="Times New Roman"/>
                <w:sz w:val="20"/>
              </w:rPr>
              <w:t>1</w:t>
            </w:r>
          </w:p>
        </w:tc>
        <w:tc>
          <w:tcPr>
            <w:tcW w:type="dxa" w:w="1134"/>
            <w:shd w:val="clear" w:color="auto" w:fill="F2F2F2"/>
            <w:vAlign w:val="center"/>
          </w:tcPr>
          <w:p>
            <w:pPr>
              <w:ind w:firstLine="0"/>
              <w:jc w:val="center"/>
            </w:pPr>
            <w:r/>
            <w:r>
              <w:rPr>
                <w:rFonts w:ascii="Times New Roman" w:hAnsi="Times New Roman"/>
                <w:sz w:val="20"/>
              </w:rPr>
              <w:t>71</w:t>
            </w:r>
          </w:p>
        </w:tc>
      </w:tr>
    </w:tbl>
    <w:p>
      <w:pPr>
        <w:spacing w:after="120"/>
        <w:jc w:val="both"/>
      </w:pPr>
      <w:r>
        <w:t>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pPr>
        <w:spacing w:after="120"/>
        <w:jc w:val="both"/>
      </w:pPr>
      <w:r>
        <w:t>Половодье как тип ЧС фиксируется при превышении критических отметок уровня воды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накопленным DDT, состоянием льда и наличием либо отсутствием заторов; этот набор детерминантов формирует основу для интегрального индекса PSRS, вводимого в главе 3.</w:t>
      </w:r>
    </w:p>
    <w:p>
      <w:pPr>
        <w:spacing w:after="120"/>
        <w:jc w:val="both"/>
      </w:pPr>
      <w:r>
        <w:t>Дождевые паводки формируются преимущественно в летний период: пик распределения приходится на июль (6 событий), июнь даёт 4 события, май — 2, 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pPr>
        <w:spacing w:before="120" w:after="60"/>
        <w:ind w:firstLine="0"/>
        <w:jc w:val="left"/>
      </w:pPr>
      <w:r>
        <w:rPr>
          <w:b w:val="0"/>
          <w:i w:val="0"/>
          <w:sz w:val="22"/>
        </w:rPr>
        <w:t>Таблица 2.18 — Дождевые паводки в архиве МЧС (1991–2024 гг., Республика Саха)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474"/>
            <w:shd w:val="clear" w:color="auto" w:fill="D9D9D9"/>
            <w:vAlign w:val="center"/>
          </w:tcPr>
          <w:p>
            <w:pPr>
              <w:ind w:firstLine="0"/>
              <w:jc w:val="center"/>
            </w:pPr>
            <w:r/>
            <w:r>
              <w:rPr>
                <w:rFonts w:ascii="Times New Roman" w:hAnsi="Times New Roman"/>
                <w:b/>
                <w:sz w:val="20"/>
              </w:rPr>
              <w:t>Дата</w:t>
            </w:r>
          </w:p>
        </w:tc>
        <w:tc>
          <w:tcPr>
            <w:tcW w:type="dxa" w:w="1361"/>
            <w:shd w:val="clear" w:color="auto" w:fill="D9D9D9"/>
            <w:vAlign w:val="center"/>
          </w:tcPr>
          <w:p>
            <w:pPr>
              <w:ind w:firstLine="0"/>
              <w:jc w:val="center"/>
            </w:pPr>
            <w:r/>
            <w:r>
              <w:rPr>
                <w:rFonts w:ascii="Times New Roman" w:hAnsi="Times New Roman"/>
                <w:b/>
                <w:sz w:val="20"/>
              </w:rPr>
              <w:t>Тип</w:t>
            </w:r>
          </w:p>
        </w:tc>
        <w:tc>
          <w:tcPr>
            <w:tcW w:type="dxa" w:w="4309"/>
            <w:shd w:val="clear" w:color="auto" w:fill="D9D9D9"/>
            <w:vAlign w:val="center"/>
          </w:tcPr>
          <w:p>
            <w:pPr>
              <w:ind w:firstLine="0"/>
              <w:jc w:val="center"/>
            </w:pPr>
            <w:r/>
            <w:r>
              <w:rPr>
                <w:rFonts w:ascii="Times New Roman" w:hAnsi="Times New Roman"/>
                <w:b/>
                <w:sz w:val="20"/>
              </w:rPr>
              <w:t>Река / район</w:t>
            </w:r>
          </w:p>
        </w:tc>
        <w:tc>
          <w:tcPr>
            <w:tcW w:type="dxa" w:w="1247"/>
            <w:shd w:val="clear" w:color="auto" w:fill="D9D9D9"/>
            <w:vAlign w:val="center"/>
          </w:tcPr>
          <w:p>
            <w:pPr>
              <w:ind w:firstLine="0"/>
              <w:jc w:val="center"/>
            </w:pPr>
            <w:r/>
            <w:r>
              <w:rPr>
                <w:rFonts w:ascii="Times New Roman" w:hAnsi="Times New Roman"/>
                <w:b/>
                <w:sz w:val="20"/>
              </w:rPr>
              <w:t>Месяц</w:t>
            </w:r>
          </w:p>
        </w:tc>
      </w:tr>
      <w:tr>
        <w:tc>
          <w:tcPr>
            <w:tcW w:type="dxa" w:w="1474"/>
            <w:vAlign w:val="center"/>
          </w:tcPr>
          <w:p>
            <w:pPr>
              <w:ind w:firstLine="0"/>
              <w:jc w:val="center"/>
            </w:pPr>
            <w:r/>
            <w:r>
              <w:rPr>
                <w:rFonts w:ascii="Times New Roman" w:hAnsi="Times New Roman"/>
                <w:sz w:val="20"/>
              </w:rPr>
              <w:t>10.06.1994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Витим, Пеледуй</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18.05.2001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г. Ленск</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10.06.2004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02.08.2004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 н.п. Усть-Нера</w:t>
            </w:r>
          </w:p>
        </w:tc>
        <w:tc>
          <w:tcPr>
            <w:tcW w:type="dxa" w:w="1247"/>
            <w:vAlign w:val="center"/>
          </w:tcPr>
          <w:p>
            <w:pPr>
              <w:ind w:firstLine="0"/>
              <w:jc w:val="center"/>
            </w:pPr>
            <w:r/>
            <w:r>
              <w:rPr>
                <w:rFonts w:ascii="Times New Roman" w:hAnsi="Times New Roman"/>
                <w:sz w:val="20"/>
              </w:rPr>
              <w:t>Август</w:t>
            </w:r>
          </w:p>
        </w:tc>
      </w:tr>
      <w:tr>
        <w:tc>
          <w:tcPr>
            <w:tcW w:type="dxa" w:w="1474"/>
            <w:vAlign w:val="center"/>
          </w:tcPr>
          <w:p>
            <w:pPr>
              <w:ind w:firstLine="0"/>
              <w:jc w:val="center"/>
            </w:pPr>
            <w:r/>
            <w:r>
              <w:rPr>
                <w:rFonts w:ascii="Times New Roman" w:hAnsi="Times New Roman"/>
                <w:sz w:val="20"/>
              </w:rPr>
              <w:t>24.07.2005</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горные притоки, р. Алдан</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02.06.2006</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(участок Витим–Олёкминск)</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31.07.2008</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притоки Сартанг, Дулгалах, Адыча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05.06.2011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Колыма, Верхнеколымский р-н</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28.07.2013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13.05.2020</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14.07.2022</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bl>
    <w:p>
      <w:pPr>
        <w:spacing w:after="120"/>
        <w:jc w:val="both"/>
      </w:pPr>
      <w:r>
        <w:rPr>
          <w:rFonts w:ascii="Times New Roman" w:hAnsi="Times New Roman" w:eastAsia="Times New Roman" w:cs="Times New Roman"/>
        </w:rPr>
        <w:t>Из 13 паводков архива на р. Лене зарегистрировано 5 событий (1994, 2001, 2004, 2006, 2020 гг.); из них в 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как сопоставительный материал. Прочие восемь паводков архива приурочены к рекам Яна, Индигирка, Колыма и Алдан и не входят в физико-географические границы настоящего исследования; они приведены в таблице 2.18 в иллюстративных целях для сопоставления сезонного режима паводковых ЧС северо-восточной части России.</w:t>
      </w:r>
    </w:p>
    <w:p>
      <w:pPr>
        <w:spacing w:before="240" w:after="120"/>
        <w:ind w:firstLine="0"/>
        <w:jc w:val="left"/>
      </w:pPr>
      <w:r>
        <w:rPr>
          <w:b/>
          <w:sz w:val="26"/>
        </w:rPr>
        <w:t>2.6.3. Геокриологические индикаторы риска</w:t>
      </w:r>
    </w:p>
    <w:p>
      <w:pPr>
        <w:spacing w:after="120"/>
        <w:jc w:val="both"/>
      </w:pPr>
      <w:r>
        <w:rPr>
          <w:rFonts w:ascii="Times New Roman" w:hAnsi="Times New Roman" w:eastAsia="Times New Roman" w:cs="Times New Roman"/>
        </w:rPr>
        <w:t>Динамика глубины сезонного протаивания (площадки CALM R42 и R43) и тренд температуры грунта на горизонте 3,2 м в Якутске, описанные в разделах 2.1.3 и 2.1.5, служат геокриологическими индикаторы инерционного риска. Выявленные тренды (+5,2 см/десятилетие по R42, +1,7 см/десятилетие по R43, +0,221 °C/десятилетие по температуре грунта на 3,2 м) интерпретируются как опережающие сигналы медленной деградации мерзлоты, формирующие фоновую угрозу осадки свайных фундаментов; проекция пересечения нулевой среднегодовой изотермы на 2030–2032 гг. задаёт горизонт сценарного планирования превентивных инженерных мероприятий. В отличие от гидрологических сигналов, операционное окно упреждения здесь измеряется не сутками, а годами, что определяет принципиально иной регламент реагирования органов управления.</w:t>
      </w:r>
    </w:p>
    <w:p>
      <w:pPr>
        <w:spacing w:after="160" w:before="240"/>
        <w:ind w:firstLine="0"/>
        <w:jc w:val="left"/>
      </w:pPr>
      <w:r>
        <w:rPr>
          <w:b/>
          <w:i w:val="0"/>
          <w:sz w:val="28"/>
          <w:rFonts w:ascii="Times New Roman" w:hAnsi="Times New Roman" w:eastAsia="Times New Roman" w:cs="Times New Roman"/>
        </w:rPr>
        <w:t>2.7. От гидрологического к геокриологическому риску: постановка для главы 3</w:t>
      </w:r>
    </w:p>
    <w:p>
      <w:pPr>
        <w:spacing w:after="120"/>
        <w:ind w:firstLine="709"/>
        <w:jc w:val="both"/>
      </w:pPr>
      <w:r>
        <w:rPr>
          <w:b w:val="0"/>
          <w:i w:val="0"/>
          <w:sz w:val="24"/>
          <w:rFonts w:ascii="Times New Roman" w:hAnsi="Times New Roman" w:eastAsia="Times New Roman" w:cs="Times New Roman"/>
        </w:rPr>
        <w:t>Полученные в настоящей главе материалы — описательная статистика климатических и гидрологических рядов, индексы аномальности (Z-оценки, DDT), LC-кривые и архив чрезвычайных ситуаций — формируют общую информационную базу, но обслуживают две качественно разные управленческие задачи. Их явное разделение необходимо перед переходом к содержательному анализу главы 3 и к построению интегрального показателя PSRS.</w:t>
      </w:r>
    </w:p>
    <w:p>
      <w:pPr>
        <w:spacing w:after="120"/>
        <w:ind w:firstLine="709"/>
        <w:jc w:val="both"/>
      </w:pPr>
      <w:r>
        <w:rPr>
          <w:b w:val="0"/>
          <w:i w:val="0"/>
          <w:sz w:val="24"/>
          <w:rFonts w:ascii="Times New Roman" w:hAnsi="Times New Roman" w:eastAsia="Times New Roman" w:cs="Times New Roman"/>
        </w:rPr>
        <w:t>Первая задача — оперативный прогноз пика весеннего половодья в целевом створе г. Якутска. Её естественный горизонт — сутки и единицы недель; ключевые предикторы относятся к гидрометеорологическому блоку: уровни воды на верхних опорных постах (Ленск, Олёкминск, Покровск), накопленная тепловая нагрузка DDT, снегозапас по Центральной Якутии, состояние ледового покрова и наличие заторного подпора в нижнем течении. Сопоставление LC-кривых раздела 2.4 показывает, что тепловой и гидрологический сигналы имеют качественно близкое поведение в LC-пространстве при умеренных отклонениях обеих кривых от диагонали (|LC − D|_max ≈ 0,13); вместе с тем ни один из перечисленных предикторов в отдельности не несёт самостоятельной прогностической силы, достаточной для построения оперативного прогноза в одиночной постановке. Прогноз пика по этой причине формализуется в главе 3 как многофакторная модель с явным учётом ледовой обстановки и опережающих верхне-постовых сигналов; роль DDT в ней — одного из регрессоров, отражающего интегральную тепловую нагрузку сезона, а не одиночного предиктора.</w:t>
      </w:r>
    </w:p>
    <w:p>
      <w:pPr>
        <w:spacing w:after="120"/>
        <w:ind w:firstLine="709"/>
        <w:jc w:val="both"/>
      </w:pPr>
      <w:r>
        <w:rPr>
          <w:b w:val="0"/>
          <w:i w:val="0"/>
          <w:sz w:val="24"/>
          <w:rFonts w:ascii="Times New Roman" w:hAnsi="Times New Roman" w:eastAsia="Times New Roman" w:cs="Times New Roman"/>
        </w:rPr>
        <w:t>Вторая задача — оценка геокриологического риска просадки и деградации мерзлоты под объектами капитальной застройки. Её естественный горизонт — годы и десятилетия; ключевые переменные относятся к мерзлотному блоку: глубина сезонного протаивания ALT по площадкам CALM, температура грунта на горизонте нулевых среднегодовых амплитуд (3,2 м), снегозапас зимнего сезона и эпизоды rain-on-snow. Расчётная процедура PSRS — стандартизация четырёх переменных Z-оценкой относительно опорных норм с последующей взвешенной линейной свёрткой, базовым сдвигом 5,0 и масштабированием в шкалу 0–10 — реализована в составе программного модуля СППР (PSRS_Scorer, файл data/permafrost_model/dss.py, веса 0,4 / 0,3 / 0,2 / 0,1) и опирается на СП 25.13330.2012, мерзлотный прогноз В. А. Кудрявцева (1974) и математический аппарат LC-кривых Ф. Т. Алескерова и соавторов (2025). Для этой задачи в главе 3 формируется интегральный показатель PSRS, объединяющий перечисленные геокриологические переменные в единую шкалу 0–10 баллов. Принципиально подчеркнуть статус PSRS в настоящей работе: он строится как взвешенный индикатор-агрегат, а не как верифицированная прогностическая модель. Прямая валидация PSRS на событиях инженерного характера (осадка свайных фундаментов, деформации зданий, разрывы магистральных коммуникаций) в рамках работы невозможна, поскольку архив МЧС России по Республике Саха (Якутия) — единственный доступный для исследования событийный массив — содержит только гидрологические и метеорологические типы ЧС и не содержит ни одной записи о геокриологических деформациях объектов. В качестве суррогатной валидации в главе 3 принимаются два независимых подхода. Первый — сопоставление годовых баллов индикатора с натурными данными векового хода температуры грунтов в глубоких скважинах (более 10 м) станции «Чабыда» Института мерзлотоведения им. П. И. Мельникова СО РАН (международная сеть GTN-P): согласованность положительных трендов PSRS с трендом потепления грунтов на горизонтах ниже зоны теплового влияния служит подтверждением физической адекватности индикатора. Второй — анализ фазовых сдвигов в LC-пространстве: PSRS признаётся физически адекватным, если экстремумы интегрального балла следуют за переломами кумулятивной тепловой нагрузки DDT, построенной методом LC-кривых (раздел 2.4), со стабильным лагом 2–3 года, соответствующим инерции теплопереноса в суглинистых отложениях Центральной Якутии. Косвенным внешним подтверждением физической реальности риска, отражаемого индикатором, служит авария на ТЭЦ-3 в Норильске 29 мая 2020 г.: разрушение свайного основания резервуара с разливом около 21 тыс. тонн дизельного топлива произошло по той самой цепочке «потепление грунта — переход через нулевую изотерму — потеря несущей способности», для ранней детекции которой и предназначен PSRS. Полноценная верификация PSRS на инцидентах капитального строительства остаётся задачей последующих исследований при условии подключения данных, отсутствующих в открытом доступе: паспортов аварийного жилфонда г. Якутска, архивов Якуткоммунсервиса, отчётов по геотехническому мониторингу Института мерзлотоведения им. П. И. Мельникова СО РАН.</w:t>
      </w:r>
    </w:p>
    <w:p>
      <w:pPr>
        <w:spacing w:after="120"/>
        <w:ind w:firstLine="709"/>
        <w:jc w:val="both"/>
      </w:pPr>
      <w:r>
        <w:rPr>
          <w:sz w:val="24"/>
          <w:rFonts w:ascii="Times New Roman" w:hAnsi="Times New Roman" w:eastAsia="Times New Roman" w:cs="Times New Roman"/>
        </w:rPr>
        <w:t>Два конструктивных решения формулы PSRS заслуживают отдельного пояснения. Базовый сдвиг 5,0 переносит точку «современной климатической нормы 2008–2023 гг.» в середину десятибалльной шкалы; для Якутского геокриологического района эта норма соответствует уже не штатному состоянию мерзлоты, поскольку за опорный период температура грунта на 3,2 м перешла через нулевую изотерму, а ALT по площадке R42 устойчиво растёт. Поэтому значение PSRS = 5,0 при нулевых отклонениях трактуется как фиксация уже изменённого фонового состояния, а зелёная зона (PSRS &lt; 4) достигается только при отрицательных отклонениях современных параметров. Компонента Z_ROS входит в формулу с положительным знаком: несмотря на локальное разрушение теплоизоляционных свойств снежного покрова, главным геокриологическим эффектом эпизодов «дождь по снегу» является сам факт зимней оттепели, передающий тепло мерзлоте напрямую. Эмпирическая проверка методом главных компонент (PC1 ряда 2008–2023 гг.) подтверждает положительную ковариацию ROS с остальными компонентами риска (загрузка +0,302).</w:t>
      </w:r>
    </w:p>
    <w:p>
      <w:pPr>
        <w:spacing w:after="120"/>
        <w:ind w:firstLine="709"/>
        <w:jc w:val="both"/>
      </w:pPr>
      <w:r>
        <w:rPr>
          <w:b w:val="0"/>
          <w:i w:val="0"/>
          <w:sz w:val="24"/>
          <w:rFonts w:ascii="Times New Roman" w:hAnsi="Times New Roman" w:eastAsia="Times New Roman" w:cs="Times New Roman"/>
        </w:rPr>
        <w:t>Материалы главы 2 распадаются на два независимых входа в главу 3. Гидрологический блок (раздел 2.1.4, таблицы 2.12–2.13, LC-кривые пиков уровней воды) поступает на вход многофакторной модели прогноза пика; геокриологический блок (раздел 2.1.3 — температура грунта, раздел 2.1.5 — CALM, разделы 2.3.1 — Z-оценки, 2.3.2 — DDT в части тепловой истории грунта) — на вход индикатора-агрегата PSRS. Архив ЧС (раздел 2.6) сопоставляется только с прогнозом пика: именно гидрологические события (заторы, половодья, дождевые паводки) позволяют оценить качество многофакторной модели. PSRS как индикатор геокриологического риска валидационной поддержки в архиве МЧС не получает; для него в главе 3 используется суррогатное сопоставление с трендом ALT по урбанизированной площадке R42 и трендом температуры грунта на 3,2 м. Глава 3 раскрывает обе ветви последовательно, явно разводя статус результата: прогноз пика — модель, PSRS — индикатор.</w:t>
      </w:r>
    </w:p>
    <w:p>
      <w:pPr>
        <w:spacing w:before="240" w:after="120"/>
        <w:ind w:firstLine="0"/>
        <w:jc w:val="left"/>
      </w:pPr>
      <w:r>
        <w:rPr>
          <w:b/>
          <w:sz w:val="28"/>
        </w:rPr>
        <w:t>Выводы по главе 2</w:t>
      </w:r>
    </w:p>
    <w:p>
      <w:pPr>
        <w:spacing w:after="120"/>
        <w:jc w:val="both"/>
      </w:pPr>
      <w:r>
        <w:rPr>
          <w:rFonts w:ascii="Times New Roman" w:hAnsi="Times New Roman" w:eastAsia="Times New Roman" w:cs="Times New Roman"/>
        </w:rPr>
        <w:t>Подведём итог проделанной работы.</w:t>
      </w:r>
    </w:p>
    <w:p>
      <w:pPr>
        <w:spacing w:after="120"/>
        <w:jc w:val="both"/>
      </w:pPr>
      <w:r>
        <w:rPr>
          <w:rFonts w:ascii="Times New Roman" w:hAnsi="Times New Roman" w:eastAsia="Times New Roman" w:cs="Times New Roman"/>
        </w:rPr>
        <w:t>Для всех четырёх категорий привлечённых данных — метеорологических, гидрологических, геокриологических и событийных — идентифицированы официальные верифицированные источники: ФГБУ «ВНИИГМИ-МЦД», АИСОРИ-М, AllRivers, программа CALM, архив ГУ МЧС России по Республике Саха (Якутия). По четырём опорным метеостанциям продольного профиля р. Лены (Киренск — Олёкминск — Якутск — Жиганск) построены сводные и погодичные описательные статистики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pPr>
        <w:spacing w:after="120"/>
        <w:jc w:val="both"/>
      </w:pPr>
      <w:r>
        <w:rPr>
          <w:rFonts w:ascii="Times New Roman" w:hAnsi="Times New Roman" w:eastAsia="Times New Roman" w:cs="Times New Roman"/>
        </w:rPr>
        <w:t>Пространственно-временные границы исследования обоснованы доступностью ряда наблюдений CALM: окно 2008–2023 гг. принято как лимитирующее, и под него усечены все остальные исторические массивы. Зимний массив при этом расширен на зиму 2007/2008 гг. для учёта предшествующего снегонакопления. Приняты два уровня временной дискретизации — суточный и годовой; месячный уровень исключён как теряющий критические эпизоды.</w:t>
      </w:r>
    </w:p>
    <w:p>
      <w:pPr>
        <w:spacing w:after="120"/>
        <w:jc w:val="both"/>
      </w:pPr>
      <w:r>
        <w:rPr>
          <w:rFonts w:ascii="Times New Roman" w:hAnsi="Times New Roman" w:eastAsia="Times New Roman" w:cs="Times New Roman"/>
        </w:rPr>
        <w:t>Используемые индексы аномальности — стандартизованные Z-оценки и интегральный термический показатель Degree-Days Temperature — формализованы и применены к ряду 2008–2023 гг. Z-классификация медианных весенних температур Якутска выделила две статистически значимые аномалии: 2014 г. оказался аномально тёплым, 2021 г. — аномально холодным. Значения DDT в Якутске лежат в диапазоне 214–367 °C·сут и устойчиво ассоциируются с многоводными половодьями при превышении 350 °C·сут.</w:t>
      </w:r>
    </w:p>
    <w:p>
      <w:pPr>
        <w:spacing w:after="120"/>
        <w:jc w:val="both"/>
      </w:pPr>
      <w:r>
        <w:rPr>
          <w:rFonts w:ascii="Times New Roman" w:hAnsi="Times New Roman" w:eastAsia="Times New Roman" w:cs="Times New Roman"/>
        </w:rPr>
        <w:t>Математический аппарат метода LC-кривых изложен в строгом соответствии с авторской методикой Алескерова и соавторов (2025), включая min-max-нормировку, формулу LC(t) = Σ_{i=t}^{n} v_i / Σ v_i, эталонную диагональ D(t) = (n − t)/n и нелинейное преобразование Δ**(t) = [Δ*(t)]⁴. Адаптация аппарата к геокриологии и анализу гидрологических рисков выполнена впервые. Расчёт LC-кривых для DDT Якутска и пиков уровней воды по четырём опорным гидропостам показал умеренное отклонение обеих категорий рядов от диагонали равномерного распределения: |LC − D|_max ≈ 0,13 как для DDT, так и для пика уровня воды в Якутске. Расхождение |LC_DDT − LC_HPEAK| ≈ 0,13 в окрестности t/n ≈ 0,44 (около 2014 г.) фиксирует относительную сдвинутость двух LC-траекторий.</w:t>
      </w:r>
    </w:p>
    <w:p>
      <w:pPr>
        <w:spacing w:after="120"/>
        <w:jc w:val="both"/>
      </w:pPr>
      <w:r>
        <w:rPr>
          <w:rFonts w:ascii="Times New Roman" w:hAnsi="Times New Roman" w:eastAsia="Times New Roman" w:cs="Times New Roman"/>
        </w:rPr>
        <w:t>Структурный анализ архива чрезвычайных ситуаций охватил 149 событий за 1991–2024 гг., из которых 71 относится к гидрологическим типам, а 40 — к расчётному периоду 2008–2023 гг. Подтверждена жёсткая сезонная приуроченность типов: 23 из 24 заторов льда приходятся на май; половодья — преимущественно на май (26 из 34); дождевые паводки — преимущественно на июль (6 из 13). На основном русле р. Лены в расчётном периоде зафиксирован единственный дождевой паводок (май 2020 г.), что указывает на доминирование заторно-половодного механизма формирования ЧС.</w:t>
      </w:r>
    </w:p>
    <w:p>
      <w:pPr>
        <w:spacing w:after="120"/>
        <w:jc w:val="both"/>
      </w:pPr>
      <w:r>
        <w:rPr>
          <w:rFonts w:ascii="Times New Roman" w:hAnsi="Times New Roman" w:eastAsia="Times New Roman" w:cs="Times New Roman"/>
        </w:rPr>
        <w:t>Сформированная методологическая основа и описанная информационная база задают исходные условия для содержательного анализа главы 3, где выявленные предикторы и отклики объединяются в интегральный индекс PSRS и переводятся в сценарную матрицу управленческих решений для органов РСЧС и подразделений МЧС России по Республике Саха (Якутия).</w:t>
      </w:r>
    </w:p>
    <w:p>
      <w:pPr>
        <w:spacing w:before="240" w:after="120"/>
        <w:ind w:firstLine="0"/>
        <w:jc w:val="left"/>
      </w:pPr>
      <w:r>
        <w:rPr>
          <w:b/>
          <w:sz w:val="28"/>
        </w:rPr>
        <w:t>Список источников к главе 2</w:t>
      </w:r>
    </w:p>
    <w:p>
      <w:pPr>
        <w:spacing w:after="40"/>
        <w:ind w:firstLine="0" w:left="397"/>
        <w:jc w:val="both"/>
      </w:pPr>
      <w:r>
        <w:rPr>
          <w:rFonts w:ascii="Times New Roman" w:hAnsi="Times New Roman" w:eastAsia="Times New Roman" w:cs="Times New Roman"/>
          <w:sz w:val="22"/>
        </w:rPr>
        <w:t>1. Алескеров Ф. Т., Лола И. С., Асосков Д. Г., Забелина Д. А., Назарова Р. Д. Анализ деловой неопределённости с помощью LC-кривых. — М.: НИУ ВШЭ, 2025.</w:t>
      </w:r>
    </w:p>
    <w:p>
      <w:pPr>
        <w:spacing w:after="40"/>
        <w:ind w:firstLine="0" w:left="397"/>
        <w:jc w:val="both"/>
      </w:pPr>
      <w:r>
        <w:rPr>
          <w:rFonts w:ascii="Times New Roman" w:hAnsi="Times New Roman" w:eastAsia="Times New Roman" w:cs="Times New Roman"/>
          <w:sz w:val="22"/>
        </w:rPr>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большими системами. — 2005. — № 11. — С. 45–58.</w:t>
      </w:r>
    </w:p>
    <w:p>
      <w:pPr>
        <w:spacing w:after="40"/>
        <w:ind w:firstLine="0" w:left="397"/>
        <w:jc w:val="both"/>
      </w:pPr>
      <w:r>
        <w:rPr>
          <w:rFonts w:ascii="Times New Roman" w:hAnsi="Times New Roman" w:eastAsia="Times New Roman" w:cs="Times New Roman"/>
          <w:sz w:val="22"/>
        </w:rPr>
        <w:t>3. Aleskerov F., Say A. I., Toker A., Akin H. L., Altay G. A cluster-based decision support system for emergency response // Disasters. — 2005. — Vol. 29, No. 1. — P. 20–27.</w:t>
      </w:r>
    </w:p>
    <w:p>
      <w:pPr>
        <w:spacing w:after="40"/>
        <w:ind w:firstLine="0" w:left="397"/>
        <w:jc w:val="both"/>
      </w:pPr>
      <w:r>
        <w:rPr>
          <w:rFonts w:ascii="Times New Roman" w:hAnsi="Times New Roman" w:eastAsia="Times New Roman" w:cs="Times New Roman"/>
          <w:sz w:val="22"/>
        </w:rPr>
        <w:t>4. Архив ежедневных уровней воды на гидрологических постах бассейна р. Лены: Витим, Киренск, Ленск, Олёкминск, Покровск, Табага, Якутск, Сангар, Жиганск. — Электронный ресурс: AllRivers (allrivers.info), агрегатор данных Центра регистра и кадастра по Восточной Сибири и Дальневосточного управления по гидрометеорологии и мониторингу окружающей среды.</w:t>
      </w:r>
    </w:p>
    <w:p>
      <w:pPr>
        <w:spacing w:after="40"/>
        <w:ind w:firstLine="0" w:left="397"/>
        <w:jc w:val="both"/>
      </w:pPr>
      <w:r>
        <w:rPr>
          <w:rFonts w:ascii="Times New Roman" w:hAnsi="Times New Roman" w:eastAsia="Times New Roman" w:cs="Times New Roman"/>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Электронный ресурс: meteo.ru.</w:t>
      </w:r>
    </w:p>
    <w:p>
      <w:pPr>
        <w:spacing w:after="40"/>
        <w:ind w:firstLine="0" w:left="397"/>
        <w:jc w:val="both"/>
      </w:pPr>
      <w:r>
        <w:rPr>
          <w:rFonts w:ascii="Times New Roman" w:hAnsi="Times New Roman" w:eastAsia="Times New Roman" w:cs="Times New Roman"/>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pPr>
        <w:spacing w:after="40"/>
        <w:ind w:firstLine="0" w:left="397"/>
        <w:jc w:val="both"/>
      </w:pPr>
      <w:r>
        <w:rPr>
          <w:rFonts w:ascii="Times New Roman" w:hAnsi="Times New Roman" w:eastAsia="Times New Roman" w:cs="Times New Roman"/>
          <w:sz w:val="22"/>
        </w:rPr>
        <w:t>7. Базы данных и оперативные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pPr>
        <w:spacing w:after="40"/>
        <w:ind w:firstLine="0" w:left="397"/>
        <w:jc w:val="both"/>
      </w:pPr>
      <w:r>
        <w:rPr>
          <w:rFonts w:ascii="Times New Roman" w:hAnsi="Times New Roman" w:eastAsia="Times New Roman" w:cs="Times New Roman"/>
          <w:sz w:val="22"/>
        </w:rPr>
        <w:t>8. Второй оценочный доклад об изменениях климата и их последствиях на территории Российской Федерации. — М.: Росгидромет, 2022.</w:t>
      </w:r>
    </w:p>
    <w:p>
      <w:pPr>
        <w:spacing w:after="40"/>
        <w:ind w:firstLine="0" w:left="397"/>
        <w:jc w:val="both"/>
      </w:pPr>
      <w:r>
        <w:rPr>
          <w:rFonts w:ascii="Times New Roman" w:hAnsi="Times New Roman" w:eastAsia="Times New Roman" w:cs="Times New Roman"/>
          <w:sz w:val="22"/>
        </w:rPr>
        <w:t>9. Fedorov A. N., Konstantinov P. Y. Recent changes in ground temperature and the effect on permafrost landscapes in Central Yakutia // Permafrost and Periglacial Processes. — 2020. — Vol. 31, No. 4. — P. 502–519.</w:t>
      </w:r>
    </w:p>
    <w:p>
      <w:pPr>
        <w:spacing w:after="40"/>
        <w:ind w:firstLine="0" w:left="397"/>
        <w:jc w:val="both"/>
      </w:pPr>
      <w:r>
        <w:rPr>
          <w:rFonts w:ascii="Times New Roman" w:hAnsi="Times New Roman" w:eastAsia="Times New Roman" w:cs="Times New Roman"/>
          <w:sz w:val="22"/>
        </w:rPr>
        <w:t>10. Fedorov A. N. et al. Long-term ground temperature dynamics at the Chabyda station (Yakutsk, Central Yakutia, 1970–2024) // Cryosphere — 2024 (в публикации).</w:t>
      </w:r>
    </w:p>
    <w:p>
      <w:pPr>
        <w:spacing w:after="40"/>
        <w:ind w:firstLine="0" w:left="397"/>
        <w:jc w:val="both"/>
      </w:pPr>
      <w:r>
        <w:rPr>
          <w:rFonts w:ascii="Times New Roman" w:hAnsi="Times New Roman" w:eastAsia="Times New Roman" w:cs="Times New Roman"/>
          <w:sz w:val="22"/>
        </w:rPr>
        <w:t>11. Кудрявцев В. А. Основы мерзлотного прогноза при инженерно-геологических исследованиях. — М.: Изд-во Московского университета, 1974. — 432 с.</w:t>
      </w:r>
    </w:p>
    <w:p>
      <w:pPr>
        <w:spacing w:after="40"/>
        <w:ind w:firstLine="0" w:left="397"/>
        <w:jc w:val="both"/>
      </w:pPr>
      <w:r>
        <w:rPr>
          <w:rFonts w:ascii="Times New Roman" w:hAnsi="Times New Roman" w:eastAsia="Times New Roman" w:cs="Times New Roman"/>
          <w:sz w:val="22"/>
        </w:rPr>
        <w:t>12. Международный реестр полевых измерений глубины активного слоя сети CALM (Circumpolar Active Layer Monitoring), площадки R42 «Туймаада» и R43 «Нелегер». — Электронный ресурс: https://www2.gwu.edu/~calm/data/data-links.htm. Координатор — George Washington University.</w:t>
      </w:r>
    </w:p>
    <w:p>
      <w:pPr>
        <w:spacing w:after="40"/>
        <w:ind w:firstLine="0" w:left="397"/>
        <w:jc w:val="both"/>
      </w:pPr>
      <w:r>
        <w:rPr>
          <w:rFonts w:ascii="Times New Roman" w:hAnsi="Times New Roman" w:eastAsia="Times New Roman" w:cs="Times New Roman"/>
          <w:sz w:val="22"/>
        </w:rPr>
        <w:t>13. Реестр геокриологических площадок и метаданные программы CALM-Россия / Институт мерзлотоведения им. П. И. Мельникова СО РАН.</w:t>
      </w:r>
    </w:p>
    <w:p>
      <w:pPr>
        <w:spacing w:after="40"/>
        <w:ind w:firstLine="0" w:left="397"/>
        <w:jc w:val="both"/>
      </w:pPr>
      <w:r>
        <w:rPr>
          <w:rFonts w:ascii="Times New Roman" w:hAnsi="Times New Roman" w:eastAsia="Times New Roman" w:cs="Times New Roman"/>
          <w:sz w:val="22"/>
        </w:rPr>
        <w:t>14. GTN-P (Global Terrestrial Network for Permafrost). Permafrost temperature data, Yakutsk borehole records (Chabyda). — Электронный ресурс: https://gtnp.arcticportal.org.</w:t>
      </w:r>
    </w:p>
    <w:p>
      <w:pPr>
        <w:spacing w:after="40"/>
        <w:ind w:firstLine="0" w:left="397"/>
        <w:jc w:val="both"/>
      </w:pPr>
      <w:r>
        <w:rPr>
          <w:rFonts w:ascii="Times New Roman" w:hAnsi="Times New Roman" w:eastAsia="Times New Roman" w:cs="Times New Roman"/>
          <w:sz w:val="22"/>
        </w:rPr>
        <w:t>15. NSIDC G02189. Russia ground temperature records: long-term observations from Russian permafrost network. National Snow and Ice Data Center. — doi:10.7265/N5C24TC5.</w:t>
      </w:r>
    </w:p>
    <w:p>
      <w:pPr>
        <w:spacing w:after="40"/>
        <w:ind w:firstLine="0" w:left="397"/>
        <w:jc w:val="both"/>
      </w:pPr>
      <w:r>
        <w:rPr>
          <w:sz w:val="22"/>
          <w:rFonts w:ascii="Times New Roman" w:hAnsi="Times New Roman" w:eastAsia="Times New Roman" w:cs="Times New Roman"/>
        </w:rPr>
        <w:t>16. СП 25.13330.2012. Основания и фундаменты на вечномерзлых грунтах: актуализированная редакция СНиП 2.02.04-88. — М.: Минстрой России, 2012.</w:t>
      </w:r>
    </w:p>
    <w:p>
      <w:pPr>
        <w:spacing w:after="40"/>
        <w:ind w:firstLine="0" w:left="397"/>
        <w:jc w:val="both"/>
      </w:pPr>
      <w:r>
        <w:rPr>
          <w:sz w:val="22"/>
          <w:rFonts w:ascii="Times New Roman" w:hAnsi="Times New Roman" w:eastAsia="Times New Roman" w:cs="Times New Roman"/>
        </w:rPr>
        <w:t>17. Брушков А. В., Алексеев А. Г., Дроздов Д. С., Дубровин В. А., Железняк М. Н., Осокин А. Б., Садуртдинов М. Р., Сергеев Д. О. и др. Мониторинг вечной мерзлоты. — М.: Академический проект, 2024. — 468 с. + 48 с. цв. вкл. — ISBN 978-5-8291-4278-0. — DOI 10.61828/9785829142780-2024-1-468. (Издание ФАНУ «Восточный центр государственного планирования»; разд. 4.4.2 «Развитие системы мониторинга в Якутске», стр. 138–139.)</w:t>
      </w:r>
    </w:p>
    <w:p>
      <w:pPr>
        <w:spacing w:after="40"/>
        <w:ind w:firstLine="0" w:left="397"/>
        <w:jc w:val="both"/>
      </w:pPr>
      <w:r>
        <w:rPr>
          <w:sz w:val="22"/>
          <w:rFonts w:ascii="Times New Roman" w:hAnsi="Times New Roman" w:eastAsia="Times New Roman" w:cs="Times New Roman"/>
        </w:rPr>
        <w:t>18. Программный модуль расчёта индикатора PSRS (PSRS_Scorer, DecisionSupportSystem) и СППР permafrost_analysis: исходные коды data/permafrost_model/dss.py, data/run_dss.py, web_dss/src/mathCore.js.</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