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left"/>
      </w:pPr>
      <w:r>
        <w:rPr>
          <w:rFonts w:ascii="Calibri" w:hAnsi="Calibri"/>
          <w:b/>
          <w:color w:val="2F4858"/>
          <w:sz w:val="44"/>
        </w:rPr>
        <w:t>BOI SERVICE CENTER: ENTERPRISE INTAKE, TRIAGE, PROJECT CENTER, PROCESS LIBRARY &amp; COMPENDIUM</w:t>
      </w:r>
    </w:p>
    <w:p>
      <w:pPr>
        <w:spacing w:after="360"/>
        <w:jc w:val="left"/>
      </w:pPr>
      <w:r>
        <w:rPr>
          <w:rFonts w:ascii="Calibri" w:hAnsi="Calibri"/>
          <w:i/>
          <w:color w:val="555555"/>
          <w:sz w:val="28"/>
        </w:rPr>
        <w:t>Comprehensive Implementation Plan &amp; Engineering Architecture Specification</w:t>
      </w:r>
    </w:p>
    <w:p>
      <w:pPr>
        <w:pBdr>
          <w:bottom w:val="single" w:sz="12" w:space="1" w:color="2F4858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left w:w="120" w:type="dxa"/>
          <w:right w:w="120" w:type="dxa"/>
        </w:tblCellMar>
      </w:tblPr>
      <w:tblGrid>
        <w:gridCol w:w="4680"/>
        <w:gridCol w:w="4680"/>
      </w:tblGrid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b/>
                <w:sz w:val="20"/>
              </w:rPr>
              <w:t>Document Status: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20"/>
              </w:rPr>
              <w:t>Draft / Pending Review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b/>
                <w:sz w:val="20"/>
              </w:rPr>
              <w:t>Lead Author: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20"/>
              </w:rPr>
              <w:t>BOI Engineering Team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b/>
                <w:sz w:val="20"/>
              </w:rPr>
              <w:t>Publication Date: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20"/>
              </w:rPr>
              <w:t>October 2026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pPr>
              <w:spacing w:after="0"/>
            </w:pPr>
            <w:r>
              <w:rPr>
                <w:b/>
                <w:sz w:val="20"/>
              </w:rPr>
              <w:t>Document Version:</w:t>
            </w:r>
          </w:p>
        </w:tc>
        <w:tc>
          <w:tcPr>
            <w:tcW w:type="dxa" w:w="6480"/>
          </w:tcPr>
          <w:p>
            <w:pPr>
              <w:spacing w:after="0"/>
            </w:pPr>
            <w:r>
              <w:rPr>
                <w:sz w:val="20"/>
              </w:rPr>
              <w:t>1.0</w:t>
            </w:r>
          </w:p>
        </w:tc>
      </w:tr>
    </w:tbl>
    <w:p>
      <w:pPr>
        <w:spacing w:after="240"/>
      </w:pPr>
    </w:p>
    <w:p>
      <w:pPr>
        <w:pStyle w:val="Heading2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r>
          <w:t>Right-click and select 'Update Field' to populate the table of contents.</w:t>
        </w:r>
        <w:fldChar w:fldCharType="end"/>
      </w:r>
    </w:p>
    <w:p>
      <w:r>
        <w:br w:type="page"/>
      </w:r>
    </w:p>
    <w:p>
      <w:pPr>
        <w:pStyle w:val="Heading1"/>
      </w:pPr>
      <w:r>
        <w:t>1. Executive Summary &amp; System Overview</w:t>
      </w:r>
    </w:p>
    <w:p>
      <w:pPr>
        <w:pStyle w:val="Heading2"/>
      </w:pPr>
      <w:r>
        <w:t>1.1 Purpose and Strategic Objective</w:t>
      </w:r>
    </w:p>
    <w:p>
      <w:r>
        <w:t>The Bureau Operations &amp; Improvement (BOI) Service Center is the unified enterprise front door for all operational, governance, internal control, and business transformation initiatives across the agency. The primary operational objectives are:</w:t>
      </w:r>
    </w:p>
    <w:p>
      <w:pPr>
        <w:pStyle w:val="ListBullet"/>
        <w:spacing w:after="80"/>
      </w:pPr>
      <w:r>
        <w:rPr>
          <w:b/>
        </w:rPr>
        <w:t xml:space="preserve">Eliminate Operational Silos: </w:t>
      </w:r>
      <w:r>
        <w:t>Consolidate disparate intake mechanisms into a single, standardized entry point.</w:t>
      </w:r>
    </w:p>
    <w:p>
      <w:pPr>
        <w:pStyle w:val="ListBullet"/>
        <w:spacing w:after="80"/>
      </w:pPr>
      <w:r>
        <w:rPr>
          <w:b/>
        </w:rPr>
        <w:t xml:space="preserve">Operational Ownership &amp; Triage Gating: </w:t>
      </w:r>
      <w:r>
        <w:t>Ensure that every request is routed to the proper functional team (ITSM, Enterprise Architecture, Internal Control, Enterprise Governance &amp; Risk, or Continuous Improvement) and prevent non-CI issues from burdening continuous improvement resources.</w:t>
      </w:r>
    </w:p>
    <w:p>
      <w:pPr>
        <w:pStyle w:val="ListBullet"/>
        <w:spacing w:after="80"/>
      </w:pPr>
      <w:r>
        <w:rPr>
          <w:b/>
        </w:rPr>
        <w:t xml:space="preserve">Data-Driven Delivery Allocation: </w:t>
      </w:r>
      <w:r>
        <w:t>Evaluate incoming projects through an objective, multi-factor scoring rubric to allocate delivery responsibility among Component Teams, the CI Champion Network (Cohort), and the CI Program Office.</w:t>
      </w:r>
    </w:p>
    <w:p>
      <w:pPr>
        <w:pStyle w:val="ListBullet"/>
        <w:spacing w:after="80"/>
      </w:pPr>
      <w:r>
        <w:rPr>
          <w:b/>
        </w:rPr>
        <w:t xml:space="preserve">Failure Mode Risk Governance: </w:t>
      </w:r>
      <w:r>
        <w:t>Quantify statutory, audit, and operational failure risks using a Failure Modes and Effects Analysis (FMEA) Risk Priority Number (RPN) model, introducing automated safety escalations when severe vulnerabilities are identified.</w:t>
      </w:r>
    </w:p>
    <w:p>
      <w:pPr>
        <w:pStyle w:val="ListBullet"/>
        <w:spacing w:after="80"/>
      </w:pPr>
      <w:r>
        <w:rPr>
          <w:b/>
        </w:rPr>
        <w:t xml:space="preserve">End-to-End Asset Lifecycle Management: </w:t>
      </w:r>
      <w:r>
        <w:t>Seamlessly transition projects from intake through active DMAIC/project execution, cataloging living artifacts in a persistent Process Master and actively tracking recommendations through an automated, time-decayed governance compendium.</w:t>
      </w:r>
    </w:p>
    <w:p>
      <w:pPr>
        <w:pStyle w:val="Heading2"/>
      </w:pPr>
      <w:r>
        <w:t>1.2 Enterprise Program Areas &amp; 12 Service Offerings</w:t>
      </w:r>
    </w:p>
    <w:p>
      <w:r>
        <w:t>The BOI Service Center encompasses four primary Program Areas and twelve distinct Service Offerings. The system architecture enforces a strict operational routing boundary: Continuous Improvement (CI) and Integrated Project Management (IPM) initiatives flow into structured Discovery, Triage, and persistent enterprise repositories, whereas Internal Control and Enterprise Governance &amp; Risk initiatives are claimed directly by their functional leads and resolved without generating overhead in the Process Master or Compendium.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Program Area</w:t>
            </w:r>
          </w:p>
        </w:tc>
        <w:tc>
          <w:tcPr>
            <w:tcW w:type="dxa" w:w="3168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Service Offering</w:t>
            </w:r>
          </w:p>
        </w:tc>
        <w:tc>
          <w:tcPr>
            <w:tcW w:type="dxa" w:w="331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Operational Lifecycle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CONTINUOUS IMPROVEMENT (CI)</w:t>
            </w:r>
          </w:p>
        </w:tc>
        <w:tc>
          <w:tcPr>
            <w:tcW w:type="dxa" w:w="3168"/>
          </w:tcPr>
          <w:p>
            <w:pPr>
              <w:spacing w:after="80" w:line="240" w:lineRule="auto"/>
            </w:pPr>
            <w:r>
              <w:rPr>
                <w:sz w:val="19"/>
              </w:rPr>
              <w:t>Business Process Optimization</w:t>
              <w:br/>
              <w:t>Continuous Improvement Services</w:t>
              <w:br/>
              <w:t>Innovation Management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Full Discovery &amp; Triage;</w:t>
              <w:br/>
              <w:t>Promotes to Process Master and Compendium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INTEGRATED PROJECT MANAGEMENT (IPM)</w:t>
            </w:r>
          </w:p>
        </w:tc>
        <w:tc>
          <w:tcPr>
            <w:tcW w:type="dxa" w:w="3168"/>
          </w:tcPr>
          <w:p>
            <w:pPr>
              <w:spacing w:after="80" w:line="240" w:lineRule="auto"/>
            </w:pPr>
            <w:r>
              <w:rPr>
                <w:sz w:val="19"/>
              </w:rPr>
              <w:t>Business Architecture</w:t>
              <w:br/>
              <w:t>Enterprise Project Management</w:t>
              <w:br/>
              <w:t>Solution Integration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Full Discovery &amp; Triage;</w:t>
              <w:br/>
              <w:t>Promotes to Process Master and Compendium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INTERNAL CONTROL (IC)</w:t>
            </w:r>
          </w:p>
        </w:tc>
        <w:tc>
          <w:tcPr>
            <w:tcW w:type="dxa" w:w="3168"/>
          </w:tcPr>
          <w:p>
            <w:pPr>
              <w:spacing w:after="80" w:line="240" w:lineRule="auto"/>
            </w:pPr>
            <w:r>
              <w:rPr>
                <w:sz w:val="19"/>
              </w:rPr>
              <w:t>Control Management</w:t>
              <w:br/>
              <w:t>Statement of Assurance</w:t>
              <w:br/>
              <w:t>Government Purchase Card (GPC)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Direct Functional Claim;</w:t>
              <w:br/>
              <w:t>Resolved &amp; Closed</w:t>
              <w:br/>
              <w:t>(No Process Master/Comp.)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ENTERPRISE GOVERNANCE &amp; RISK (EGR)</w:t>
            </w:r>
          </w:p>
        </w:tc>
        <w:tc>
          <w:tcPr>
            <w:tcW w:type="dxa" w:w="3168"/>
          </w:tcPr>
          <w:p>
            <w:pPr>
              <w:spacing w:after="80" w:line="240" w:lineRule="auto"/>
            </w:pPr>
            <w:r>
              <w:rPr>
                <w:sz w:val="19"/>
              </w:rPr>
              <w:t>Ent. Governance &amp; Decision Supp.</w:t>
              <w:br/>
              <w:t>Ent. Opportunity &amp; Risk Mgmt.</w:t>
              <w:br/>
              <w:t>Intellectual Capital Integration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Direct Functional Claim;</w:t>
              <w:br/>
              <w:t>Resolved &amp; Closed</w:t>
              <w:br/>
              <w:t>(No Process Master/Comp.)</w:t>
            </w:r>
          </w:p>
        </w:tc>
      </w:tr>
    </w:tbl>
    <w:p>
      <w:pPr>
        <w:spacing w:after="240"/>
      </w:pPr>
    </w:p>
    <w:p>
      <w:pPr>
        <w:pStyle w:val="Heading2"/>
      </w:pPr>
      <w:r>
        <w:t>1.3 End-to-End System Architecture</w:t>
      </w:r>
    </w:p>
    <w:p>
      <w:r>
        <w:t>The following diagram illustrates the end-to-end technical and operational flow of the BOI Service Center, from initial user access through triage, automated ID minting, active project execution, and final asset cataloging.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|           UNIFIED USER ACCESS LAYER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|     (Microsoft 365 / Azure AD Identity)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+-----------------------+-----------------------+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 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|      SCREEN 1: UNIVERSAL INTAKE HUB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|  - 5 Universal Baseline Fields (Always On)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|  - Dynamic Progressive Disclosure Containers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+-----------------------+-----------------------+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+----------------------------------+----------------------------------+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|                           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v [CI &amp; IPM Program Areas]                                            v [IC &amp; EGR Program Areas]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+-----------------------------------------------+                  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      TRIAGE, SIPOC &amp; CHARTER STUDIO          |                  |           FUNCTIONAL DIRECT ACTION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- 10 Pre-Screening Routing Gates              |                  | - Control Testing / Statement of Assurance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- 20-Question Diagnostic Rubric (0-100 Pts)   |                  | - GPC Audit Logs / Purchase Reviews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Failure Mode RPN Safeguard (1-125 Pts)      |                  | - Risk Register Entries / Governance Memos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Draft SIPOC &amp; Problem Statement Review      |                  +-----------------------+-----------------------+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+-----------------------+-----------------------+                  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|                                           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v [Status: "Accepted"]                             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+-----------------------------------------------+                  |          RESOLVED &amp; CLOSED DIRECTLY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     AUTOMATED CLOUD ID MINTING (FLOW 1 &amp; 2)  |                  | (Bypasses Process Master &amp; Compendium)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Federal Fiscal Year Project ID: FY##-###    |                  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Immutable Process ID: PROC-[CAP]-####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+-----------------------+-----------------------+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        SCREEN 2: ACTIVE PROJECT CENTER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- 5-Phase Interactive Chevron Progress Tracker|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Assignable JSON Checklist (ParseJSON)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Artifact Upload Console (Binary Flow 3)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Closeout Recommendation Logging Drawer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+-----------------------+-----------------------+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+-----------+-----------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|              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v                       v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+-----------------------+  +-----------------------------------------------+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 35% PROCESS MASTER   |  |        65% RECOMMENDATIONS COMPENDIUM 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Central Directory   |  | - Project-Level Batch Review Interface  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Approved Artifacts  |  | - Accept / Modify / Reject Action Controls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- Live In-Screen View |  | - Flow 4: Automated 14d/45d/75d/150d Timers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|   &amp; Direct Download   |  | - Flow 5: Row-Level Permissions Lockdown      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+-----------------------+  +-----------------------------------------------+</w:t>
            </w:r>
          </w:p>
        </w:tc>
      </w:tr>
    </w:tbl>
    <w:p>
      <w:r>
        <w:br w:type="page"/>
      </w:r>
    </w:p>
    <w:p>
      <w:pPr>
        <w:pStyle w:val="Heading1"/>
      </w:pPr>
      <w:r>
        <w:t>2. Enterprise Intake Portal (Screen 1: scrIntakeHub)</w:t>
      </w:r>
    </w:p>
    <w:p>
      <w:pPr>
        <w:pStyle w:val="Heading2"/>
      </w:pPr>
      <w:r>
        <w:t>2.1 UI Layout Architecture &amp; The Pure Container Pattern</w:t>
      </w:r>
    </w:p>
    <w:p>
      <w:r>
        <w:t>In Power Apps Studio, standard layout containers cannot be nested inside an Edit Form control without triggering severe structural and rendering bugs. To achieve fluid responsive scaling, pixel-perfect alignment, and dynamic progressive disclosure, Screen 1 is built using nested auto-layout Vertical Containers with individual modern controls saving via a unified atomic Patch() function.</w:t>
      </w:r>
    </w:p>
    <w:p>
      <w:r>
        <w:t>Responsive Screen Sizing Rules:</w:t>
      </w:r>
    </w:p>
    <w:p>
      <w:pPr>
        <w:pStyle w:val="ListBullet"/>
        <w:spacing w:after="80"/>
      </w:pPr>
      <w:r>
        <w:rPr>
          <w:b/>
        </w:rPr>
        <w:t xml:space="preserve">Root Vertical Container (conIntakeRoot): </w:t>
      </w:r>
      <w:r>
        <w:t>Width = Parent.Width, Height = Parent.Height, LayoutDirection = Vertical.</w:t>
      </w:r>
    </w:p>
    <w:p>
      <w:pPr>
        <w:pStyle w:val="ListBullet"/>
        <w:spacing w:after="80"/>
      </w:pPr>
      <w:r>
        <w:rPr>
          <w:b/>
        </w:rPr>
        <w:t xml:space="preserve">Header Container (conIntakeHeader): </w:t>
      </w:r>
      <w:r>
        <w:t>Fixed Height = 70, Width = Parent.Width, Fill = varColorBrandDark.</w:t>
      </w:r>
    </w:p>
    <w:p>
      <w:pPr>
        <w:pStyle w:val="ListBullet"/>
        <w:spacing w:after="80"/>
      </w:pPr>
      <w:r>
        <w:rPr>
          <w:b/>
        </w:rPr>
        <w:t xml:space="preserve">Main Content Container (conIntakeMain): </w:t>
      </w:r>
      <w:r>
        <w:t>Width = Parent.Width, Height = Parent.Height - conIntakeHeader.Height, LayoutDirection = Horizontal.</w:t>
      </w:r>
    </w:p>
    <w:p>
      <w:pPr>
        <w:pStyle w:val="ListBullet"/>
        <w:spacing w:after="80"/>
      </w:pPr>
      <w:r>
        <w:rPr>
          <w:b/>
        </w:rPr>
        <w:t xml:space="preserve">Form Area Container (conIntakeFormArea): </w:t>
      </w:r>
      <w:r>
        <w:t>FillPortions = 60, LayoutMinWidth = 600, VerticalOverflow = Scroll.</w:t>
      </w:r>
    </w:p>
    <w:p>
      <w:pPr>
        <w:pStyle w:val="ListBullet"/>
        <w:spacing w:after="80"/>
      </w:pPr>
      <w:r>
        <w:rPr>
          <w:b/>
        </w:rPr>
        <w:t xml:space="preserve">Analyst Sidebar Container (conAnalystSidebar): </w:t>
      </w:r>
      <w:r>
        <w:t>FillPortions = 40, LayoutMinWidth = 400, Visible = varIsAdmin.</w:t>
      </w:r>
    </w:p>
    <w:p>
      <w:pPr>
        <w:pStyle w:val="Heading2"/>
      </w:pPr>
      <w:r>
        <w:t>2.2 Progressive Disclosure Fields &amp; Dynamic Containers</w:t>
      </w:r>
    </w:p>
    <w:p>
      <w:r>
        <w:t>The intake form dynamically displays specific containers based on the selected Program Area and Service Offering, ensuring users only see fields relevant to their request type.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Container Name</w:t>
            </w:r>
          </w:p>
        </w:tc>
        <w:tc>
          <w:tcPr>
            <w:tcW w:type="dxa" w:w="259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Control Type</w:t>
            </w:r>
          </w:p>
        </w:tc>
        <w:tc>
          <w:tcPr>
            <w:tcW w:type="dxa" w:w="3888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Visibility Condition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conBaselineFields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true (Always Visible)</w:t>
              <w:br/>
              <w:t>- Universal Baseline fields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conCI_Module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drpProgramArea.Selected.Value =</w:t>
              <w:br/>
              <w:t>"Continuous Improvement"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conIPM_Module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drpProgramArea.Selected.Value =</w:t>
              <w:br/>
              <w:t>"Integrated Project Management"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conGPC_Module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drpServiceOffering.Selected.Value =</w:t>
              <w:br/>
              <w:t>"Government Purchase Card (GPC)"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conCUEC_Module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drpProgramArea.Selected.Value =</w:t>
              <w:br/>
              <w:t>"Internal Control"</w:t>
            </w:r>
          </w:p>
        </w:tc>
      </w:tr>
      <w:tr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rFonts w:ascii="Consolas" w:hAnsi="Consolas"/>
                <w:sz w:val="19"/>
              </w:rPr>
              <w:t>conEGR_Module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Vertical Container</w:t>
            </w:r>
          </w:p>
        </w:tc>
        <w:tc>
          <w:tcPr>
            <w:tcW w:type="dxa" w:w="3888"/>
          </w:tcPr>
          <w:p>
            <w:pPr>
              <w:spacing w:after="80" w:line="240" w:lineRule="auto"/>
            </w:pPr>
            <w:r>
              <w:rPr>
                <w:sz w:val="19"/>
              </w:rPr>
              <w:t>drpProgramArea.Selected.Value =</w:t>
              <w:br/>
              <w:t>"Enterprise Governance &amp; Risk"</w:t>
            </w:r>
          </w:p>
        </w:tc>
      </w:tr>
    </w:tbl>
    <w:p>
      <w:pPr>
        <w:spacing w:after="240"/>
      </w:pPr>
    </w:p>
    <w:p>
      <w:pPr>
        <w:pStyle w:val="Heading2"/>
      </w:pPr>
      <w:r>
        <w:t>2.3 Production Power Fx Code (scrIntakeHub)</w:t>
      </w:r>
    </w:p>
    <w:p>
      <w:pPr>
        <w:pStyle w:val="Heading3"/>
      </w:pPr>
      <w:r>
        <w:t>2.3.1 App Initialization (App.OnStart)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1. Capture User Profile and Reference Timestamps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Set(varCurrentUser, User());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Set(varToday, Today());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2. Query Person-Based Administrative Security Roster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varAdminRecord,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LookUp(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Service_Center_Admins,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AdminUser.Email = varCurrentUser.Email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3. Set Global Administrative Permission Flag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Set(varIsAdmin, !IsBlank(varAdminRecord));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4. Assign Specific Functional Role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varUserRole,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Coalesce(varAdminRecord.ProgramRole.Value, "Standard User")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5. Global Brand Design System Tokens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Set(varColorBrandDark, RGBA(15, 23, 42, 1));       // Slate 900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Set(varColorBrandPrimary, RGBA(30, 58, 138, 1));   // Blue 900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Set(varColorBrandAccent, RGBA(14, 165, 233, 1));   // Sky 500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Set(varColorSurface, RGBA(248, 250, 252, 1));      // Slate 50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Set(varColorBorder, RGBA(226, 232, 240, 1));       // Slate 200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6. Deep-Link URL Parameter Navigation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If(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!IsBlank(Param("view")),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Switch(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Lower(Param("view")),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"workspace", Navigate(scrProjectWorkspace),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"library", Navigate(scrLibraryAndCompendium),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Navigate(scrIntakeHub)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Navigate(scrIntakeHub)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</w:tc>
      </w:tr>
    </w:tbl>
    <w:p>
      <w:pPr>
        <w:pStyle w:val="Heading3"/>
      </w:pPr>
      <w:r>
        <w:t>2.3.2 Dynamic Dropdown Cascading (drpServiceOffering.Items)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Switch(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drpProgramArea.Selected.Value,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"Continuous Improvement",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"Business Process Optimization",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"Continuous Improvement Services",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"Innovation Management"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"Integrated Project Management",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"Business Architecture",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"Enterprise Project Management",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"Solution Integration"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"Internal Control",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"Control Management",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"Statement of Assurance",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"Government Purchase Card (GPC)"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],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"Enterprise Governance &amp; Risk", [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"Ent. Governance &amp; Decision Supp.",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"Ent. Opportunity &amp; Risk Mgmt.",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"Intellectual Capital Integration"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</w:t>
            </w:r>
          </w:p>
        </w:tc>
      </w:tr>
    </w:tbl>
    <w:p>
      <w:pPr>
        <w:pStyle w:val="Heading3"/>
      </w:pPr>
      <w:r>
        <w:t>2.3.3 Unified Submission Logic (btnSubmitIntake.OnSelect)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Notify("Validating submission parameters...", NotificationType.Information);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If(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// Validate Universal Baseline Required Fields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!IsBlank(Trim(txtReqTitle.Text))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!IsBlank(drpProgramArea.Selected.Value)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!IsBlank(drpServiceOffering.Selected.Value)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!IsBlank(drpDirectorate.Selected.Value)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!IsBlank(Trim(txtRequestSummary.Text))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Require Executive Sponsor for Project-Bound Disciplines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!(drpProgramArea.Selected.Value in ["Continuous Improvement", "Integrated Project Management"]) ||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!IsBlank(cmbExecutiveSponsor.Selected)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With(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IsProjectBound: drpProgramArea.Selected.Value in ["Continuous Improvement", "Integrated Project Management"]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With(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BasePayload: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Title: txtReqTitle.Text,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ProgramArea: { Value: drpProgramArea.Selected.Value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ServiceOffering: { Value: drpServiceOffering.Selected.Value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ComponentDirectorate: { Value: drpDirectorate.Selected.Value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RequestSummary: txtRequestSummary.Text,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ExecutiveSponsor: cmbExecutiveSponsor.Selected,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DesiredCompletion: { Value: drpDesiredCompletion.Selected.Value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PromotedToLibrary: false,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// Project-bound requests enter Triage; routine requests enter functional resolution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IntakeStatus: { Value: If(IsProjectBound, "Pending Triage", "Submitted")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With(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NewRecord: 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Defaults(Enterprise_Project_Lifecycle),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BasePayload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// Append Module Payloads Conditionally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If(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drpProgramArea.Selected.Value = "Continuous Improvement",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NewRecord,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EngagementScope: { Value: drpEngagementScope.Selected.Value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TargetProcessID: txtTargetProcessID.Text,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ProblemStatement: txtProblemStatement.Text,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TargetMetric: txtTargetMetric.Text,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DraftSIPOC_Suppliers: txtSIPOCSuppliers.Text,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DraftSIPOC_Inputs: txtSIPOCInputs.Text,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DraftSIPOC_Process: txtSIPOCProcess.Text,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DraftSIPOC_Outputs: txtSIPOCOutputs.Text,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DraftSIPOC_Customers: txtSIPOCCustomers.Text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If(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drpProgramArea.Selected.Value = "Integrated Project Management",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NewRecord,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CapabilityImpact: txtCapabilityImpact.Text,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TargetGoLive: dtTargetGoLive.SelectedDate,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WBSLevel: txtWBSLevel.Text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If(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drpServiceOffering.Selected.Value = "Government Purchase Card (GPC)",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NewRecord,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GPC_Cardholder: txtCardholderName.Text,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GPC_TransactionLimit: Value(txtSingleTransactionLimit.Text),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    GPC_Justification: txtJustification.Text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// Reset Controls &amp; Notify User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Reset(txtReqTitle);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Reset(txtRequestSummary);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Reset(txtTargetProcessID);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Reset(txtProblemStatement);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Reset(txtTargetMetric);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Notify(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"Request submitted successfully! Tracking confirmation dispatched.",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    NotificationType.Success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Notify("Submission halted. Please complete all mandatory baseline fields.", NotificationType.Error)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</w:t>
            </w:r>
          </w:p>
        </w:tc>
      </w:tr>
    </w:tbl>
    <w:p>
      <w:r>
        <w:br w:type="page"/>
      </w:r>
    </w:p>
    <w:p>
      <w:pPr>
        <w:pStyle w:val="Heading1"/>
      </w:pPr>
      <w:r>
        <w:t>3. Triage, SIPOC &amp; Charter Studio (Analyst Fly-Out Drawer)</w:t>
      </w:r>
    </w:p>
    <w:p>
      <w:pPr>
        <w:pStyle w:val="Heading2"/>
      </w:pPr>
      <w:r>
        <w:t>3.1 Ten Pre-Screening Routing Gates</w:t>
      </w:r>
    </w:p>
    <w:p>
      <w:r>
        <w:t>Before engaging in a formal 30-minute discovery interview, the assigned CI Analyst runs the request through ten mandatory gates. A "YES" response triggers an immediate redirection or administrative hold.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76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03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Diagnostic Pre-Screening Question</w:t>
            </w:r>
          </w:p>
        </w:tc>
        <w:tc>
          <w:tcPr>
            <w:tcW w:type="dxa" w:w="216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If "YES" Condition</w:t>
            </w:r>
          </w:p>
        </w:tc>
        <w:tc>
          <w:tcPr>
            <w:tcW w:type="dxa" w:w="259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Action Routing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01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Is a system currently unavailable, malfunctioning, degraded, or creating an active user access outage?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Technical Break/Fix Incident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Route to ITSM / IT Helpdesk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02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Is the request for standard hardware, software provisioning, or routine desktop configuration?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Standard IT Service Request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Route to ITSM / IT Helpdesk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03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Does the request require procurement of a net-new enterprise software application or SaaS platform?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Commercial Software Acquisition Gate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Route to EAB / Contracting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04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Does the request materially alter agency data schemas, master interfaces, or data ownership?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Enterprise Data Architecture Gate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Route to Chief Data Officer/EAB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05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Does the request remediate an active IG audit finding, statutory deadline, or material weakness?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Elevated Compliance Priority Trigger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Flag for CI Program Office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06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Does the request involve collective bargaining, union rules, privacy/PII, or statutory compliance?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Legal &amp; Policy Review Gate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Route to OGC / Labor Relations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07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Is there an identified Operational Process Owner with direct authority to enforce procedure changes?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Accountable Ownership Gate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Hold Pending Information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08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Is the problem statement focused on operational friction rather than a preselected IT software fix?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Solution-First Reframing Gate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Reframe Around Metrics &amp; Waste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09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Is the work already funded, staffed, or actively underway within another modernization effort?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Deconfliction Check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Coordinate or Close Duplicate</w:t>
            </w:r>
          </w:p>
        </w:tc>
      </w:tr>
      <w:tr>
        <w:tc>
          <w:tcPr>
            <w:tcW w:type="dxa" w:w="576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4032"/>
          </w:tcPr>
          <w:p>
            <w:pPr>
              <w:spacing w:after="80" w:line="240" w:lineRule="auto"/>
            </w:pPr>
            <w:r>
              <w:rPr>
                <w:sz w:val="19"/>
              </w:rPr>
              <w:t>Can required changes be enacted within the Component's existing delegated authorities?</w:t>
            </w:r>
          </w:p>
        </w:tc>
        <w:tc>
          <w:tcPr>
            <w:tcW w:type="dxa" w:w="2160"/>
          </w:tcPr>
          <w:p>
            <w:pPr>
              <w:spacing w:after="80" w:line="240" w:lineRule="auto"/>
            </w:pPr>
            <w:r>
              <w:rPr>
                <w:sz w:val="19"/>
              </w:rPr>
              <w:t>Delegated Authority Check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9"/>
              </w:rPr>
              <w:t>Eligible for 20-Q Rubric</w:t>
            </w:r>
          </w:p>
        </w:tc>
      </w:tr>
    </w:tbl>
    <w:p>
      <w:pPr>
        <w:spacing w:after="240"/>
      </w:pPr>
    </w:p>
    <w:p>
      <w:pPr>
        <w:pStyle w:val="Heading2"/>
      </w:pPr>
      <w:r>
        <w:t>3.2 Twenty-Question Diagnostic Triage Rubric</w:t>
      </w:r>
    </w:p>
    <w:p>
      <w:r>
        <w:t>When a request passes the pre-screening gates, the CI Analyst conducts an intake assessment with the Process Owner. Twenty diagnostic questions across five categories are scored on an objective 1–5 scale.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2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Q#</w:t>
            </w:r>
          </w:p>
        </w:tc>
        <w:tc>
          <w:tcPr>
            <w:tcW w:type="dxa" w:w="360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Diagnostic Focus</w:t>
            </w:r>
          </w:p>
        </w:tc>
        <w:tc>
          <w:tcPr>
            <w:tcW w:type="dxa" w:w="2448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Low Score (1-2)</w:t>
            </w:r>
          </w:p>
        </w:tc>
        <w:tc>
          <w:tcPr>
            <w:tcW w:type="dxa" w:w="259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High Score (4-5)</w:t>
            </w:r>
          </w:p>
        </w:tc>
      </w:tr>
      <w:tr>
        <w:tc>
          <w:tcPr>
            <w:tcW w:type="dxa" w:w="2592"/>
            <w:gridSpan w:val="4"/>
            <w:shd w:val="clear" w:color="auto" w:fill="E2E8F0"/>
          </w:tcPr>
          <w:p>
            <w:pPr>
              <w:spacing w:before="120" w:after="120"/>
            </w:pPr>
            <w:r>
              <w:rPr>
                <w:b/>
                <w:color w:val="1F1F1F"/>
                <w:sz w:val="20"/>
              </w:rPr>
              <w:t>CATEGORY 1: STRATEGIC ALIGNMENT &amp; MISSION MANDATE (Weight: 25% | Multiplier: 5)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Q01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Strategic Priority Alignment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Local preference; no APG link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Core APG or mission pillar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Q02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Compliance &amp; Audit Exposure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No direct compliance impact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Active IG audit / finding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Q03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Cross-Component Reach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Single desk or localized team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Multi-directorate / Agency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Q04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Mandated Urgency &amp; Deadline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Flexible; deferral harmless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Imminent statutory target</w:t>
            </w:r>
          </w:p>
        </w:tc>
      </w:tr>
      <w:tr>
        <w:tc>
          <w:tcPr>
            <w:tcW w:type="dxa" w:w="2592"/>
            <w:gridSpan w:val="4"/>
            <w:shd w:val="clear" w:color="auto" w:fill="E2E8F0"/>
          </w:tcPr>
          <w:p>
            <w:pPr>
              <w:spacing w:before="120" w:after="120"/>
            </w:pPr>
            <w:r>
              <w:rPr>
                <w:b/>
                <w:color w:val="1F1F1F"/>
                <w:sz w:val="20"/>
              </w:rPr>
              <w:t>CATEGORY 2: WASTE SEVERITY, VOLUME &amp; QUANTITATIVE ROI (Weight: 25% | Multiplier: 5)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Q05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Weekly Labor Recovery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&lt;5 labor hours per week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&gt;30 labor hours per week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Q06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Defect &amp; Rework Percentage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&lt;5% scrap/rework loops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&gt;35% rework rate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Q07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Customer Backlog Aging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Meets published SLAs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Severe backlog / breaches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Q08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Financial Penalty Exposure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Minimal fiscal impact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Antideficiency / penalty</w:t>
            </w:r>
          </w:p>
        </w:tc>
      </w:tr>
      <w:tr>
        <w:tc>
          <w:tcPr>
            <w:tcW w:type="dxa" w:w="2592"/>
            <w:gridSpan w:val="4"/>
            <w:shd w:val="clear" w:color="auto" w:fill="E2E8F0"/>
          </w:tcPr>
          <w:p>
            <w:pPr>
              <w:spacing w:before="120" w:after="120"/>
            </w:pPr>
            <w:r>
              <w:rPr>
                <w:b/>
                <w:color w:val="1F1F1F"/>
                <w:sz w:val="20"/>
              </w:rPr>
              <w:t>CATEGORY 3: SCOPE BOUNDARY &amp; TECHNICAL FEASIBILITY (Weight: 20% | Multiplier: 4)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Q09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Scope Containment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Open-ended enterprise ambiguity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Bounded 90-day sprint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Q10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System Interdependency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Custom code / core IT overhaul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M365 Power App or SOP fix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Q11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Baseline Process Maturity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Undocumented tribal knowledge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Documented SOPs &amp; metrics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Q12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Policy &amp; Union Barriers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Extensive union/statute changes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Full local discretion</w:t>
            </w:r>
          </w:p>
        </w:tc>
      </w:tr>
      <w:tr>
        <w:tc>
          <w:tcPr>
            <w:tcW w:type="dxa" w:w="2592"/>
            <w:gridSpan w:val="4"/>
            <w:shd w:val="clear" w:color="auto" w:fill="E2E8F0"/>
          </w:tcPr>
          <w:p>
            <w:pPr>
              <w:spacing w:before="120" w:after="120"/>
            </w:pPr>
            <w:r>
              <w:rPr>
                <w:b/>
                <w:color w:val="1F1F1F"/>
                <w:sz w:val="20"/>
              </w:rPr>
              <w:t>CATEGORY 4: LEADERSHIP SPONSORSHIP &amp; CAPACITY (Weight: 15% | Multiplier: 3)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Q13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Executive Champion Engagement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Passive awareness only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SES / Flag Officer Sponsor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Q14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SME Dedicated Availability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Zero hours available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4-8+ hrs/wk freed per SME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Q15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Process Owner Authority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Lacks operational authority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Full change sign-off power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Q16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Barrier Removal Agility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Past initiatives stalled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Actively clears roadblocks</w:t>
            </w:r>
          </w:p>
        </w:tc>
      </w:tr>
      <w:tr>
        <w:tc>
          <w:tcPr>
            <w:tcW w:type="dxa" w:w="2592"/>
            <w:gridSpan w:val="4"/>
            <w:shd w:val="clear" w:color="auto" w:fill="E2E8F0"/>
          </w:tcPr>
          <w:p>
            <w:pPr>
              <w:spacing w:before="120" w:after="120"/>
            </w:pPr>
            <w:r>
              <w:rPr>
                <w:b/>
                <w:color w:val="1F1F1F"/>
                <w:sz w:val="20"/>
              </w:rPr>
              <w:t>CATEGORY 5: DATA MATURITY &amp; DEFECT VISIBILITY (Weight: 15% | Multiplier: 3)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Q17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Timestamp Log Tracking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Purely anecdotal estimates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Automated system logs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Q18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Defect Categorization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No categories tracked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Granular Pareto error logs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Q19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Baseline Data Reliability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Contradictory / biased data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Audit-ready baseline data</w:t>
            </w:r>
          </w:p>
        </w:tc>
      </w:tr>
      <w:tr>
        <w:tc>
          <w:tcPr>
            <w:tcW w:type="dxa" w:w="720"/>
          </w:tcPr>
          <w:p>
            <w:pPr>
              <w:spacing w:after="80" w:line="240" w:lineRule="auto"/>
            </w:pPr>
            <w:r>
              <w:rPr>
                <w:b/>
                <w:sz w:val="18"/>
              </w:rPr>
              <w:t>Q20</w:t>
            </w:r>
          </w:p>
        </w:tc>
        <w:tc>
          <w:tcPr>
            <w:tcW w:type="dxa" w:w="3600"/>
          </w:tcPr>
          <w:p>
            <w:pPr>
              <w:spacing w:after="80" w:line="240" w:lineRule="auto"/>
            </w:pPr>
            <w:r>
              <w:rPr>
                <w:sz w:val="18"/>
              </w:rPr>
              <w:t>Real-Time Telemetry</w:t>
            </w:r>
          </w:p>
        </w:tc>
        <w:tc>
          <w:tcPr>
            <w:tcW w:type="dxa" w:w="2448"/>
          </w:tcPr>
          <w:p>
            <w:pPr>
              <w:spacing w:after="80" w:line="240" w:lineRule="auto"/>
            </w:pPr>
            <w:r>
              <w:rPr>
                <w:sz w:val="18"/>
              </w:rPr>
              <w:t>Manual retrospective calls</w:t>
            </w:r>
          </w:p>
        </w:tc>
        <w:tc>
          <w:tcPr>
            <w:tcW w:type="dxa" w:w="2592"/>
          </w:tcPr>
          <w:p>
            <w:pPr>
              <w:spacing w:after="80" w:line="240" w:lineRule="auto"/>
            </w:pPr>
            <w:r>
              <w:rPr>
                <w:sz w:val="18"/>
              </w:rPr>
              <w:t>Live Power BI dashboard</w:t>
            </w:r>
          </w:p>
        </w:tc>
      </w:tr>
    </w:tbl>
    <w:p>
      <w:pPr>
        <w:spacing w:after="240"/>
      </w:pPr>
    </w:p>
    <w:p>
      <w:pPr>
        <w:pStyle w:val="Heading2"/>
      </w:pPr>
      <w:r>
        <w:t>3.3 Scoring Engine, Delivery Allocation &amp; RPN Safeguard</w:t>
      </w:r>
    </w:p>
    <w:p>
      <w:pPr>
        <w:pStyle w:val="Heading3"/>
      </w:pPr>
      <w:r>
        <w:t>Composite Weighted Score Formula</w:t>
      </w:r>
    </w:p>
    <w:p>
      <w:r>
        <w:t>The average rating for each category (C1 through C5) is calculated and scaled to produce a composite score from 0 to 100 points:</w:t>
      </w:r>
    </w:p>
    <w:p>
      <w:pPr>
        <w:spacing w:before="240" w:after="240"/>
        <w:jc w:val="center"/>
      </w:pPr>
      <w:r>
        <w:rPr>
          <w:rFonts w:ascii="Consolas" w:hAnsi="Consolas"/>
          <w:i/>
          <w:color w:val="2F4858"/>
          <w:sz w:val="22"/>
        </w:rPr>
        <w:t>Composite Score = (C1_Avg * 5) + (C2_Avg * 5) + (C3_Avg * 4) + (C4_Avg * 3) + (C5_Avg * 3)</w:t>
      </w:r>
    </w:p>
    <w:p>
      <w:pPr>
        <w:pStyle w:val="Heading3"/>
      </w:pPr>
      <w:r>
        <w:t>Ownership Tier Dispositions</w:t>
      </w:r>
    </w:p>
    <w:p>
      <w:pPr>
        <w:pStyle w:val="ListBullet"/>
        <w:spacing w:after="80"/>
      </w:pPr>
      <w:r>
        <w:rPr>
          <w:b/>
        </w:rPr>
        <w:t>Tier 1 (0-49 Points): Component-Led Improvement (Self-Service)</w:t>
        <w:br/>
      </w:r>
      <w:r>
        <w:t>Delivery Lead: Local Component Lead / Submitter.</w:t>
        <w:br/>
        <w:t>Support Model: Central team provides standard templates, SOP checklists, and self-service coaching. No ongoing footprint in the CI central project queue.</w:t>
      </w:r>
    </w:p>
    <w:p>
      <w:pPr>
        <w:pStyle w:val="ListBullet"/>
        <w:spacing w:after="80"/>
      </w:pPr>
      <w:r>
        <w:rPr>
          <w:b/>
        </w:rPr>
        <w:t>Tier 2 (50-74 Points): CI Champion Network / Cohort-Led (Targeted Assist)</w:t>
        <w:br/>
      </w:r>
      <w:r>
        <w:t>Delivery Lead: Directorate CI Champion / Green Belt Cohort Member.</w:t>
        <w:br/>
        <w:t>Support Model: Facilitated 3-5 day Rapid Kaizen event or focused 30-day sprint. CI Program Office provides coaching and milestone quality reviews.</w:t>
      </w:r>
    </w:p>
    <w:p>
      <w:pPr>
        <w:pStyle w:val="ListBullet"/>
        <w:spacing w:after="80"/>
      </w:pPr>
      <w:r>
        <w:rPr>
          <w:b/>
        </w:rPr>
        <w:t>Tier 3 (75-100 Points): CI Program Office-Led (Full DMAIC Discovery)</w:t>
        <w:br/>
      </w:r>
      <w:r>
        <w:t>Delivery Lead: CI Program Office (Dedicated Black Belt).</w:t>
        <w:br/>
        <w:t>Support Model: Full DMAIC lifecycle, executive steering governance, formal Discovery charter, and automated promotion into the persistent Process Master.</w:t>
      </w:r>
    </w:p>
    <w:p>
      <w:pPr>
        <w:pStyle w:val="Heading3"/>
      </w:pPr>
      <w:r>
        <w:t>Failure Mode Risk Priority Number (RPN) Model</w:t>
      </w:r>
    </w:p>
    <w:p>
      <w:r>
        <w:t>To evaluate potential process and design failures, the CI Analyst rates Severity (S, 1-5), Occurrence (O, 1-5), and Detection (D, 1-5):</w:t>
      </w:r>
    </w:p>
    <w:p>
      <w:pPr>
        <w:spacing w:before="240" w:after="240"/>
        <w:jc w:val="center"/>
      </w:pPr>
      <w:r>
        <w:rPr>
          <w:rFonts w:ascii="Consolas" w:hAnsi="Consolas"/>
          <w:i/>
          <w:color w:val="2F4858"/>
          <w:sz w:val="22"/>
        </w:rPr>
        <w:t>RPN = S * O * D    [Range: 1 to 125]</w:t>
      </w:r>
    </w:p>
    <w:p>
      <w:pPr>
        <w:pStyle w:val="ListBullet"/>
        <w:spacing w:after="80"/>
      </w:pPr>
      <w:r>
        <w:rPr>
          <w:b/>
        </w:rPr>
        <w:t xml:space="preserve">RPN 1-24 (Low Risk): </w:t>
      </w:r>
      <w:r>
        <w:t>Normal Component-led or Champion-led execution.</w:t>
      </w:r>
    </w:p>
    <w:p>
      <w:pPr>
        <w:pStyle w:val="ListBullet"/>
        <w:spacing w:after="80"/>
      </w:pPr>
      <w:r>
        <w:rPr>
          <w:b/>
        </w:rPr>
        <w:t xml:space="preserve">RPN 25-59 (Moderate Risk): </w:t>
      </w:r>
      <w:r>
        <w:t>Standard risk controls incorporated into project plan.</w:t>
      </w:r>
    </w:p>
    <w:p>
      <w:pPr>
        <w:pStyle w:val="ListBullet"/>
        <w:spacing w:after="80"/>
      </w:pPr>
      <w:r>
        <w:rPr>
          <w:b/>
        </w:rPr>
        <w:t xml:space="preserve">RPN 60-89 (High Risk): </w:t>
      </w:r>
      <w:r>
        <w:t>Mandatory CI Program Office review and risk mitigation charter.</w:t>
      </w:r>
    </w:p>
    <w:p>
      <w:pPr>
        <w:pStyle w:val="ListBullet"/>
        <w:spacing w:after="80"/>
      </w:pPr>
      <w:r>
        <w:rPr>
          <w:b/>
        </w:rPr>
        <w:t xml:space="preserve">RPN 90-125 (Critical Risk): </w:t>
      </w:r>
      <w:r>
        <w:t>Immediate elevation to Executive Governance &amp; Risk board.</w:t>
      </w:r>
    </w:p>
    <w:p>
      <w:pPr>
        <w:pStyle w:val="ListBullet"/>
        <w:spacing w:after="80"/>
      </w:pPr>
      <w:r>
        <w:rPr>
          <w:b/>
        </w:rPr>
        <w:t xml:space="preserve">Automated Safety Override Rule: </w:t>
      </w:r>
      <w:r>
        <w:t>If RPN &gt;= 64 (or Severity = 5), the project automatically elevates by +1 Tier (Tier 1 elevates to Tier 2; Tier 2 elevates to Tier 3), guaranteeing enterprise oversight regardless of a low triage score.</w:t>
      </w:r>
    </w:p>
    <w:p>
      <w:pPr>
        <w:pStyle w:val="Heading2"/>
      </w:pPr>
      <w:r>
        <w:t>3.4 Acceptance &amp; Promotion Power Fx Formula (btnAcceptRequest.OnSelect)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Notify("Recording assessment and executing promotion...", NotificationType.Information);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galIntakeQueue.Selected,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Advance Lifecycle State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IntakeStatus: { Value: "Closed - Promoted to Active Project"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ProjectPhase: { Value: "Discovery"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TriageWeightedScore: Value(lblCompositeScore.Text),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RPN_Total: Value(lblRPNScore.Text),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RPN_Severity: Value(radRPN_S.Selected.Value),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RPN_Occurrence: Value(radRPN_O.Selected.Value),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RPN_Detection: Value(radRPN_D.Selected.Value),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TriageDisposition: { Value: lblDrawerRecommendation.Text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TriageAnalystNotes: txtTriageNotes.Text,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Persist Category Averages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Triage_Cat1_Avg: Value(lblCat1Avg.Text),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Triage_Cat2_Avg: Value(lblCat2Avg.Text),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Triage_Cat3_Avg: Value(lblCat3Avg.Text),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Triage_Cat4_Avg: Value(lblCat4Avg.Text),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Triage_Cat5_Avg: Value(lblCat5Avg.Text),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Seed Default JSON Task List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ProjectTasks_JSON: "[{'Task':'Executive Charter Signed','Owner':'Champion','Complete':false},{'Task':'SIPOC &amp; VSM Validated','Owner':'CI Lead','Complete':false},{'Task':'Baseline Data Validated','Owner':'Analyst','Complete':false}]"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Set(varShowTriageDrawer, false);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Notify("Project accepted into Discovery! Automated ID minting engaged.", NotificationType.Success);</w:t>
            </w:r>
          </w:p>
        </w:tc>
      </w:tr>
    </w:tbl>
    <w:p>
      <w:r>
        <w:br w:type="page"/>
      </w:r>
    </w:p>
    <w:p>
      <w:pPr>
        <w:pStyle w:val="Heading1"/>
      </w:pPr>
      <w:r>
        <w:t>4. Automated ID Generation &amp; Federal Fiscal Year Rollup</w:t>
      </w:r>
    </w:p>
    <w:p>
      <w:pPr>
        <w:pStyle w:val="Heading2"/>
      </w:pPr>
      <w:r>
        <w:t>4.1 Federal Fiscal Year Calculation Rule</w:t>
      </w:r>
    </w:p>
    <w:p>
      <w:r>
        <w:t>Federal agency budgets operate from October 1 through September 30. If an initiative is accepted in October, November, or December, its project sequence belongs to the upcoming fiscal year.</w:t>
      </w:r>
    </w:p>
    <w:p>
      <w:pPr>
        <w:spacing w:before="240" w:after="240"/>
        <w:jc w:val="center"/>
      </w:pPr>
      <w:r>
        <w:rPr>
          <w:rFonts w:ascii="Consolas" w:hAnsi="Consolas"/>
          <w:i/>
          <w:color w:val="2F4858"/>
          <w:sz w:val="22"/>
        </w:rPr>
        <w:t>Target Fiscal Year = Year(Today()) + 1  [If Month(Today()) &gt;= 10, else Year(Today())]</w:t>
      </w:r>
    </w:p>
    <w:p>
      <w:pPr>
        <w:pStyle w:val="Heading2"/>
      </w:pPr>
      <w:r>
        <w:t>4.2 Standardized Key Taxonomy</w:t>
      </w:r>
    </w:p>
    <w:p>
      <w:pPr>
        <w:pStyle w:val="ListBullet"/>
        <w:spacing w:after="80"/>
      </w:pPr>
      <w:r>
        <w:rPr>
          <w:b/>
        </w:rPr>
        <w:t xml:space="preserve">Federal Project ID (FY##-###): </w:t>
      </w:r>
      <w:r>
        <w:t>Mints a zero-padded annual sequence that automatically resets to 001 every October 1 (e.g., FY27-001, FY27-002).</w:t>
      </w:r>
    </w:p>
    <w:p>
      <w:pPr>
        <w:pStyle w:val="ListBullet"/>
        <w:spacing w:after="80"/>
      </w:pPr>
      <w:r>
        <w:rPr>
          <w:b/>
        </w:rPr>
        <w:t xml:space="preserve">Process Master ID (PROC-[CAP]-####): </w:t>
      </w:r>
      <w:r>
        <w:t>Permanent, immutable capability key based on functional discipline (e.g., PROC-ACQ-0042, PROC-IT-0019).</w:t>
      </w:r>
    </w:p>
    <w:p>
      <w:pPr>
        <w:pStyle w:val="ListBullet"/>
        <w:spacing w:after="80"/>
      </w:pPr>
      <w:r>
        <w:rPr>
          <w:b/>
        </w:rPr>
        <w:t xml:space="preserve">Recommendation ID (REC-[DIR]-[YYYY]-[###]): </w:t>
      </w:r>
      <w:r>
        <w:t>Time-stamped governance action tracking key (e.g., REC-AQD-2027-001).</w:t>
      </w:r>
    </w:p>
    <w:p>
      <w:pPr>
        <w:pStyle w:val="Heading2"/>
      </w:pPr>
      <w:r>
        <w:t>4.3 Hybrid On-Premise PWA (Project Server SE) Synchronization Bridge</w:t>
      </w:r>
    </w:p>
    <w:p>
      <w:r>
        <w:t>Because the agency's Project Web App (PWA) / Project Server SE runs on-premises behind agency firewalls without an open hybrid cloud gateway, synchronization is achieved via a structured process:</w:t>
      </w:r>
    </w:p>
    <w:p>
      <w:pPr>
        <w:pStyle w:val="ListNumber"/>
        <w:spacing w:after="80"/>
      </w:pPr>
      <w:r>
        <w:t>Cloud Mints the Key: Flow 2 generates the authoritative FY##-### key in SharePoint Online upon project acceptance.</w:t>
      </w:r>
    </w:p>
    <w:p>
      <w:pPr>
        <w:pStyle w:val="ListNumber"/>
        <w:spacing w:after="80"/>
      </w:pPr>
      <w:r>
        <w:t>Project Manager Sync: The Project Manager opens on-premise PWA, creates the schedule, and enters FY##-### into the enterprise custom text field [Agency_Project_Code].</w:t>
      </w:r>
    </w:p>
    <w:p>
      <w:pPr>
        <w:pStyle w:val="ListNumber"/>
        <w:spacing w:after="80"/>
      </w:pPr>
      <w:r>
        <w:t>Unified Traceability: All project documentation, tasks, and recommendations reference FY##-###, ensuring 100% data integrity across environments without manual numbering spreadsheets.</w:t>
      </w:r>
    </w:p>
    <w:p>
      <w:r>
        <w:br w:type="page"/>
      </w:r>
    </w:p>
    <w:p>
      <w:pPr>
        <w:pStyle w:val="Heading1"/>
      </w:pPr>
      <w:r>
        <w:t>5. Active Project Execution Center (Screen 2: scrProjectWorkspace)</w:t>
      </w:r>
    </w:p>
    <w:p>
      <w:r>
        <w:t>Screen 2 serves as the primary execution environment for CI Leads and project teams once an initiative is promoted from Triage into Discovery.</w:t>
      </w:r>
    </w:p>
    <w:p>
      <w:pPr>
        <w:pStyle w:val="Heading2"/>
      </w:pPr>
      <w:r>
        <w:t>5.1 Component Hierarchy &amp; Layout Settings</w:t>
      </w:r>
    </w:p>
    <w:p>
      <w:pPr>
        <w:pStyle w:val="ListBullet"/>
        <w:spacing w:after="80"/>
      </w:pPr>
      <w:r>
        <w:rPr>
          <w:b/>
        </w:rPr>
        <w:t xml:space="preserve">Root Container (conWorkspaceRoot): </w:t>
      </w:r>
      <w:r>
        <w:t>Width = Parent.Width, Height = Parent.Height, LayoutDirection = Vertical.</w:t>
      </w:r>
    </w:p>
    <w:p>
      <w:pPr>
        <w:pStyle w:val="ListBullet"/>
        <w:spacing w:after="80"/>
      </w:pPr>
      <w:r>
        <w:rPr>
          <w:b/>
        </w:rPr>
        <w:t xml:space="preserve">Project Header (conProjectHeader): </w:t>
      </w:r>
      <w:r>
        <w:t>Height = 80, Fill = varColorSurface.</w:t>
      </w:r>
    </w:p>
    <w:p>
      <w:pPr>
        <w:pStyle w:val="ListBullet"/>
        <w:spacing w:after="80"/>
      </w:pPr>
      <w:r>
        <w:rPr>
          <w:b/>
        </w:rPr>
        <w:t xml:space="preserve">Chevron Navigation Bar (conChevronBar): </w:t>
      </w:r>
      <w:r>
        <w:t>Height = 60, LayoutAlignItems = Center.</w:t>
      </w:r>
    </w:p>
    <w:p>
      <w:pPr>
        <w:pStyle w:val="ListBullet"/>
        <w:spacing w:after="80"/>
      </w:pPr>
      <w:r>
        <w:rPr>
          <w:b/>
        </w:rPr>
        <w:t xml:space="preserve">Workspace Body (conWorkspaceBody): </w:t>
      </w:r>
      <w:r>
        <w:t>Height = Parent.Height - 140, LayoutDirection = Horizontal.</w:t>
      </w:r>
    </w:p>
    <w:p>
      <w:pPr>
        <w:pStyle w:val="ListBullet"/>
        <w:spacing w:after="80"/>
      </w:pPr>
      <w:r>
        <w:rPr>
          <w:b/>
        </w:rPr>
        <w:t xml:space="preserve">Active Project Directory (conLeftProjects): </w:t>
      </w:r>
      <w:r>
        <w:t>FillPortions = 25, LayoutMinWidth = 280.</w:t>
      </w:r>
    </w:p>
    <w:p>
      <w:pPr>
        <w:pStyle w:val="ListBullet"/>
        <w:spacing w:after="80"/>
      </w:pPr>
      <w:r>
        <w:rPr>
          <w:b/>
        </w:rPr>
        <w:t xml:space="preserve">Checklist &amp; Milestones (conMiddleTasks): </w:t>
      </w:r>
      <w:r>
        <w:t>FillPortions = 40, LayoutMinWidth = 420, Fill = Color.White.</w:t>
      </w:r>
    </w:p>
    <w:p>
      <w:pPr>
        <w:pStyle w:val="ListBullet"/>
        <w:spacing w:after="80"/>
      </w:pPr>
      <w:r>
        <w:rPr>
          <w:b/>
        </w:rPr>
        <w:t xml:space="preserve">Artifacts &amp; Governance (conRightArtifacts): </w:t>
      </w:r>
      <w:r>
        <w:t>FillPortions = 35, LayoutMinWidth = 380, Fill = Color.White.</w:t>
      </w:r>
    </w:p>
    <w:p>
      <w:pPr>
        <w:pStyle w:val="Heading2"/>
      </w:pPr>
      <w:r>
        <w:t>5.2 Five-Phase DMAIC Chevron Progress Tracker</w:t>
      </w:r>
    </w:p>
    <w:p>
      <w:r>
        <w:t>The Chevron Bar highlights the active project phase: Discovery -&gt; Analysis -&gt; Design -&gt; Implementation -&gt; Closure.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Set(varProjectPhase, ThisItem.Value);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galActiveProjects.Selected,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ProjectPhase: { Value: ThisItem.Value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Stamp closure timestamp when entering final phase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ProjectClosedDate: If(ThisItem.Value = "Closure", Today(), Blank())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Notify("Project phase updated to " &amp; ThisItem.Value, NotificationType.Success);</w:t>
            </w:r>
          </w:p>
        </w:tc>
      </w:tr>
    </w:tbl>
    <w:p>
      <w:pPr>
        <w:pStyle w:val="Heading2"/>
      </w:pPr>
      <w:r>
        <w:t>5.3 Assignable JSON-Driven Milestone &amp; Task Checklist</w:t>
      </w:r>
    </w:p>
    <w:p>
      <w:r>
        <w:t>To avoid SharePoint column limits, tasks and milestones are serialized within a single Plain Text column (ProjectTasks_JSON).</w:t>
      </w:r>
    </w:p>
    <w:p>
      <w:pPr>
        <w:pStyle w:val="Heading3"/>
      </w:pPr>
      <w:r>
        <w:t>Loading Tasks on Screen Entry (scrProjectWorkspace.OnVisible)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ClearCollect(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colProjectTasks,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ForAll(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Table(ParseJSON(Coalesce(galActiveProjects.Selected.ProjectTasks_JSON, "[]"))),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Task: Text(Value.Task),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Owner: Text(Value.Owner),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    Complete: Boolean(Value.Complete)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Set(varProjectPhase, Coalesce(galActiveProjects.Selected.ProjectPhase.Value, "Discovery"));</w:t>
            </w:r>
          </w:p>
        </w:tc>
      </w:tr>
    </w:tbl>
    <w:p>
      <w:pPr>
        <w:pStyle w:val="Heading3"/>
      </w:pPr>
      <w:r>
        <w:t>Interactive Task Checkbox (chkTaskComplete.OnCheck / OnUncheck)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Update local collection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Patch(colProjectTasks, ThisItem, { Complete: Self.Value });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Commit JSON string back to SharePoint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Enterprise_Project_Lifecycle,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galActiveProjects.Selected,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ProjectTasks_JSON: JSON(colProjectTasks, JSONFormat.Compact)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</w:tc>
      </w:tr>
    </w:tbl>
    <w:p>
      <w:pPr>
        <w:pStyle w:val="Heading2"/>
      </w:pPr>
      <w:r>
        <w:t>5.4 Binary Artifact Upload Integration (btnUploadArtifact.OnSelect)</w:t>
      </w:r>
    </w:p>
    <w:p>
      <w:r>
        <w:t>Direct canvas Patch() calls on document libraries often fail on binary data. The upload console passes the file directly to Power Automate Flow 3 (Flow_ArtifactUpload_And_AutoSupersede).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Notify("Streaming document deliverable to SharePoint library...", NotificationType.Information);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Flow_ArtifactUpload_And_AutoSupersede.Run(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First(attDocUploader.Attachments).Name,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First(attDocUploader.Attachments).Value,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galActiveProjects.Selected.AssignedProcessID,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galActiveProjects.Selected.PWAProjectID,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drpArtifactType.Selected.Value,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drpArtifactScope.Selected.Value,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txtVersionLabel.Text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Reset(attDocUploader);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Notify("Artifact published. Older iterations marked Superseded.", NotificationType.Success);</w:t>
            </w:r>
          </w:p>
        </w:tc>
      </w:tr>
    </w:tbl>
    <w:p>
      <w:pPr>
        <w:pStyle w:val="Heading2"/>
      </w:pPr>
      <w:r>
        <w:t>5.5 Closeout Recommendation Logging Drawer</w:t>
      </w:r>
    </w:p>
    <w:p>
      <w:r>
        <w:t>During the Project Closure phase, CI Leads record formal findings directly into Recommendations_Compendium.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Recommendations_Compendium,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Defaults(Recommendations_Compendium),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Title: "PENDING",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ProcessID: galActiveProjects.Selected.AssignedProcessID,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ProjectID: galActiveProjects.Selected.PWAProjectID,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RecommendationText: txtNewRecommendationText.Text,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ExpectedOutcome: txtNewExpectedOutcome.Text,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ComponentDirectorate: galActiveProjects.Selected.ComponentDirectorate,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CILeadAuthor: varCurrentUser,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ProjectChampion: galActiveProjects.Selected.ExecutiveSponsor,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ChampionDecision: { Value: "Pending Decision"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ImplementationStatus: { Value: "Not Started"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LastActionUpdateDate: Today(),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EscalationNotificationSent: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Notify("Recommendation submitted to governance compendium.", NotificationType.Success);</w:t>
            </w:r>
          </w:p>
        </w:tc>
      </w:tr>
    </w:tbl>
    <w:p>
      <w:r>
        <w:br w:type="page"/>
      </w:r>
    </w:p>
    <w:p>
      <w:pPr>
        <w:pStyle w:val="Heading1"/>
      </w:pPr>
      <w:r>
        <w:t>6. Process Library &amp; Observations Compendium (Screen 3: scrLibraryAndCompendium)</w:t>
      </w:r>
    </w:p>
    <w:p>
      <w:pPr>
        <w:pStyle w:val="Heading2"/>
      </w:pPr>
      <w:r>
        <w:t>6.1 Split-Screen Architecture (35% / 65%)</w:t>
      </w:r>
    </w:p>
    <w:p>
      <w:r>
        <w:t>Screen 3 provides full visibility into approved agency processes while restricting decision-making on recommendations to designated Project Champions and Administrators.</w:t>
      </w:r>
    </w:p>
    <w:p>
      <w:pPr>
        <w:pStyle w:val="ListBullet"/>
        <w:spacing w:after="80"/>
      </w:pPr>
      <w:r>
        <w:rPr>
          <w:b/>
        </w:rPr>
        <w:t xml:space="preserve">Left Catalog Container (conLeftCatalog): </w:t>
      </w:r>
      <w:r>
        <w:t>FillPortions = 35, LayoutMinWidth = 340, Fill = varColorSurface. Displays the persistent capability directory (Process_Catalog_Master).</w:t>
      </w:r>
    </w:p>
    <w:p>
      <w:pPr>
        <w:pStyle w:val="ListBullet"/>
        <w:spacing w:after="80"/>
      </w:pPr>
      <w:r>
        <w:rPr>
          <w:b/>
        </w:rPr>
        <w:t xml:space="preserve">Right Detail &amp; Compendium Container (conRightCompendium): </w:t>
      </w:r>
      <w:r>
        <w:t>FillPortions = 65, LayoutMinWidth = 580, Fill = Color.White. Displays approved deliverables and recommendation governance.</w:t>
      </w:r>
    </w:p>
    <w:p>
      <w:pPr>
        <w:pStyle w:val="Heading2"/>
      </w:pPr>
      <w:r>
        <w:t>6.2 In-Screen Viewing &amp; File Downloads</w:t>
      </w:r>
    </w:p>
    <w:p>
      <w:r>
        <w:t>The Operational Deliverables Gallery displays living assets filtered by ProcessID and LifecycleState = "Current / Approved".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In-Screen Document Launch (icoViewDocument.OnSelect)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Launch(ThisItem.'Link to item')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Direct File Download (icoDownloadDocument.OnSelect)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Launch(ThisItem.'Link to item' &amp; "?web=0")</w:t>
            </w:r>
          </w:p>
        </w:tc>
      </w:tr>
    </w:tbl>
    <w:p>
      <w:pPr>
        <w:pStyle w:val="Heading2"/>
      </w:pPr>
      <w:r>
        <w:t>6.3 Project-Level Batch Review Interface</w:t>
      </w:r>
    </w:p>
    <w:p>
      <w:r>
        <w:t>When a process is selected, all associated recommendations appear in galCompendiumItems. The action console unlocks only for the designated Project Champion or Service Center Administrators.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// Visibility property of conChampionActionConsole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varIsAdmin || Lower(varCurrentUser.Email) = Lower(galProcessMaster.Selected.ProjectChampion.Email)</w:t>
            </w:r>
          </w:p>
        </w:tc>
      </w:tr>
    </w:tbl>
    <w:p>
      <w:r>
        <w:t>Action Commit Formula (btnCommitChampionDecision.OnSelect):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9360"/>
      </w:tblGrid>
      <w:tr>
        <w:tc>
          <w:tcPr>
            <w:tcW w:type="dxa" w:w="9360"/>
            <w:shd w:val="clear" w:color="auto" w:fill="F2F2F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Notify("Logging governance decision...", NotificationType.Information);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Patch(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Recommendations_Compendium,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galCompendiumItems.Selected,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ChampionDecision: { Value: drpChampionDecision.Selected.Value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ChampionDecisionDate: Today(),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ChampionNotes: txtChampionNotes.Text,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ImplementationStatus: { Value: drpImplementationStatus.Selected.Value },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LastActionUpdateDate: Today(),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LastActionNote: txtActionTakenNote.Text,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// Reset escalation flag so Flow 4 resumes monitoring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    EscalationNotificationSent: false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2F4858"/>
                <w:sz w:val="19"/>
              </w:rPr>
              <w:t>Notify("Champion decision and action updates persisted.", NotificationType.Success);</w:t>
            </w:r>
          </w:p>
        </w:tc>
      </w:tr>
    </w:tbl>
    <w:p>
      <w:pPr>
        <w:pStyle w:val="Heading2"/>
      </w:pPr>
      <w:r>
        <w:t>6.4 Automated Governance Cadence (Flow 4 Escalation Timers)</w:t>
      </w:r>
    </w:p>
    <w:p>
      <w:r>
        <w:t>To ensure accountability, Flow 4 monitors the compendium daily and executes multi-tiered escalations based on inactivity thresholds.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28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Escalation Tier</w:t>
            </w:r>
          </w:p>
        </w:tc>
        <w:tc>
          <w:tcPr>
            <w:tcW w:type="dxa" w:w="144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Inactive Days</w:t>
            </w:r>
          </w:p>
        </w:tc>
        <w:tc>
          <w:tcPr>
            <w:tcW w:type="dxa" w:w="3312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Evaluation Trigger</w:t>
            </w:r>
          </w:p>
        </w:tc>
        <w:tc>
          <w:tcPr>
            <w:tcW w:type="dxa" w:w="288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Notification Dispatched</w:t>
            </w:r>
          </w:p>
        </w:tc>
      </w:tr>
      <w:tr>
        <w:tc>
          <w:tcPr>
            <w:tcW w:type="dxa" w:w="1728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Level 1: Nudge</w:t>
            </w:r>
          </w:p>
        </w:tc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sz w:val="19"/>
              </w:rPr>
              <w:t>14 Days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ChampionDecision = "Pending"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Teams Card / Email to Project Champion</w:t>
            </w:r>
          </w:p>
        </w:tc>
      </w:tr>
      <w:tr>
        <w:tc>
          <w:tcPr>
            <w:tcW w:type="dxa" w:w="1728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Level 2: Review</w:t>
            </w:r>
          </w:p>
        </w:tc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sz w:val="19"/>
              </w:rPr>
              <w:t>45 Days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ImplementationStatus = "In Progress" and no updates in 45 days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Reminder email to Lead and Champion for status</w:t>
            </w:r>
          </w:p>
        </w:tc>
      </w:tr>
      <w:tr>
        <w:tc>
          <w:tcPr>
            <w:tcW w:type="dxa" w:w="1728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Level 3: Warning</w:t>
            </w:r>
          </w:p>
        </w:tc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sz w:val="19"/>
              </w:rPr>
              <w:t>60 Days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Inactive &gt;= 60 Days and Status &lt;&gt; "Implemented / Closed"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Amber visual icon in app; Direct notice to Champion</w:t>
            </w:r>
          </w:p>
        </w:tc>
      </w:tr>
      <w:tr>
        <w:tc>
          <w:tcPr>
            <w:tcW w:type="dxa" w:w="1728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Level 4: Formal Escalation</w:t>
            </w:r>
          </w:p>
        </w:tc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sz w:val="19"/>
              </w:rPr>
              <w:t>75-150 Days</w:t>
            </w:r>
          </w:p>
        </w:tc>
        <w:tc>
          <w:tcPr>
            <w:tcW w:type="dxa" w:w="3312"/>
          </w:tcPr>
          <w:p>
            <w:pPr>
              <w:spacing w:after="80" w:line="240" w:lineRule="auto"/>
            </w:pPr>
            <w:r>
              <w:rPr>
                <w:sz w:val="19"/>
              </w:rPr>
              <w:t>Inactive &gt;= 75 Days and EscalationNotificationSent = false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High-Priority Escalation to Decision Authority; Status = "Stalled"</w:t>
            </w:r>
          </w:p>
        </w:tc>
      </w:tr>
    </w:tbl>
    <w:p>
      <w:r>
        <w:br w:type="page"/>
      </w:r>
    </w:p>
    <w:p>
      <w:pPr>
        <w:pStyle w:val="Heading1"/>
      </w:pPr>
      <w:r>
        <w:t>7. Data Architecture &amp; SharePoint Online Schemas</w:t>
      </w:r>
    </w:p>
    <w:p>
      <w:pPr>
        <w:pStyle w:val="Heading2"/>
      </w:pPr>
      <w:r>
        <w:t>7.1 Single-Table Sparse List Architecture Rule</w:t>
      </w:r>
    </w:p>
    <w:p>
      <w:r>
        <w:t>To support progressive disclosure without submission crashes, the backend architecture enforces a strict rule:</w:t>
      </w:r>
    </w:p>
    <w:p>
      <w:pPr>
        <w:pStyle w:val="ListNumber"/>
        <w:spacing w:after="80"/>
      </w:pPr>
      <w:r>
        <w:t>The #1 Backend Rule: Only the 5 Universal Baseline fields are set to Required = Yes in SharePoint settings.</w:t>
      </w:r>
    </w:p>
    <w:p>
      <w:pPr>
        <w:pStyle w:val="ListNumber"/>
        <w:spacing w:after="80"/>
      </w:pPr>
      <w:r>
        <w:t>All 40+ module-specific columns are set to Required = No (Optional) in SharePoint settings. Mandatory constraints are enforced dynamically within Power Apps based on the selected Program Area.</w:t>
      </w:r>
    </w:p>
    <w:p>
      <w:pPr>
        <w:pStyle w:val="Heading2"/>
      </w:pPr>
      <w:r>
        <w:t>7.2 Complete Data Schema Specifications</w:t>
      </w:r>
    </w:p>
    <w:p>
      <w:pPr>
        <w:pStyle w:val="Heading3"/>
      </w:pPr>
      <w:r>
        <w:t>7.2.1 List 1: System_Counters (Auto-Numbering Sequence Engine)</w:t>
      </w:r>
    </w:p>
    <w:p>
      <w:pPr>
        <w:pStyle w:val="ListBullet"/>
        <w:spacing w:after="60"/>
      </w:pPr>
      <w:r>
        <w:rPr>
          <w:b/>
        </w:rPr>
        <w:t>Title (Single Line of Text, Indexed):</w:t>
      </w:r>
      <w:r>
        <w:t xml:space="preserve"> Key string (e.g., REQ-2027, FY27, PROC-ACQ, REC-2027).</w:t>
      </w:r>
    </w:p>
    <w:p>
      <w:pPr>
        <w:pStyle w:val="ListBullet"/>
        <w:spacing w:after="60"/>
      </w:pPr>
      <w:r>
        <w:rPr>
          <w:b/>
        </w:rPr>
        <w:t>CounterCategory (Choice):</w:t>
      </w:r>
      <w:r>
        <w:t xml:space="preserve"> Intake, Project, Process, Recommendation.</w:t>
      </w:r>
    </w:p>
    <w:p>
      <w:pPr>
        <w:pStyle w:val="ListBullet"/>
        <w:spacing w:after="60"/>
      </w:pPr>
      <w:r>
        <w:rPr>
          <w:b/>
        </w:rPr>
        <w:t>LastSequence (Number, Integer):</w:t>
      </w:r>
      <w:r>
        <w:t xml:space="preserve"> Seeded at 0; tracks the highest issued sequential integer.</w:t>
      </w:r>
    </w:p>
    <w:p>
      <w:pPr>
        <w:pStyle w:val="Heading3"/>
      </w:pPr>
      <w:r>
        <w:t>7.2.2 List 2: Service_Center_Admins (Role Gatekeeper)</w:t>
      </w:r>
    </w:p>
    <w:p>
      <w:pPr>
        <w:pStyle w:val="ListBullet"/>
        <w:spacing w:after="60"/>
      </w:pPr>
      <w:r>
        <w:rPr>
          <w:b/>
        </w:rPr>
        <w:t>Title (Single Line of Text):</w:t>
      </w:r>
      <w:r>
        <w:t xml:space="preserve"> Staff Member Name.</w:t>
      </w:r>
    </w:p>
    <w:p>
      <w:pPr>
        <w:pStyle w:val="ListBullet"/>
        <w:spacing w:after="60"/>
      </w:pPr>
      <w:r>
        <w:rPr>
          <w:b/>
        </w:rPr>
        <w:t>AdminUser (Person or Group, Required = Yes):</w:t>
      </w:r>
      <w:r>
        <w:t xml:space="preserve"> User profile object matching M365 Exchange directory.</w:t>
      </w:r>
    </w:p>
    <w:p>
      <w:pPr>
        <w:pStyle w:val="ListBullet"/>
        <w:spacing w:after="60"/>
      </w:pPr>
      <w:r>
        <w:rPr>
          <w:b/>
        </w:rPr>
        <w:t>ProgramRole (Choice):</w:t>
      </w:r>
      <w:r>
        <w:t xml:space="preserve"> CI, IPM, ICC, EGR, System Admin.</w:t>
      </w:r>
    </w:p>
    <w:p>
      <w:pPr>
        <w:pStyle w:val="Heading3"/>
      </w:pPr>
      <w:r>
        <w:t>7.2.3 List 3: Process_Catalog_Master (Persistent Process Directory)</w:t>
      </w:r>
    </w:p>
    <w:p>
      <w:pPr>
        <w:pStyle w:val="ListBullet"/>
        <w:spacing w:after="60"/>
      </w:pPr>
      <w:r>
        <w:rPr>
          <w:b/>
        </w:rPr>
        <w:t>Title (Single Line of Text):</w:t>
      </w:r>
      <w:r>
        <w:t xml:space="preserve"> Composite string: [Process ID] - [Process Name].</w:t>
      </w:r>
    </w:p>
    <w:p>
      <w:pPr>
        <w:pStyle w:val="ListBullet"/>
        <w:spacing w:after="60"/>
      </w:pPr>
      <w:r>
        <w:rPr>
          <w:b/>
        </w:rPr>
        <w:t>ProcessID (Single Line of Text, Indexed):</w:t>
      </w:r>
      <w:r>
        <w:t xml:space="preserve"> Immutable primary key formatted as PROC-[CAP]-####.</w:t>
      </w:r>
    </w:p>
    <w:p>
      <w:pPr>
        <w:pStyle w:val="ListBullet"/>
        <w:spacing w:after="60"/>
      </w:pPr>
      <w:r>
        <w:rPr>
          <w:b/>
        </w:rPr>
        <w:t>ProcessName (Single Line of Text):</w:t>
      </w:r>
      <w:r>
        <w:t xml:space="preserve"> Human-readable process title.</w:t>
      </w:r>
    </w:p>
    <w:p>
      <w:pPr>
        <w:pStyle w:val="ListBullet"/>
        <w:spacing w:after="60"/>
      </w:pPr>
      <w:r>
        <w:rPr>
          <w:b/>
        </w:rPr>
        <w:t>ProcessCategory (Choice):</w:t>
      </w:r>
      <w:r>
        <w:t xml:space="preserve"> Acquisitions, IT, Investigations, Audits, Logistics, Operations.</w:t>
      </w:r>
    </w:p>
    <w:p>
      <w:pPr>
        <w:pStyle w:val="ListBullet"/>
        <w:spacing w:after="60"/>
      </w:pPr>
      <w:r>
        <w:rPr>
          <w:b/>
        </w:rPr>
        <w:t>OwningComponent (Choice):</w:t>
      </w:r>
      <w:r>
        <w:t xml:space="preserve"> Directorate code (MS-AQD, OIG-INV, etc.).</w:t>
      </w:r>
    </w:p>
    <w:p>
      <w:pPr>
        <w:pStyle w:val="ListBullet"/>
        <w:spacing w:after="60"/>
      </w:pPr>
      <w:r>
        <w:rPr>
          <w:b/>
        </w:rPr>
        <w:t>ProcessOwner (Person):</w:t>
      </w:r>
      <w:r>
        <w:t xml:space="preserve"> Operational lead responsible for sustaining standard work.</w:t>
      </w:r>
    </w:p>
    <w:p>
      <w:pPr>
        <w:pStyle w:val="ListBullet"/>
        <w:spacing w:after="60"/>
      </w:pPr>
      <w:r>
        <w:rPr>
          <w:b/>
        </w:rPr>
        <w:t>ProjectChampion (Person):</w:t>
      </w:r>
      <w:r>
        <w:t xml:space="preserve"> Executive sponsor who authorized process baseline.</w:t>
      </w:r>
    </w:p>
    <w:p>
      <w:pPr>
        <w:pStyle w:val="ListBullet"/>
        <w:spacing w:after="60"/>
      </w:pPr>
      <w:r>
        <w:rPr>
          <w:b/>
        </w:rPr>
        <w:t>AllAssociatedProjects (Multiple Lines of Text):</w:t>
      </w:r>
      <w:r>
        <w:t xml:space="preserve"> Historical tracking log (e.g., FY24-012; FY27-001).</w:t>
      </w:r>
    </w:p>
    <w:p>
      <w:pPr>
        <w:pStyle w:val="ListBullet"/>
        <w:spacing w:after="60"/>
      </w:pPr>
      <w:r>
        <w:rPr>
          <w:b/>
        </w:rPr>
        <w:t>ProcessLifecycleState (Choice):</w:t>
      </w:r>
      <w:r>
        <w:t xml:space="preserve"> Active / Operational, Under Revision, Pending Revalidation, Retired.</w:t>
      </w:r>
    </w:p>
    <w:p>
      <w:pPr>
        <w:pStyle w:val="Heading3"/>
      </w:pPr>
      <w:r>
        <w:t>7.2.4 List 4: Enterprise_Project_Lifecycle (Intake &amp; Project Execution Hub)</w:t>
      </w:r>
    </w:p>
    <w:p>
      <w:pPr>
        <w:pStyle w:val="ListBullet"/>
        <w:spacing w:after="60"/>
      </w:pPr>
      <w:r>
        <w:rPr>
          <w:b/>
        </w:rPr>
        <w:t>Title (Single Line of Text, SharePoint Required = Yes):</w:t>
      </w:r>
      <w:r>
        <w:t xml:space="preserve"> Short request title.</w:t>
      </w:r>
    </w:p>
    <w:p>
      <w:pPr>
        <w:pStyle w:val="ListBullet"/>
        <w:spacing w:after="60"/>
      </w:pPr>
      <w:r>
        <w:rPr>
          <w:b/>
        </w:rPr>
        <w:t>ProgramArea (Choice, SharePoint Required = Yes):</w:t>
      </w:r>
      <w:r>
        <w:t xml:space="preserve"> Continuous Improvement, Integrated Project Management, Internal Control, Enterprise Governance &amp; Risk.</w:t>
      </w:r>
    </w:p>
    <w:p>
      <w:pPr>
        <w:pStyle w:val="ListBullet"/>
        <w:spacing w:after="60"/>
      </w:pPr>
      <w:r>
        <w:rPr>
          <w:b/>
        </w:rPr>
        <w:t>ServiceOffering (Choice, SharePoint Required = Yes):</w:t>
      </w:r>
      <w:r>
        <w:t xml:space="preserve"> 12 standardized offerings.</w:t>
      </w:r>
    </w:p>
    <w:p>
      <w:pPr>
        <w:pStyle w:val="ListBullet"/>
        <w:spacing w:after="60"/>
      </w:pPr>
      <w:r>
        <w:rPr>
          <w:b/>
        </w:rPr>
        <w:t>Requestor (Person, SharePoint Required = Yes):</w:t>
      </w:r>
      <w:r>
        <w:t xml:space="preserve"> Submitter profile.</w:t>
      </w:r>
    </w:p>
    <w:p>
      <w:pPr>
        <w:pStyle w:val="ListBullet"/>
        <w:spacing w:after="60"/>
      </w:pPr>
      <w:r>
        <w:rPr>
          <w:b/>
        </w:rPr>
        <w:t>ComponentDirectorate (Choice, SharePoint Required = Yes):</w:t>
      </w:r>
      <w:r>
        <w:t xml:space="preserve"> Submitting component.</w:t>
      </w:r>
    </w:p>
    <w:p>
      <w:pPr>
        <w:pStyle w:val="ListBullet"/>
        <w:spacing w:after="60"/>
      </w:pPr>
      <w:r>
        <w:rPr>
          <w:b/>
        </w:rPr>
        <w:t>RequestSummary (Multiple Lines of Text):</w:t>
      </w:r>
      <w:r>
        <w:t xml:space="preserve"> Plain text problem overview.</w:t>
      </w:r>
    </w:p>
    <w:p>
      <w:pPr>
        <w:pStyle w:val="ListBullet"/>
        <w:spacing w:after="60"/>
      </w:pPr>
      <w:r>
        <w:rPr>
          <w:b/>
        </w:rPr>
        <w:t>ExecutiveSponsor (Person):</w:t>
      </w:r>
      <w:r>
        <w:t xml:space="preserve"> Executive sponsor (SES / Division Chief).</w:t>
      </w:r>
    </w:p>
    <w:p>
      <w:pPr>
        <w:pStyle w:val="ListBullet"/>
        <w:spacing w:after="60"/>
      </w:pPr>
      <w:r>
        <w:rPr>
          <w:b/>
        </w:rPr>
        <w:t>IntakeStatus (Choice):</w:t>
      </w:r>
      <w:r>
        <w:t xml:space="preserve"> Submitted, Pending Triage, Closed - Promoted to Active Project, Closed - ICC/EGR Resolved, Declined.</w:t>
      </w:r>
    </w:p>
    <w:p>
      <w:pPr>
        <w:pStyle w:val="ListBullet"/>
        <w:spacing w:after="60"/>
      </w:pPr>
      <w:r>
        <w:rPr>
          <w:b/>
        </w:rPr>
        <w:t>ProjectPhase (Choice):</w:t>
      </w:r>
      <w:r>
        <w:t xml:space="preserve"> Discovery, Analysis, Design, Implementation, Closure, Completed.</w:t>
      </w:r>
    </w:p>
    <w:p>
      <w:pPr>
        <w:pStyle w:val="ListBullet"/>
        <w:spacing w:after="60"/>
      </w:pPr>
      <w:r>
        <w:rPr>
          <w:b/>
        </w:rPr>
        <w:t>PWAProjectID (Single Line of Text, Indexed):</w:t>
      </w:r>
      <w:r>
        <w:t xml:space="preserve"> Stamped with minted FY##-###.</w:t>
      </w:r>
    </w:p>
    <w:p>
      <w:pPr>
        <w:pStyle w:val="ListBullet"/>
        <w:spacing w:after="60"/>
      </w:pPr>
      <w:r>
        <w:rPr>
          <w:b/>
        </w:rPr>
        <w:t>AssignedProcessID (Single Line of Text, Indexed):</w:t>
      </w:r>
      <w:r>
        <w:t xml:space="preserve"> Stamped with minted PROC-[CAP]-####.</w:t>
      </w:r>
    </w:p>
    <w:p>
      <w:pPr>
        <w:pStyle w:val="ListBullet"/>
        <w:spacing w:after="60"/>
      </w:pPr>
      <w:r>
        <w:rPr>
          <w:b/>
        </w:rPr>
        <w:t>TriageWeightedScore (Number, 0-100):</w:t>
      </w:r>
      <w:r>
        <w:t xml:space="preserve"> Calculated triage composite score.</w:t>
      </w:r>
    </w:p>
    <w:p>
      <w:pPr>
        <w:pStyle w:val="ListBullet"/>
        <w:spacing w:after="60"/>
      </w:pPr>
      <w:r>
        <w:rPr>
          <w:b/>
        </w:rPr>
        <w:t>RPN_Total (Number, 1-125):</w:t>
      </w:r>
      <w:r>
        <w:t xml:space="preserve"> Calculated failure mode risk score.</w:t>
      </w:r>
    </w:p>
    <w:p>
      <w:pPr>
        <w:pStyle w:val="ListBullet"/>
        <w:spacing w:after="60"/>
      </w:pPr>
      <w:r>
        <w:rPr>
          <w:b/>
        </w:rPr>
        <w:t>ProjectTasks_JSON (Multiple Lines of Text, Plain Text):</w:t>
      </w:r>
      <w:r>
        <w:t xml:space="preserve"> Stores task checklist items.</w:t>
      </w:r>
    </w:p>
    <w:p>
      <w:pPr>
        <w:pStyle w:val="ListBullet"/>
        <w:spacing w:after="60"/>
      </w:pPr>
      <w:r>
        <w:rPr>
          <w:b/>
        </w:rPr>
        <w:t>ProjectClosedDate (Date):</w:t>
      </w:r>
      <w:r>
        <w:t xml:space="preserve"> Stamped upon advancing to Closure phase.</w:t>
      </w:r>
    </w:p>
    <w:p>
      <w:pPr>
        <w:pStyle w:val="Heading3"/>
      </w:pPr>
      <w:r>
        <w:t>7.2.5 Library 1: Project_Process_Artifacts (Document Deliverable Storage)</w:t>
      </w:r>
    </w:p>
    <w:p>
      <w:pPr>
        <w:pStyle w:val="ListBullet"/>
        <w:spacing w:after="60"/>
      </w:pPr>
      <w:r>
        <w:rPr>
          <w:b/>
        </w:rPr>
        <w:t>Name (File Leaf Ref):</w:t>
      </w:r>
      <w:r>
        <w:t xml:space="preserve"> File document name.</w:t>
      </w:r>
    </w:p>
    <w:p>
      <w:pPr>
        <w:pStyle w:val="ListBullet"/>
        <w:spacing w:after="60"/>
      </w:pPr>
      <w:r>
        <w:rPr>
          <w:b/>
        </w:rPr>
        <w:t>ProcessID (Single Line of Text, Indexed):</w:t>
      </w:r>
      <w:r>
        <w:t xml:space="preserve"> Foreign key linking to Process Master.</w:t>
      </w:r>
    </w:p>
    <w:p>
      <w:pPr>
        <w:pStyle w:val="ListBullet"/>
        <w:spacing w:after="60"/>
      </w:pPr>
      <w:r>
        <w:rPr>
          <w:b/>
        </w:rPr>
        <w:t>OriginatingProjectID (Single Line of Text):</w:t>
      </w:r>
      <w:r>
        <w:t xml:space="preserve"> Associated FY##-### project identifier.</w:t>
      </w:r>
    </w:p>
    <w:p>
      <w:pPr>
        <w:pStyle w:val="ListBullet"/>
        <w:spacing w:after="60"/>
      </w:pPr>
      <w:r>
        <w:rPr>
          <w:b/>
        </w:rPr>
        <w:t>ArtifactType (Choice):</w:t>
      </w:r>
      <w:r>
        <w:t xml:space="preserve"> Process Map (VSM / Flowchart), SIPOC, RACI Matrix, Charter, SOP / Job Aid.</w:t>
      </w:r>
    </w:p>
    <w:p>
      <w:pPr>
        <w:pStyle w:val="ListBullet"/>
        <w:spacing w:after="60"/>
      </w:pPr>
      <w:r>
        <w:rPr>
          <w:b/>
        </w:rPr>
        <w:t>ArtifactScope (Choice):</w:t>
      </w:r>
      <w:r>
        <w:t xml:space="preserve"> Living Process Asset vs. Milestone Deliverable.</w:t>
      </w:r>
    </w:p>
    <w:p>
      <w:pPr>
        <w:pStyle w:val="ListBullet"/>
        <w:spacing w:after="60"/>
      </w:pPr>
      <w:r>
        <w:rPr>
          <w:b/>
        </w:rPr>
        <w:t>LifecycleState (Choice):</w:t>
      </w:r>
      <w:r>
        <w:t xml:space="preserve"> Draft / Working, Current / Approved, Superseded / Archived.</w:t>
      </w:r>
    </w:p>
    <w:p>
      <w:pPr>
        <w:pStyle w:val="ListBullet"/>
        <w:spacing w:after="60"/>
      </w:pPr>
      <w:r>
        <w:rPr>
          <w:b/>
        </w:rPr>
        <w:t>VersionLabel (Single Line of Text):</w:t>
      </w:r>
      <w:r>
        <w:t xml:space="preserve"> E.g., v1.0, v2.0.</w:t>
      </w:r>
    </w:p>
    <w:p>
      <w:pPr>
        <w:pStyle w:val="ListBullet"/>
        <w:spacing w:after="60"/>
      </w:pPr>
      <w:r>
        <w:rPr>
          <w:b/>
        </w:rPr>
        <w:t>ArchivedDate (Date):</w:t>
      </w:r>
      <w:r>
        <w:t xml:space="preserve"> Stamped automatically when superseded.</w:t>
      </w:r>
    </w:p>
    <w:p>
      <w:pPr>
        <w:pStyle w:val="Heading3"/>
      </w:pPr>
      <w:r>
        <w:t>7.2.6 List 5: Recommendations_Compendium (Governance Action Tracking)</w:t>
      </w:r>
    </w:p>
    <w:p>
      <w:pPr>
        <w:pStyle w:val="ListBullet"/>
        <w:spacing w:after="60"/>
      </w:pPr>
      <w:r>
        <w:rPr>
          <w:b/>
        </w:rPr>
        <w:t>Title (Single Line of Text):</w:t>
      </w:r>
      <w:r>
        <w:t xml:space="preserve"> Sequential ID (e.g., REC-AQD-2027-001).</w:t>
      </w:r>
    </w:p>
    <w:p>
      <w:pPr>
        <w:pStyle w:val="ListBullet"/>
        <w:spacing w:after="60"/>
      </w:pPr>
      <w:r>
        <w:rPr>
          <w:b/>
        </w:rPr>
        <w:t>ProcessID (Single Line of Text, Indexed):</w:t>
      </w:r>
      <w:r>
        <w:t xml:space="preserve"> Foreign key linking to Process Master.</w:t>
      </w:r>
    </w:p>
    <w:p>
      <w:pPr>
        <w:pStyle w:val="ListBullet"/>
        <w:spacing w:after="60"/>
      </w:pPr>
      <w:r>
        <w:rPr>
          <w:b/>
        </w:rPr>
        <w:t>ProjectID (Single Line of Text):</w:t>
      </w:r>
      <w:r>
        <w:t xml:space="preserve"> Associated FY##-### project identifier.</w:t>
      </w:r>
    </w:p>
    <w:p>
      <w:pPr>
        <w:pStyle w:val="ListBullet"/>
        <w:spacing w:after="60"/>
      </w:pPr>
      <w:r>
        <w:rPr>
          <w:b/>
        </w:rPr>
        <w:t>RecommendationText (Multiple Lines of Text):</w:t>
      </w:r>
      <w:r>
        <w:t xml:space="preserve"> Actionable improvement recommendation.</w:t>
      </w:r>
    </w:p>
    <w:p>
      <w:pPr>
        <w:pStyle w:val="ListBullet"/>
        <w:spacing w:after="60"/>
      </w:pPr>
      <w:r>
        <w:rPr>
          <w:b/>
        </w:rPr>
        <w:t>ExpectedOutcome (Multiple Lines of Text):</w:t>
      </w:r>
      <w:r>
        <w:t xml:space="preserve"> Projected operational benefit.</w:t>
      </w:r>
    </w:p>
    <w:p>
      <w:pPr>
        <w:pStyle w:val="ListBullet"/>
        <w:spacing w:after="60"/>
      </w:pPr>
      <w:r>
        <w:rPr>
          <w:b/>
        </w:rPr>
        <w:t>ProjectChampion (Person):</w:t>
      </w:r>
      <w:r>
        <w:t xml:space="preserve"> Senior executive who must approve or reject.</w:t>
      </w:r>
    </w:p>
    <w:p>
      <w:pPr>
        <w:pStyle w:val="ListBullet"/>
        <w:spacing w:after="60"/>
      </w:pPr>
      <w:r>
        <w:rPr>
          <w:b/>
        </w:rPr>
        <w:t>DecisionAuthority (Person):</w:t>
      </w:r>
      <w:r>
        <w:t xml:space="preserve"> Senior leader notified if implementation lapses.</w:t>
      </w:r>
    </w:p>
    <w:p>
      <w:pPr>
        <w:pStyle w:val="ListBullet"/>
        <w:spacing w:after="60"/>
      </w:pPr>
      <w:r>
        <w:rPr>
          <w:b/>
        </w:rPr>
        <w:t>ChampionDecision (Choice):</w:t>
      </w:r>
      <w:r>
        <w:t xml:space="preserve"> Pending Decision, Accepted, Modified, Rejected.</w:t>
      </w:r>
    </w:p>
    <w:p>
      <w:pPr>
        <w:pStyle w:val="ListBullet"/>
        <w:spacing w:after="60"/>
      </w:pPr>
      <w:r>
        <w:rPr>
          <w:b/>
        </w:rPr>
        <w:t>ImplementationStatus (Choice):</w:t>
      </w:r>
      <w:r>
        <w:t xml:space="preserve"> Not Started, In Progress, Implemented / Closed, Stalled / Escalated.</w:t>
      </w:r>
    </w:p>
    <w:p>
      <w:pPr>
        <w:pStyle w:val="ListBullet"/>
        <w:spacing w:after="60"/>
      </w:pPr>
      <w:r>
        <w:rPr>
          <w:b/>
        </w:rPr>
        <w:t>LastActionUpdateDate (Date):</w:t>
      </w:r>
      <w:r>
        <w:t xml:space="preserve"> Stamped on every progress update.</w:t>
      </w:r>
    </w:p>
    <w:p>
      <w:pPr>
        <w:pStyle w:val="ListBullet"/>
        <w:spacing w:after="60"/>
      </w:pPr>
      <w:r>
        <w:rPr>
          <w:b/>
        </w:rPr>
        <w:t>EscalationNotificationSent (Yes/No):</w:t>
      </w:r>
      <w:r>
        <w:t xml:space="preserve"> Default = No. Set to Yes when escalated.</w:t>
      </w:r>
    </w:p>
    <w:p>
      <w:r>
        <w:br w:type="page"/>
      </w:r>
    </w:p>
    <w:p>
      <w:pPr>
        <w:pStyle w:val="Heading1"/>
      </w:pPr>
      <w:r>
        <w:t>8. Power Automate Cloud Flows Engineering</w:t>
      </w:r>
    </w:p>
    <w:p>
      <w:pPr>
        <w:pStyle w:val="Heading2"/>
      </w:pPr>
      <w:r>
        <w:t>8.1 Flow 1: Flow_AutoGenerate_ProcessID</w:t>
      </w:r>
    </w:p>
    <w:p>
      <w:pPr>
        <w:pStyle w:val="ListBullet"/>
        <w:spacing w:after="80"/>
      </w:pPr>
      <w:r>
        <w:rPr>
          <w:b/>
        </w:rPr>
        <w:t>Trigger:</w:t>
      </w:r>
      <w:r>
        <w:t xml:space="preserve"> SharePoint - When an item is created (Process_Catalog_Master).</w:t>
      </w:r>
    </w:p>
    <w:p>
      <w:pPr>
        <w:pStyle w:val="ListBullet"/>
        <w:spacing w:after="80"/>
      </w:pPr>
      <w:r>
        <w:rPr>
          <w:b/>
        </w:rPr>
        <w:t>Trigger Condition:</w:t>
      </w:r>
      <w:r>
        <w:t xml:space="preserve"> @equals(triggerOutputs()?['body/Title'], 'PENDING')</w:t>
      </w:r>
    </w:p>
    <w:p>
      <w:pPr>
        <w:pStyle w:val="ListBullet"/>
        <w:spacing w:after="80"/>
      </w:pPr>
      <w:r>
        <w:rPr>
          <w:b/>
        </w:rPr>
        <w:t>Concurrency Control:</w:t>
      </w:r>
      <w:r>
        <w:t xml:space="preserve"> ON, Degree of Parallelism = 1.</w:t>
      </w:r>
    </w:p>
    <w:p>
      <w:r>
        <w:rPr>
          <w:b/>
        </w:rPr>
        <w:t>Execution Steps:</w:t>
      </w:r>
    </w:p>
    <w:p>
      <w:pPr>
        <w:pStyle w:val="ListBullet2"/>
        <w:spacing w:after="60"/>
      </w:pPr>
      <w:r>
        <w:t>1. Map OwningComponent to functional capability prefix (ACQ, IT, LOG, OPS, INV).</w:t>
      </w:r>
    </w:p>
    <w:p>
      <w:pPr>
        <w:pStyle w:val="ListBullet2"/>
        <w:spacing w:after="60"/>
      </w:pPr>
      <w:r>
        <w:t>2. Query System_Counters where Title eq 'PROC-[PREFIX]'.</w:t>
      </w:r>
    </w:p>
    <w:p>
      <w:pPr>
        <w:pStyle w:val="ListBullet2"/>
        <w:spacing w:after="60"/>
      </w:pPr>
      <w:r>
        <w:t>3. Increment LastSequence by 1 and update counter record.</w:t>
      </w:r>
    </w:p>
    <w:p>
      <w:pPr>
        <w:pStyle w:val="ListBullet2"/>
        <w:spacing w:after="60"/>
      </w:pPr>
      <w:r>
        <w:t>4. Compose Process ID: concat('PROC-', outputs('Prefix'), '-', formatNumber(variables('Seq'), '0000')).</w:t>
      </w:r>
    </w:p>
    <w:p>
      <w:pPr>
        <w:pStyle w:val="ListBullet2"/>
        <w:spacing w:after="60"/>
      </w:pPr>
      <w:r>
        <w:t>5. Update triggering item in Process_Catalog_Master with minted ProcessID and format Title as [ProcessID] - [ProcessName].</w:t>
      </w:r>
    </w:p>
    <w:p>
      <w:pPr>
        <w:pStyle w:val="Heading2"/>
      </w:pPr>
      <w:r>
        <w:t>8.2 Flow 2: Flow_IntakeRouter_And_FYProjectNumber</w:t>
      </w:r>
    </w:p>
    <w:p>
      <w:pPr>
        <w:pStyle w:val="ListBullet"/>
        <w:spacing w:after="80"/>
      </w:pPr>
      <w:r>
        <w:rPr>
          <w:b/>
        </w:rPr>
        <w:t>Trigger:</w:t>
      </w:r>
      <w:r>
        <w:t xml:space="preserve"> SharePoint - When an item or file is modified (Enterprise_Project_Lifecycle).</w:t>
      </w:r>
    </w:p>
    <w:p>
      <w:pPr>
        <w:pStyle w:val="ListBullet"/>
        <w:spacing w:after="80"/>
      </w:pPr>
      <w:r>
        <w:rPr>
          <w:b/>
        </w:rPr>
        <w:t>Trigger Condition:</w:t>
      </w:r>
      <w:r>
        <w:br/>
        <w:t>@and(</w:t>
        <w:br/>
        <w:t xml:space="preserve">  equals(triggerOutputs()?['body/IntakeStatus/Value'], 'Closed - Promoted to Active Project'),</w:t>
        <w:br/>
        <w:t xml:space="preserve">  equals(triggerOutputs()?['body/PromotedToLibrary'], false)</w:t>
        <w:br/>
        <w:t>)</w:t>
      </w:r>
    </w:p>
    <w:p>
      <w:pPr>
        <w:pStyle w:val="ListBullet"/>
        <w:spacing w:after="80"/>
      </w:pPr>
      <w:r>
        <w:rPr>
          <w:b/>
        </w:rPr>
        <w:t>Concurrency Control:</w:t>
      </w:r>
      <w:r>
        <w:t xml:space="preserve"> ON, Degree of Parallelism = 1.</w:t>
      </w:r>
    </w:p>
    <w:p>
      <w:r>
        <w:rPr>
          <w:b/>
        </w:rPr>
        <w:t>Execution Steps:</w:t>
      </w:r>
    </w:p>
    <w:p>
      <w:pPr>
        <w:pStyle w:val="ListBullet2"/>
        <w:spacing w:after="60"/>
      </w:pPr>
      <w:r>
        <w:t>1. Calculate Federal Fiscal Year:</w:t>
      </w:r>
    </w:p>
    <w:p>
      <w:pPr>
        <w:pStyle w:val="ListBullet2"/>
        <w:spacing w:after="60"/>
      </w:pPr>
      <w:r>
        <w:t>if(greaterOrEquals(int(formatDateTime(utcNow(), 'MM')), 10), string(add(int(formatDateTime(utcNow(), 'yy')), 1)), formatDateTime(utcNow(), 'yy'))</w:t>
      </w:r>
    </w:p>
    <w:p>
      <w:pPr>
        <w:pStyle w:val="ListBullet2"/>
        <w:spacing w:after="60"/>
      </w:pPr>
      <w:r>
        <w:t>2. Query Counter: Query System_Counters where Title eq 'FY@{variables("TwoDigitFY")}'. Increment LastSequence and update counter.</w:t>
      </w:r>
    </w:p>
    <w:p>
      <w:pPr>
        <w:pStyle w:val="ListBullet2"/>
        <w:spacing w:after="60"/>
      </w:pPr>
      <w:r>
        <w:t>3. Mint Project ID: Compose concat('FY', variables('TwoDigitFY'), '-', formatNumber(variables('Seq'), '000')) (e.g., FY27-001).</w:t>
      </w:r>
    </w:p>
    <w:p>
      <w:pPr>
        <w:pStyle w:val="ListBullet2"/>
        <w:spacing w:after="60"/>
      </w:pPr>
      <w:r>
        <w:t>4. Process ID Check:</w:t>
      </w:r>
    </w:p>
    <w:p>
      <w:pPr>
        <w:pStyle w:val="ListBullet2"/>
        <w:spacing w:after="60"/>
      </w:pPr>
      <w:r>
        <w:t>- Branch A (Revalidation - TargetProcessID exists): Append minted FY##-### to AllAssociatedProjects in Process_Catalog_Master. Set state to 'Under Revision'.</w:t>
      </w:r>
    </w:p>
    <w:p>
      <w:pPr>
        <w:pStyle w:val="ListBullet2"/>
        <w:spacing w:after="60"/>
      </w:pPr>
      <w:r>
        <w:t>- Branch B (New Process - TargetProcessID is blank): Create item in Process_Catalog_Master with Title = 'PENDING' to trigger Flow 1.</w:t>
      </w:r>
    </w:p>
    <w:p>
      <w:pPr>
        <w:pStyle w:val="ListBullet2"/>
        <w:spacing w:after="60"/>
      </w:pPr>
      <w:r>
        <w:t>5. Close Loop: Update triggering item in Enterprise_Project_Lifecycle setting PromotedToLibrary = true, PWAProjectID = MintedProjectID, and AssignedProcessID = MintedProcessID.</w:t>
      </w:r>
    </w:p>
    <w:p>
      <w:pPr>
        <w:pStyle w:val="Heading2"/>
      </w:pPr>
      <w:r>
        <w:t>8.3 Flow 3: Flow_ArtifactUpload_And_AutoSupersede</w:t>
      </w:r>
    </w:p>
    <w:p>
      <w:pPr>
        <w:pStyle w:val="ListBullet"/>
        <w:spacing w:after="80"/>
      </w:pPr>
      <w:r>
        <w:rPr>
          <w:b/>
        </w:rPr>
        <w:t>Trigger:</w:t>
      </w:r>
      <w:r>
        <w:t xml:space="preserve"> PowerApps (V2) trigger.</w:t>
      </w:r>
    </w:p>
    <w:p>
      <w:pPr>
        <w:pStyle w:val="ListBullet"/>
        <w:spacing w:after="80"/>
      </w:pPr>
      <w:r>
        <w:rPr>
          <w:b/>
        </w:rPr>
        <w:t>Input Parameters:</w:t>
      </w:r>
      <w:r>
        <w:t xml:space="preserve"> FileName (String), FileContent (File), ProcessID (String), ProjectID (String), ArtifactType (String), ArtifactScope (String), VersionLabel (String).</w:t>
      </w:r>
    </w:p>
    <w:p>
      <w:r>
        <w:rPr>
          <w:b/>
        </w:rPr>
        <w:t>Execution Steps:</w:t>
      </w:r>
    </w:p>
    <w:p>
      <w:pPr>
        <w:pStyle w:val="ListBullet2"/>
        <w:spacing w:after="60"/>
      </w:pPr>
      <w:r>
        <w:t>1. Create file in Project_Process_Artifacts using FileName and FileContent.</w:t>
      </w:r>
    </w:p>
    <w:p>
      <w:pPr>
        <w:pStyle w:val="ListBullet2"/>
        <w:spacing w:after="60"/>
      </w:pPr>
      <w:r>
        <w:t>2. Update file properties with ProcessID, OriginatingProjectID, ArtifactType, ArtifactScope, VersionLabel, and LifecycleState = 'Current / Approved'.</w:t>
      </w:r>
    </w:p>
    <w:p>
      <w:pPr>
        <w:pStyle w:val="ListBullet2"/>
        <w:spacing w:after="60"/>
      </w:pPr>
      <w:r>
        <w:t>3. Auto-Supersede Logic: If ArtifactScope eq 'Living Process Asset', query Project_Process_Artifacts:</w:t>
      </w:r>
    </w:p>
    <w:p>
      <w:pPr>
        <w:pStyle w:val="ListBullet2"/>
        <w:spacing w:after="60"/>
      </w:pPr>
      <w:r>
        <w:t>ProcessID eq '@{triggerBody()["ProcessID"]}' and ArtifactType/Value eq '@{triggerBody()["ArtifactType"]}' and LifecycleState/Value eq 'Current / Approved' and ID ne @{outputs("Create_file")?["body/ItemId"]}</w:t>
      </w:r>
    </w:p>
    <w:p>
      <w:pPr>
        <w:pStyle w:val="ListBullet2"/>
        <w:spacing w:after="60"/>
      </w:pPr>
      <w:r>
        <w:t>4. Apply to Each matched older file -&gt; Update file properties: LifecycleState = 'Superseded / Archived', ArchivedDate = utcNow('yyyy-MM-dd').</w:t>
      </w:r>
    </w:p>
    <w:p>
      <w:pPr>
        <w:pStyle w:val="Heading2"/>
      </w:pPr>
      <w:r>
        <w:t>8.4 Flow 4: Flow_Daily_Recommendation_Cadence_Engine</w:t>
      </w:r>
    </w:p>
    <w:p>
      <w:pPr>
        <w:pStyle w:val="ListBullet"/>
        <w:spacing w:after="80"/>
      </w:pPr>
      <w:r>
        <w:rPr>
          <w:b/>
        </w:rPr>
        <w:t>Trigger:</w:t>
      </w:r>
      <w:r>
        <w:t xml:space="preserve"> Schedule - Recurrence (Runs daily at 07:00 AM UTC).</w:t>
      </w:r>
    </w:p>
    <w:p>
      <w:r>
        <w:rPr>
          <w:b/>
        </w:rPr>
        <w:t>Execution Steps:</w:t>
      </w:r>
    </w:p>
    <w:p>
      <w:pPr>
        <w:pStyle w:val="ListBullet2"/>
        <w:spacing w:after="60"/>
      </w:pPr>
      <w:r>
        <w:t>1. Query Recommendations_Compendium where ImplementationStatus/Value ne 'Implemented / Closed'.</w:t>
      </w:r>
    </w:p>
    <w:p>
      <w:pPr>
        <w:pStyle w:val="ListBullet2"/>
        <w:spacing w:after="60"/>
      </w:pPr>
      <w:r>
        <w:t>2. Apply to Each item -&gt; Calculate days inactive:</w:t>
      </w:r>
    </w:p>
    <w:p>
      <w:pPr>
        <w:pStyle w:val="ListBullet2"/>
        <w:spacing w:after="60"/>
      </w:pPr>
      <w:r>
        <w:t>div(sub(ticks(utcNow('yyyy-MM-ddT00:00:00Z')), ticks(items('Apply_to_each')?['LastActionUpdateDate'])), 864000000000)</w:t>
      </w:r>
    </w:p>
    <w:p>
      <w:pPr>
        <w:pStyle w:val="ListBullet2"/>
        <w:spacing w:after="60"/>
      </w:pPr>
      <w:r>
        <w:t>3. Condition 1 (14-Day Nudge): If ChampionDecision eq 'Pending Decision' and Days &gt;= 14, send reminder Teams Adaptive Card to ProjectChampion.</w:t>
      </w:r>
    </w:p>
    <w:p>
      <w:pPr>
        <w:pStyle w:val="ListBullet2"/>
        <w:spacing w:after="60"/>
      </w:pPr>
      <w:r>
        <w:t>4. Condition 2 (45-Day Status Review): If ImplementationStatus eq 'In Progress' and Days &gt;= 45, send status check email to ProjectChampion and CILeadAuthor.</w:t>
      </w:r>
    </w:p>
    <w:p>
      <w:pPr>
        <w:pStyle w:val="ListBullet2"/>
        <w:spacing w:after="60"/>
      </w:pPr>
      <w:r>
        <w:t>5. Condition 3 (75-Day Formal Escalation): If Days &gt;= 75 and EscalationNotificationSent eq false:</w:t>
      </w:r>
    </w:p>
    <w:p>
      <w:pPr>
        <w:pStyle w:val="ListBullet2"/>
        <w:spacing w:after="60"/>
      </w:pPr>
      <w:r>
        <w:t>- Send High-Priority Escalation email to DecisionAuthority (cc: ProjectChampion, CILeadAuthor).</w:t>
      </w:r>
    </w:p>
    <w:p>
      <w:pPr>
        <w:pStyle w:val="ListBullet2"/>
        <w:spacing w:after="60"/>
      </w:pPr>
      <w:r>
        <w:t>- Update item: ImplementationStatus = 'Stalled / Escalated', EscalationNotificationSent = true.</w:t>
      </w:r>
    </w:p>
    <w:p>
      <w:pPr>
        <w:pStyle w:val="Heading2"/>
      </w:pPr>
      <w:r>
        <w:t>8.5 Flow 5: Flow_Recommendation_Permissions_And_Notify</w:t>
      </w:r>
    </w:p>
    <w:p>
      <w:pPr>
        <w:pStyle w:val="ListBullet"/>
        <w:spacing w:after="80"/>
      </w:pPr>
      <w:r>
        <w:rPr>
          <w:b/>
        </w:rPr>
        <w:t>Trigger:</w:t>
      </w:r>
      <w:r>
        <w:t xml:space="preserve"> SharePoint - When an item is created (Recommendations_Compendium).</w:t>
      </w:r>
    </w:p>
    <w:p>
      <w:r>
        <w:rPr>
          <w:b/>
        </w:rPr>
        <w:t>Execution Steps:</w:t>
      </w:r>
    </w:p>
    <w:p>
      <w:pPr>
        <w:pStyle w:val="ListBullet2"/>
        <w:spacing w:after="60"/>
      </w:pPr>
      <w:r>
        <w:t>1. Mint sequential Recommendation ID from System_Counters: REC-[DIR]-[YYYY]-[###]. Update item title.</w:t>
      </w:r>
    </w:p>
    <w:p>
      <w:pPr>
        <w:pStyle w:val="ListBullet2"/>
        <w:spacing w:after="60"/>
      </w:pPr>
      <w:r>
        <w:t>2. Send SharePoint HTTP Request: _api/web/lists/getbytitle('Recommendations_Compendium')/items(@{triggerOutputs()?['body/ID']})/breakroleinheritance(copyRoleAssignments=false, clearSubscopes=true).</w:t>
      </w:r>
    </w:p>
    <w:p>
      <w:pPr>
        <w:pStyle w:val="ListBullet2"/>
        <w:spacing w:after="60"/>
      </w:pPr>
      <w:r>
        <w:t>3. Grant Read permissions to Agency Visitors group.</w:t>
      </w:r>
    </w:p>
    <w:p>
      <w:pPr>
        <w:pStyle w:val="ListBullet2"/>
        <w:spacing w:after="60"/>
      </w:pPr>
      <w:r>
        <w:t>4. Grant Contribute permissions to ProjectChampion, DecisionAuthority, and CILeadAuthor.</w:t>
      </w:r>
    </w:p>
    <w:p>
      <w:pPr>
        <w:pStyle w:val="ListBullet2"/>
        <w:spacing w:after="60"/>
      </w:pPr>
      <w:r>
        <w:t>5. Send email notification to ProjectChampion containing direct URL link to Screen 3 review drawer.</w:t>
      </w:r>
    </w:p>
    <w:p>
      <w:r>
        <w:br w:type="page"/>
      </w:r>
    </w:p>
    <w:p>
      <w:pPr>
        <w:pStyle w:val="Heading1"/>
      </w:pPr>
      <w:r>
        <w:t>9. Phased Implementation Roadmap &amp; Verification Checklist</w:t>
      </w:r>
    </w:p>
    <w:p>
      <w:pPr>
        <w:pStyle w:val="Heading2"/>
      </w:pPr>
      <w:r>
        <w:t>9.1 5-Sprint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288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Target Deliverable</w:t>
            </w:r>
          </w:p>
        </w:tc>
        <w:tc>
          <w:tcPr>
            <w:tcW w:type="dxa" w:w="5040"/>
            <w:shd w:val="clear" w:color="auto" w:fill="2F4858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  <w:t>Key Engineering Tasks</w:t>
            </w:r>
          </w:p>
        </w:tc>
      </w:tr>
      <w:tr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SPRINT 1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SharePoint Online Setup &amp; Security Lists</w:t>
            </w:r>
          </w:p>
        </w:tc>
        <w:tc>
          <w:tcPr>
            <w:tcW w:type="dxa" w:w="5040"/>
          </w:tcPr>
          <w:p>
            <w:pPr>
              <w:spacing w:after="80" w:line="240" w:lineRule="auto"/>
            </w:pPr>
            <w:r>
              <w:rPr>
                <w:sz w:val="19"/>
              </w:rPr>
              <w:t>Provision 4 Lists and 1 Document Library</w:t>
              <w:br/>
              <w:t>Configure Single-Table Sparse List settings</w:t>
              <w:br/>
              <w:t>Index all relational keys (ProcessID, ProjectID)</w:t>
              <w:br/>
              <w:t>Seed System_Counters with 9 initial capability rows</w:t>
              <w:br/>
              <w:t>Populate Service_Center_Admins with Person profiles</w:t>
            </w:r>
          </w:p>
        </w:tc>
      </w:tr>
      <w:tr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SPRINT 2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Core Key Minting Flows</w:t>
            </w:r>
          </w:p>
        </w:tc>
        <w:tc>
          <w:tcPr>
            <w:tcW w:type="dxa" w:w="5040"/>
          </w:tcPr>
          <w:p>
            <w:pPr>
              <w:spacing w:after="80" w:line="240" w:lineRule="auto"/>
            </w:pPr>
            <w:r>
              <w:rPr>
                <w:sz w:val="19"/>
              </w:rPr>
              <w:t>Deploy Flow 1 (AutoGenerate_ProcessID)</w:t>
              <w:br/>
              <w:t>Deploy Flow 2 (IntakeRouter &amp; FY Project ID)</w:t>
              <w:br/>
              <w:t>Configure Concurrency Control = 1 on both flows</w:t>
              <w:br/>
              <w:t>Validate Oct 1 Federal Fiscal Year rollover logic</w:t>
            </w:r>
          </w:p>
        </w:tc>
      </w:tr>
      <w:tr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SPRINT 3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Power Apps Studio Build</w:t>
            </w:r>
          </w:p>
        </w:tc>
        <w:tc>
          <w:tcPr>
            <w:tcW w:type="dxa" w:w="5040"/>
          </w:tcPr>
          <w:p>
            <w:pPr>
              <w:spacing w:after="80" w:line="240" w:lineRule="auto"/>
            </w:pPr>
            <w:r>
              <w:rPr>
                <w:sz w:val="19"/>
              </w:rPr>
              <w:t>Build Screen 1 (Universal Intake &amp; Triage Drawer)</w:t>
              <w:br/>
              <w:t>Configure progressive disclosure containers</w:t>
              <w:br/>
              <w:t>Build Screen 2 (Project Center &amp; JSON Checklist)</w:t>
              <w:br/>
              <w:t>Build Screen 3 (35/65 Split Library &amp; Compendium)</w:t>
            </w:r>
          </w:p>
        </w:tc>
      </w:tr>
      <w:tr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SPRINT 4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Governance Flows Deployment</w:t>
            </w:r>
          </w:p>
        </w:tc>
        <w:tc>
          <w:tcPr>
            <w:tcW w:type="dxa" w:w="5040"/>
          </w:tcPr>
          <w:p>
            <w:pPr>
              <w:spacing w:after="80" w:line="240" w:lineRule="auto"/>
            </w:pPr>
            <w:r>
              <w:rPr>
                <w:sz w:val="19"/>
              </w:rPr>
              <w:t>Deploy Flow 3 (Binary Artifact Upload &amp; Supersede)</w:t>
              <w:br/>
              <w:t>Deploy Flow 4 (Daily Compendium Cadence Timer)</w:t>
              <w:br/>
              <w:t>Deploy Flow 5 (Row-Level Security Inheritance)</w:t>
              <w:br/>
              <w:t>Wire PowerApps V2 triggers to studio buttons</w:t>
            </w:r>
          </w:p>
        </w:tc>
      </w:tr>
      <w:tr>
        <w:tc>
          <w:tcPr>
            <w:tcW w:type="dxa" w:w="1440"/>
          </w:tcPr>
          <w:p>
            <w:pPr>
              <w:spacing w:after="80" w:line="240" w:lineRule="auto"/>
            </w:pPr>
            <w:r>
              <w:rPr>
                <w:b/>
                <w:sz w:val="19"/>
              </w:rPr>
              <w:t>SPRINT 5</w:t>
            </w:r>
          </w:p>
        </w:tc>
        <w:tc>
          <w:tcPr>
            <w:tcW w:type="dxa" w:w="2880"/>
          </w:tcPr>
          <w:p>
            <w:pPr>
              <w:spacing w:after="80" w:line="240" w:lineRule="auto"/>
            </w:pPr>
            <w:r>
              <w:rPr>
                <w:sz w:val="19"/>
              </w:rPr>
              <w:t>End-to-End Validation Pilot</w:t>
            </w:r>
          </w:p>
        </w:tc>
        <w:tc>
          <w:tcPr>
            <w:tcW w:type="dxa" w:w="5040"/>
          </w:tcPr>
          <w:p>
            <w:pPr>
              <w:spacing w:after="80" w:line="240" w:lineRule="auto"/>
            </w:pPr>
            <w:r>
              <w:rPr>
                <w:sz w:val="19"/>
              </w:rPr>
              <w:t>Execute pilot with Continuous Improvement team</w:t>
              <w:br/>
              <w:t>Submit CI, IPM, GPC, and EGR requests</w:t>
              <w:br/>
              <w:t>Verify non-CI direct closeout vs. CI triage routing</w:t>
              <w:br/>
              <w:t>Test RPN &gt;= 64 automated safety tier override</w:t>
              <w:br/>
              <w:t>Validate on-premise PWA project key synchronization</w:t>
            </w:r>
          </w:p>
        </w:tc>
      </w:tr>
    </w:tbl>
    <w:p>
      <w:pPr>
        <w:spacing w:after="240"/>
      </w:pPr>
    </w:p>
    <w:p>
      <w:pPr>
        <w:pStyle w:val="Heading2"/>
      </w:pPr>
      <w:r>
        <w:t>9.2 Master Pre-Go-Live Verification Checklist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Sparse List Settings: </w:t>
      </w:r>
      <w:r>
        <w:t>Verify that in SharePoint list settings for Enterprise_Project_Lifecycle, only Title, ProgramArea, ServiceOffering, Requestor, and ComponentDirectorate are marked Required = Yes. All other 40+ columns must be optional.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Progressive Disclosure: </w:t>
      </w:r>
      <w:r>
        <w:t>In Screen 1, verify that selecting "Continuous Improvement" dynamically displays the Lean and SIPOC containers while keeping all other module cards hidden. Verify that submitting as a non-CI user does not trigger SharePoint missing-field validation errors.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Direct Closeout: </w:t>
      </w:r>
      <w:r>
        <w:t>Verify that an Internal Control or Governance request can be marked resolved directly by its program lead without creating shell records in Process_Catalog_Master or Recommendations_Compendium.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Gatekeeper Screening: </w:t>
      </w:r>
      <w:r>
        <w:t>Verify that answering "YES" to Gate 1 (ITSM) or Gate 3 (New Software) presents an immediate notification instructing the analyst to redirect the request out of the CI discovery pipeline.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RPN Safety Override: </w:t>
      </w:r>
      <w:r>
        <w:t>Test the triage scoring rubric with low triage scores (&lt;40) but set Severity to 5 or Occurrence and Detection to 4 (RPN = 80). Verify that the system automatically overrides Tier 1 and promotes the initiative to Tier 2 (Champion Network) or Tier 3 (Program Office).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October 1 FY Rollover: </w:t>
      </w:r>
      <w:r>
        <w:t>Test Flow 2 with a simulated October submission date. Verify that the flow advances the year by +1, generating FY27-001 and resetting the annual sequence counter.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On-Premise PWA Alignment: </w:t>
      </w:r>
      <w:r>
        <w:t>Verify that Project Managers can copy the generated FY##-### string into the on-premises PWA Project Center custom field [Agency_Project_Code].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Artifact Concurrency: </w:t>
      </w:r>
      <w:r>
        <w:t>Upload an artifact marked as Living Process Asset with Version v1.0. Upload a subsequent version v2.0 with the same ProcessID and ArtifactType. Verify that Flow 3 updates v1.0 to Superseded / Archived and timestamps ArchivedDate.</w:t>
      </w:r>
    </w:p>
    <w:p>
      <w:pPr>
        <w:spacing w:after="80"/>
        <w:ind w:left="360" w:hanging="360"/>
      </w:pPr>
      <w:r>
        <w:rPr>
          <w:rFonts w:ascii="Consolas" w:hAnsi="Consolas"/>
          <w:b/>
        </w:rPr>
        <w:t xml:space="preserve">[ ]  </w:t>
      </w:r>
      <w:r>
        <w:rPr>
          <w:b/>
        </w:rPr>
        <w:t xml:space="preserve">Compendium Permissions: </w:t>
      </w:r>
      <w:r>
        <w:t>Verify that non-administrative users can view recommendations in Screen 3, but the action console (Accept, Modify, Reject, and Action Taken) unlocks exclusively for the designated Project Champion and Service Center Administrators.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 xml:space="preserve">Page </w:t>
      <w:fldChar w:fldCharType="begin"/>
      <w:instrText xml:space="preserve">PAGE</w:instrText>
      <w:fldChar w:fldCharType="end"/>
    </w:r>
    <w:r>
      <w:rPr>
        <w:rFonts w:ascii="Calibri" w:hAnsi="Calibri"/>
        <w:color w:val="7F7F7F"/>
        <w:sz w:val="18"/>
      </w:rPr>
      <w:t xml:space="preserve"> of </w:t>
    </w:r>
    <w:r>
      <w:rPr>
        <w:rFonts w:ascii="Calibri" w:hAnsi="Calibri"/>
        <w:color w:val="7F7F7F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7F7F"/>
        <w:sz w:val="18"/>
      </w:rPr>
      <w:t>BOI Service Center Implementation Plan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F485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