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上位机公共准备、3D穴位检查</w:t>
        <w:br/>
        <w:t>及下料业务需求</w:t>
      </w:r>
    </w:p>
    <w:p>
      <w:pPr>
        <w:jc w:val="center"/>
      </w:pPr>
      <w:r>
        <w:rPr>
          <w:b w:val="0"/>
        </w:rPr>
        <w:t>确认日期：2026年10月5日</w:t>
      </w:r>
    </w:p>
    <w:p>
      <w:pPr>
        <w:pStyle w:val="Heading1"/>
      </w:pPr>
      <w:r>
        <w:t>1. 适用范围</w:t>
      </w:r>
    </w:p>
    <w:p>
      <w:r>
        <w:rPr>
          <w:b w:val="0"/>
        </w:rPr>
        <w:t>本文规定全局位置配置、人工上料启动、3D穴位检查、异常处理、配方绑定、分拣及下料流程。</w:t>
      </w:r>
    </w:p>
    <w:p>
      <w:r>
        <w:rPr>
          <w:b w:val="0"/>
        </w:rPr>
        <w:t>一个穴位对应一个零件。料盘码称为F码，零件码称为E码。</w:t>
      </w:r>
    </w:p>
    <w:p>
      <w:pPr>
        <w:pStyle w:val="Heading1"/>
      </w:pPr>
      <w:r>
        <w:t>2. 全局位置配置</w:t>
      </w:r>
    </w:p>
    <w:p>
      <w:r>
        <w:rPr>
          <w:b w:val="0"/>
        </w:rPr>
        <w:t>系统应提供全局配置，保存通过示教获得的两个公共位置。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配置项</w:t>
            </w:r>
          </w:p>
        </w:tc>
        <w:tc>
          <w:tcPr>
            <w:tcW w:type="dxa" w:w="4706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人工上／下料位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人工放入和取出料盘的位置；上料、下料共用一份坐标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3D检测位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料盘进行3D扫描的位置</w:t>
            </w:r>
          </w:p>
        </w:tc>
      </w:tr>
    </w:tbl>
    <w:p>
      <w:pPr>
        <w:spacing w:after="0"/>
      </w:pPr>
    </w:p>
    <w:p>
      <w:r>
        <w:rPr>
          <w:b w:val="0"/>
        </w:rPr>
        <w:t>上述位置由整台设备共用，不在每份零件配方中重复配置。移动到下料位，即移动到人工上料位。</w:t>
      </w:r>
    </w:p>
    <w:p>
      <w:pPr>
        <w:pStyle w:val="Heading1"/>
      </w:pPr>
      <w:r>
        <w:t>3. 人工上料与启动</w:t>
      </w:r>
    </w:p>
    <w:p>
      <w:r>
        <w:rPr>
          <w:b w:val="0"/>
        </w:rPr>
        <w:t>人工完成上料后，点击启动按钮，系统按以下顺序执行：</w:t>
      </w:r>
    </w:p>
    <w:p>
      <w:pPr>
        <w:ind w:left="227" w:hanging="227"/>
      </w:pPr>
      <w:r>
        <w:rPr>
          <w:b w:val="0"/>
        </w:rPr>
        <w:t>1. 检查PLC通信、自动模式、故障及人工区域占用状态。</w:t>
      </w:r>
    </w:p>
    <w:p>
      <w:pPr>
        <w:ind w:left="227" w:hanging="227"/>
      </w:pPr>
      <w:r>
        <w:rPr>
          <w:b w:val="0"/>
        </w:rPr>
        <w:t>2. 上位机发送就绪信号。</w:t>
      </w:r>
    </w:p>
    <w:p>
      <w:pPr>
        <w:ind w:left="227" w:hanging="227"/>
      </w:pPr>
      <w:r>
        <w:rPr>
          <w:b w:val="0"/>
        </w:rPr>
        <w:t>3. 等待PLC反馈 PLC_Ready_State = 1。</w:t>
      </w:r>
    </w:p>
    <w:p>
      <w:pPr>
        <w:ind w:left="227" w:hanging="227"/>
      </w:pPr>
      <w:r>
        <w:rPr>
          <w:b w:val="0"/>
        </w:rPr>
        <w:t>4. 下发3D检测位坐标及运动指令。</w:t>
      </w:r>
    </w:p>
    <w:p>
      <w:pPr>
        <w:ind w:left="227" w:hanging="227"/>
      </w:pPr>
      <w:r>
        <w:rPr>
          <w:b w:val="0"/>
        </w:rPr>
        <w:t>5. 接收PLC到位反馈和实际坐标，确认到位。</w:t>
      </w:r>
    </w:p>
    <w:p>
      <w:pPr>
        <w:ind w:left="227" w:hanging="227"/>
      </w:pPr>
      <w:r>
        <w:rPr>
          <w:b w:val="0"/>
        </w:rPr>
        <w:t>6. 开始3D扫描及点云算法处理。</w:t>
      </w:r>
    </w:p>
    <w:p>
      <w:r>
        <w:rPr>
          <w:b/>
        </w:rPr>
        <w:t>已确认：PLC_Ready_State = 1 表示料盘已经夹紧、允许移动。启动条件未满足时，不下发后续运动指令。</w:t>
      </w:r>
    </w:p>
    <w:p>
      <w:pPr>
        <w:pStyle w:val="Heading1"/>
      </w:pPr>
      <w:r>
        <w:t>4. 3D穴位检查</w:t>
      </w:r>
    </w:p>
    <w:p>
      <w:pPr>
        <w:pStyle w:val="Heading2"/>
      </w:pPr>
      <w:r>
        <w:t>4.1 检查范围</w:t>
      </w:r>
    </w:p>
    <w:p>
      <w:r>
        <w:rPr>
          <w:b w:val="0"/>
        </w:rPr>
        <w:t>3D检查用于判断各待检穴位是否有零件、零件姿态是否正常，不提供或修正零件抓取坐标。</w:t>
      </w:r>
    </w:p>
    <w:p>
      <w:r>
        <w:rPr>
          <w:b w:val="0"/>
        </w:rPr>
        <w:t>穴位行列、区域和编号沿用配方配置界面的规则，保留实际格子位置和空位。</w:t>
      </w:r>
    </w:p>
    <w:p>
      <w:pPr>
        <w:pStyle w:val="Heading2"/>
      </w:pPr>
      <w:r>
        <w:t>4.2 结果处理规则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检查结果</w:t>
            </w:r>
          </w:p>
        </w:tc>
        <w:tc>
          <w:tcPr>
            <w:tcW w:type="dxa" w:w="3137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检测处理</w:t>
            </w:r>
          </w:p>
        </w:tc>
        <w:tc>
          <w:tcPr>
            <w:tcW w:type="dxa" w:w="3137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分拣处理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有零件、姿态正常</w:t>
            </w:r>
          </w:p>
        </w:tc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按配方正常检测</w:t>
            </w:r>
          </w:p>
        </w:tc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根据检测结果分拣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无零件</w:t>
            </w:r>
          </w:p>
        </w:tc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跳过该穴位的检测</w:t>
            </w:r>
          </w:p>
        </w:tc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不抓取、不分拣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有零件、姿态异常</w:t>
            </w:r>
          </w:p>
        </w:tc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跳过该零件的检测</w:t>
            </w:r>
          </w:p>
        </w:tc>
        <w:tc>
          <w:tcPr>
            <w:tcW w:type="dxa" w:w="3137"/>
          </w:tcPr>
          <w:p>
            <w:pPr>
              <w:spacing w:after="80" w:before="80"/>
            </w:pPr>
            <w:r>
              <w:rPr>
                <w:sz w:val="21"/>
              </w:rPr>
              <w:t>最后分拣到Pending区</w:t>
            </w:r>
          </w:p>
        </w:tc>
      </w:tr>
    </w:tbl>
    <w:p>
      <w:pPr>
        <w:spacing w:after="0"/>
      </w:pPr>
    </w:p>
    <w:p>
      <w:pPr>
        <w:pStyle w:val="Heading1"/>
      </w:pPr>
      <w:r>
        <w:t>5. 异常提示与人工选择</w:t>
      </w:r>
    </w:p>
    <w:p>
      <w:pPr>
        <w:pStyle w:val="Heading2"/>
      </w:pPr>
      <w:r>
        <w:t>5.1 弹窗内容</w:t>
      </w:r>
    </w:p>
    <w:p>
      <w:r>
        <w:rPr>
          <w:b w:val="0"/>
        </w:rPr>
        <w:t>部分待检穴位出现缺件或姿态异常时，系统应显示异常提示弹窗，列出：</w:t>
      </w:r>
    </w:p>
    <w:p>
      <w:pPr>
        <w:ind w:left="227" w:hanging="227"/>
      </w:pPr>
      <w:r>
        <w:rPr>
          <w:b w:val="0"/>
        </w:rPr>
        <w:t>• 异常穴位的行号、列号。</w:t>
      </w:r>
    </w:p>
    <w:p>
      <w:pPr>
        <w:ind w:left="227" w:hanging="227"/>
      </w:pPr>
      <w:r>
        <w:rPr>
          <w:b w:val="0"/>
        </w:rPr>
        <w:t>• 异常类型及原因。</w:t>
      </w:r>
    </w:p>
    <w:p>
      <w:pPr>
        <w:ind w:left="227" w:hanging="227"/>
      </w:pPr>
      <w:r>
        <w:rPr>
          <w:b w:val="0"/>
        </w:rPr>
        <w:t>• “人工介入”和“继续”两个操作按钮。</w:t>
      </w:r>
    </w:p>
    <w:p>
      <w:pPr>
        <w:ind w:left="227" w:hanging="227"/>
      </w:pPr>
      <w:r>
        <w:rPr>
          <w:b w:val="0"/>
        </w:rPr>
        <w:t>• 10秒倒计时。</w:t>
      </w:r>
    </w:p>
    <w:p>
      <w:pPr>
        <w:pStyle w:val="Heading2"/>
      </w:pPr>
      <w:r>
        <w:t>5.2 选择人工介入</w:t>
      </w:r>
    </w:p>
    <w:p>
      <w:r>
        <w:rPr>
          <w:b w:val="0"/>
        </w:rPr>
        <w:t>选择“人工介入”后，停止倒计时，提前结束当前料盘任务，执行以下流程：</w:t>
      </w:r>
    </w:p>
    <w:p>
      <w:r>
        <w:rPr>
          <w:b/>
        </w:rPr>
        <w:t>跳过后续扫码、检测和分拣 → 复用公共下料流程 → 返回人工上／下料位 → 人工取盘并确认 → 本盘结束。</w:t>
      </w:r>
    </w:p>
    <w:p>
      <w:pPr>
        <w:pStyle w:val="Heading2"/>
      </w:pPr>
      <w:r>
        <w:t>5.3 选择继续或超时</w:t>
      </w:r>
    </w:p>
    <w:p>
      <w:r>
        <w:rPr>
          <w:b w:val="0"/>
        </w:rPr>
        <w:t>选择“继续”后，系统保留异常穴位记录，继续执行料盘扫码及配方绑定。</w:t>
      </w:r>
    </w:p>
    <w:p>
      <w:r>
        <w:rPr>
          <w:b/>
        </w:rPr>
        <w:t>10秒内未作选择，系统默认继续。</w:t>
      </w:r>
    </w:p>
    <w:p>
      <w:pPr>
        <w:pStyle w:val="Heading1"/>
      </w:pPr>
      <w:r>
        <w:t>6. 料盘扫码与配方绑定</w:t>
      </w:r>
    </w:p>
    <w:p>
      <w:r>
        <w:rPr>
          <w:b w:val="0"/>
        </w:rPr>
        <w:t>继续执行时，流程如下：</w:t>
      </w:r>
    </w:p>
    <w:p>
      <w:r>
        <w:rPr>
          <w:b/>
        </w:rPr>
        <w:t>扫描料盘F码 → 读取对应配方 → 将3D检查结果关联到配方穴位及坐标 → 执行本盘检测。</w:t>
      </w:r>
    </w:p>
    <w:p>
      <w:r>
        <w:rPr>
          <w:b w:val="0"/>
        </w:rPr>
        <w:t>绑定后的执行规则：</w:t>
      </w:r>
    </w:p>
    <w:p>
      <w:pPr>
        <w:ind w:left="227" w:hanging="227"/>
      </w:pPr>
      <w:r>
        <w:rPr>
          <w:b w:val="0"/>
        </w:rPr>
        <w:t>1. 正常穴位按配方执行检测和分拣。</w:t>
      </w:r>
    </w:p>
    <w:p>
      <w:pPr>
        <w:ind w:left="227" w:hanging="227"/>
      </w:pPr>
      <w:r>
        <w:rPr>
          <w:b w:val="0"/>
        </w:rPr>
        <w:t>2. 空穴跳过对应零件的全部检测及取放动作。</w:t>
      </w:r>
    </w:p>
    <w:p>
      <w:pPr>
        <w:ind w:left="227" w:hanging="227"/>
      </w:pPr>
      <w:r>
        <w:rPr>
          <w:b w:val="0"/>
        </w:rPr>
        <w:t>3. 姿态异常零件留在料盘上随盘移动，跳过对应检测，最后分拣到Pending区。</w:t>
      </w:r>
    </w:p>
    <w:p>
      <w:r>
        <w:rPr>
          <w:b w:val="0"/>
        </w:rPr>
        <w:t>异常记录仅作用于当前料盘任务，不修改配方内容，不永久禁用对应穴位。</w:t>
      </w:r>
    </w:p>
    <w:p>
      <w:pPr>
        <w:pStyle w:val="Heading1"/>
      </w:pPr>
      <w:r>
        <w:t>7. 姿态异常零件分拣</w:t>
      </w:r>
    </w:p>
    <w:p>
      <w:r>
        <w:rPr>
          <w:b w:val="0"/>
        </w:rPr>
        <w:t>姿态异常零件复用公共分拣流程：</w:t>
      </w:r>
    </w:p>
    <w:p>
      <w:pPr>
        <w:ind w:left="227" w:hanging="227"/>
      </w:pPr>
      <w:r>
        <w:rPr>
          <w:b w:val="0"/>
        </w:rPr>
        <w:t>1. 使用配方中的取件坐标抓取零件。</w:t>
      </w:r>
    </w:p>
    <w:p>
      <w:pPr>
        <w:ind w:left="227" w:hanging="227"/>
      </w:pPr>
      <w:r>
        <w:rPr>
          <w:b w:val="0"/>
        </w:rPr>
        <w:t>2. 使用配方中的Pending放料坐标放置零件。</w:t>
      </w:r>
    </w:p>
    <w:p>
      <w:pPr>
        <w:ind w:left="227" w:hanging="227"/>
      </w:pPr>
      <w:r>
        <w:rPr>
          <w:b w:val="0"/>
        </w:rPr>
        <w:t>3. 接收PLC动作完成反馈，确认分拣完成。</w:t>
      </w:r>
    </w:p>
    <w:p>
      <w:r>
        <w:rPr>
          <w:b w:val="0"/>
        </w:rPr>
        <w:t>3D检查结果不调整上述坐标。</w:t>
      </w:r>
    </w:p>
    <w:p>
      <w:r>
        <w:rPr>
          <w:b w:val="0"/>
        </w:rPr>
        <w:t>该零件的业务记录应为：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706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记录内容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检测状态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未检测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结果归类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Pending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原因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3D姿态异常</w:t>
            </w:r>
          </w:p>
        </w:tc>
      </w:tr>
    </w:tbl>
    <w:p>
      <w:pPr>
        <w:spacing w:after="0"/>
      </w:pPr>
    </w:p>
    <w:p>
      <w:r>
        <w:rPr>
          <w:b w:val="0"/>
        </w:rPr>
        <w:t>该零件不得记录为检测OK。</w:t>
      </w:r>
    </w:p>
    <w:p>
      <w:pPr>
        <w:pStyle w:val="Heading1"/>
      </w:pPr>
      <w:r>
        <w:t>8. 整盘为空处理</w:t>
      </w:r>
    </w:p>
    <w:p>
      <w:r>
        <w:rPr>
          <w:b w:val="0"/>
        </w:rPr>
        <w:t>当所有待检穴位均无零件时，系统应提示“料盘为空”，直接执行：</w:t>
      </w:r>
    </w:p>
    <w:p>
      <w:r>
        <w:rPr>
          <w:b/>
        </w:rPr>
        <w:t>跳过后续扫码、检测和分拣 → 复用公共下料流程 → 返回人工上／下料位 → 人工取盘并确认 → 本盘结束。</w:t>
      </w:r>
    </w:p>
    <w:p>
      <w:pPr>
        <w:pStyle w:val="Heading1"/>
      </w:pPr>
      <w:r>
        <w:t>9. 正常完成与下料</w:t>
      </w:r>
    </w:p>
    <w:p>
      <w:r>
        <w:rPr>
          <w:b w:val="0"/>
        </w:rPr>
        <w:t>正常完成检测和分拣后，执行：</w:t>
      </w:r>
    </w:p>
    <w:p>
      <w:r>
        <w:rPr>
          <w:b/>
        </w:rPr>
        <w:t>返回人工上／下料位 → 人工取盘并确认 → 本盘结束。</w:t>
      </w:r>
    </w:p>
    <w:p>
      <w:r>
        <w:rPr>
          <w:b w:val="0"/>
        </w:rPr>
        <w:t>人工取盘确认后，设备已处于人工上料位，不需要再次移动。人工可在原位置放入下一盘料，并启动下一次检测。</w:t>
      </w:r>
    </w:p>
    <w:p>
      <w:pPr>
        <w:pStyle w:val="Heading1"/>
      </w:pPr>
      <w:r>
        <w:t>10. 公共下料流程复用</w:t>
      </w:r>
    </w:p>
    <w:p>
      <w:r>
        <w:rPr>
          <w:b w:val="0"/>
        </w:rPr>
        <w:t>以下三种业务情形均使用公共下料流程：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进入情形</w:t>
            </w:r>
          </w:p>
        </w:tc>
        <w:tc>
          <w:tcPr>
            <w:tcW w:type="dxa" w:w="4706"/>
            <w:shd w:fill="E8EEF5"/>
          </w:tcPr>
          <w:p>
            <w:pPr>
              <w:spacing w:after="80" w:before="80"/>
            </w:pPr>
            <w:r>
              <w:rPr>
                <w:b/>
                <w:sz w:val="21"/>
              </w:rPr>
              <w:t>下料前处理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人工选择介入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提前结束，跳过后续扫码、检测和分拣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整盘为空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跳过后续扫码、检测和分拣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正常任务完成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sz w:val="21"/>
              </w:rPr>
              <w:t>完成检测和分拣后进入下料</w:t>
            </w:r>
          </w:p>
        </w:tc>
      </w:tr>
    </w:tbl>
    <w:p>
      <w:pPr>
        <w:spacing w:after="0"/>
      </w:pPr>
    </w:p>
    <w:p>
      <w:r>
        <w:rPr>
          <w:b w:val="0"/>
        </w:rPr>
        <w:t>公共下料流程统一为：</w:t>
      </w:r>
    </w:p>
    <w:p>
      <w:r>
        <w:rPr>
          <w:b/>
        </w:rPr>
        <w:t>移动到人工上／下料位 → 确认到位 → 等待人工取盘 → 接收人工取盘确认 → 结束当前料盘任务。</w:t>
      </w:r>
    </w:p>
    <w:p>
      <w:r>
        <w:rPr>
          <w:b w:val="0"/>
        </w:rPr>
        <w:t>任务记录应保留对应的结束原因；提前结束不得记录为全部零件检测完成。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上位机业务需求 · 公共准备与下料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上位机公共准备、3D穴位检查及下料业务需求</dc:title>
  <dc:subject>2026年10月5日确认的业务需求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