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go"/>
        <w:spacing w:before="120" w:after="480"/>
        <w:rPr>
          <w:rStyle w:val="BodyTextChar"/>
          <w:rFonts w:eastAsia="Times"/>
        </w:rPr>
      </w:pPr>
      <w:r>
        <w:rPr/>
        <w:drawing>
          <wp:inline distT="0" distB="0" distL="19050" distR="0">
            <wp:extent cx="2882265" cy="9632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82265" cy="963295"/>
                    </a:xfrm>
                    <a:prstGeom prst="rect">
                      <a:avLst/>
                    </a:prstGeom>
                  </pic:spPr>
                </pic:pic>
              </a:graphicData>
            </a:graphic>
          </wp:inline>
        </w:drawing>
      </w:r>
    </w:p>
    <w:p>
      <w:pPr>
        <w:pStyle w:val="Heading1"/>
        <w:rPr>
          <w:u w:val="single"/>
        </w:rPr>
      </w:pPr>
      <w:r>
        <w:rPr>
          <w:u w:val="single"/>
        </w:rPr>
        <w:t>Guideline - Risk Register</w:t>
      </w:r>
    </w:p>
    <w:p>
      <w:pPr>
        <w:pStyle w:val="Heading3"/>
        <w:numPr>
          <w:ilvl w:val="0"/>
          <w:numId w:val="2"/>
        </w:numPr>
        <w:rPr>
          <w:rFonts w:ascii="Arial" w:hAnsi="Arial"/>
        </w:rPr>
      </w:pPr>
      <w:r>
        <w:rPr>
          <w:rFonts w:ascii="Arial" w:hAnsi="Arial"/>
        </w:rPr>
        <w:t>Introduction</w:t>
      </w:r>
    </w:p>
    <w:p>
      <w:pPr>
        <w:pStyle w:val="Normal"/>
        <w:ind w:left="360" w:hanging="0"/>
        <w:rPr>
          <w:rFonts w:ascii="Arial" w:hAnsi="Arial" w:cs="Arial"/>
          <w:sz w:val="18"/>
          <w:szCs w:val="18"/>
        </w:rPr>
      </w:pPr>
      <w:r>
        <w:rPr>
          <w:rFonts w:cs="Arial" w:ascii="Arial" w:hAnsi="Arial"/>
          <w:sz w:val="18"/>
          <w:szCs w:val="18"/>
        </w:rPr>
        <w:t>The Risk Management Framework is a component of the Risk and Business Management suite.  The suite includes:</w:t>
        <w:br/>
      </w:r>
    </w:p>
    <w:p>
      <w:pPr>
        <w:pStyle w:val="ListParagraph"/>
        <w:numPr>
          <w:ilvl w:val="0"/>
          <w:numId w:val="5"/>
        </w:numPr>
        <w:rPr>
          <w:rFonts w:ascii="Arial" w:hAnsi="Arial" w:cs="Arial"/>
          <w:sz w:val="18"/>
          <w:szCs w:val="18"/>
        </w:rPr>
      </w:pPr>
      <w:r>
        <w:rPr>
          <w:rFonts w:cs="Arial" w:ascii="Arial" w:hAnsi="Arial"/>
          <w:sz w:val="18"/>
          <w:szCs w:val="18"/>
        </w:rPr>
        <w:t>Risk Management – including risk registers</w:t>
      </w:r>
    </w:p>
    <w:p>
      <w:pPr>
        <w:pStyle w:val="ListParagraph"/>
        <w:numPr>
          <w:ilvl w:val="0"/>
          <w:numId w:val="5"/>
        </w:numPr>
        <w:rPr>
          <w:rFonts w:ascii="Arial" w:hAnsi="Arial" w:cs="Arial"/>
          <w:sz w:val="18"/>
          <w:szCs w:val="18"/>
        </w:rPr>
      </w:pPr>
      <w:r>
        <w:rPr>
          <w:rFonts w:cs="Arial" w:ascii="Arial" w:hAnsi="Arial"/>
          <w:sz w:val="18"/>
          <w:szCs w:val="18"/>
        </w:rPr>
        <w:t>Business Continuity Plans –including business impact analysis</w:t>
      </w:r>
    </w:p>
    <w:p>
      <w:pPr>
        <w:pStyle w:val="ListParagraph"/>
        <w:numPr>
          <w:ilvl w:val="0"/>
          <w:numId w:val="5"/>
        </w:numPr>
        <w:rPr>
          <w:rFonts w:ascii="Arial" w:hAnsi="Arial" w:cs="Arial"/>
          <w:sz w:val="18"/>
          <w:szCs w:val="18"/>
        </w:rPr>
      </w:pPr>
      <w:r>
        <w:rPr>
          <w:rFonts w:cs="Arial" w:ascii="Arial" w:hAnsi="Arial"/>
          <w:sz w:val="18"/>
          <w:szCs w:val="18"/>
        </w:rPr>
        <w:t>Emergency Response Plans</w:t>
      </w:r>
    </w:p>
    <w:p>
      <w:pPr>
        <w:pStyle w:val="ListParagraph"/>
        <w:numPr>
          <w:ilvl w:val="0"/>
          <w:numId w:val="5"/>
        </w:numPr>
        <w:rPr>
          <w:rFonts w:ascii="Arial" w:hAnsi="Arial" w:cs="Arial"/>
          <w:sz w:val="18"/>
          <w:szCs w:val="18"/>
        </w:rPr>
      </w:pPr>
      <w:r>
        <w:rPr>
          <w:rFonts w:cs="Arial" w:ascii="Arial" w:hAnsi="Arial"/>
          <w:sz w:val="18"/>
          <w:szCs w:val="18"/>
        </w:rPr>
        <w:t>Health and Safety Plans</w:t>
      </w:r>
    </w:p>
    <w:p>
      <w:pPr>
        <w:pStyle w:val="Normal"/>
        <w:ind w:left="360" w:hanging="0"/>
        <w:rPr>
          <w:rFonts w:ascii="Arial" w:hAnsi="Arial" w:cs="Arial"/>
          <w:sz w:val="18"/>
          <w:szCs w:val="18"/>
        </w:rPr>
      </w:pPr>
      <w:r>
        <w:rPr>
          <w:rFonts w:cs="Arial" w:ascii="Arial" w:hAnsi="Arial"/>
          <w:sz w:val="18"/>
          <w:szCs w:val="18"/>
        </w:rPr>
      </w:r>
    </w:p>
    <w:p>
      <w:pPr>
        <w:pStyle w:val="Normal"/>
        <w:ind w:left="360" w:hanging="0"/>
        <w:rPr>
          <w:rFonts w:ascii="Arial" w:hAnsi="Arial" w:cs="Arial"/>
          <w:sz w:val="18"/>
          <w:szCs w:val="18"/>
        </w:rPr>
      </w:pPr>
      <w:r>
        <w:rPr>
          <w:rFonts w:cs="Arial" w:ascii="Arial" w:hAnsi="Arial"/>
          <w:sz w:val="18"/>
          <w:szCs w:val="18"/>
        </w:rPr>
        <w:t>This document defines commonly used risk management terms and sets out the risk register format that Victoria has adopted. This document should be read in conjunction with our Risk Management Policy and provides a process to help us better manage and minimise the risks associated with our work.</w:t>
      </w:r>
    </w:p>
    <w:p>
      <w:pPr>
        <w:pStyle w:val="Normal"/>
        <w:rPr>
          <w:rFonts w:ascii="Arial" w:hAnsi="Arial" w:cs="Arial"/>
          <w:sz w:val="18"/>
          <w:szCs w:val="18"/>
        </w:rPr>
      </w:pPr>
      <w:r>
        <w:rPr>
          <w:rFonts w:cs="Arial" w:ascii="Arial" w:hAnsi="Arial"/>
          <w:sz w:val="18"/>
          <w:szCs w:val="18"/>
        </w:rPr>
      </w:r>
    </w:p>
    <w:p>
      <w:pPr>
        <w:pStyle w:val="Normal"/>
        <w:ind w:left="360" w:hanging="0"/>
        <w:rPr>
          <w:rFonts w:ascii="Arial" w:hAnsi="Arial" w:cs="Arial"/>
          <w:sz w:val="18"/>
          <w:szCs w:val="18"/>
        </w:rPr>
      </w:pPr>
      <w:r>
        <w:rPr>
          <w:rFonts w:cs="Arial" w:ascii="Arial" w:hAnsi="Arial"/>
          <w:sz w:val="18"/>
          <w:szCs w:val="18"/>
        </w:rPr>
        <w:t xml:space="preserve">All decisions involve risk management.  Risk should be considered throughout the development and implementation of any business process or project.  Risk management is a structured and systematic process which is part of business as usual (BAU).  Managers need to consider the risk in delivering business, how to manage that risk effectively through implementing strategies based on the amount of risk the University considers is tolerable. This document broadly considers risk as anything that could prevent us from achieving our goals or an outcome resulting in loss. </w:t>
      </w:r>
    </w:p>
    <w:p>
      <w:pPr>
        <w:pStyle w:val="Heading3"/>
        <w:numPr>
          <w:ilvl w:val="0"/>
          <w:numId w:val="2"/>
        </w:numPr>
        <w:rPr>
          <w:rFonts w:ascii="Arial" w:hAnsi="Arial"/>
        </w:rPr>
      </w:pPr>
      <w:r>
        <w:rPr>
          <w:rFonts w:ascii="Arial" w:hAnsi="Arial"/>
        </w:rPr>
        <w:t xml:space="preserve">Definitions:  </w:t>
      </w:r>
    </w:p>
    <w:p>
      <w:pPr>
        <w:pStyle w:val="Normal"/>
        <w:rPr/>
      </w:pPr>
      <w:r>
        <w:rPr/>
      </w:r>
    </w:p>
    <w:tbl>
      <w:tblPr>
        <w:tblStyle w:val="TableGrid"/>
        <w:tblW w:w="9242" w:type="dxa"/>
        <w:jc w:val="left"/>
        <w:tblInd w:w="0" w:type="dxa"/>
        <w:tblCellMar>
          <w:top w:w="0" w:type="dxa"/>
          <w:left w:w="108" w:type="dxa"/>
          <w:bottom w:w="0" w:type="dxa"/>
          <w:right w:w="108" w:type="dxa"/>
        </w:tblCellMar>
        <w:tblLook w:val="04a0"/>
      </w:tblPr>
      <w:tblGrid>
        <w:gridCol w:w="1808"/>
        <w:gridCol w:w="7433"/>
      </w:tblGrid>
      <w:tr>
        <w:trPr/>
        <w:tc>
          <w:tcPr>
            <w:tcW w:w="1808" w:type="dxa"/>
            <w:tcBorders/>
            <w:shd w:fill="auto" w:val="clear"/>
            <w:tcMar>
              <w:left w:w="108" w:type="dxa"/>
            </w:tcMar>
          </w:tcPr>
          <w:p>
            <w:pPr>
              <w:pStyle w:val="Normal"/>
              <w:spacing w:lineRule="auto" w:line="240" w:before="0" w:after="0"/>
              <w:rPr>
                <w:rFonts w:ascii="Arial" w:hAnsi="Arial" w:cs="Arial"/>
                <w:sz w:val="18"/>
                <w:szCs w:val="18"/>
              </w:rPr>
            </w:pPr>
            <w:r>
              <w:rPr>
                <w:rFonts w:cs="Arial" w:ascii="Arial" w:hAnsi="Arial"/>
                <w:sz w:val="18"/>
                <w:szCs w:val="18"/>
              </w:rPr>
              <w:t>Risk</w:t>
            </w:r>
          </w:p>
        </w:tc>
        <w:tc>
          <w:tcPr>
            <w:tcW w:w="7433" w:type="dxa"/>
            <w:tcBorders/>
            <w:shd w:fill="auto" w:val="clear"/>
            <w:tcMar>
              <w:left w:w="108" w:type="dxa"/>
            </w:tcMar>
          </w:tcPr>
          <w:p>
            <w:pPr>
              <w:pStyle w:val="TextBody"/>
              <w:spacing w:lineRule="auto" w:line="240" w:before="60" w:after="0"/>
              <w:rPr>
                <w:rFonts w:ascii="Arial" w:hAnsi="Arial" w:cs="Arial"/>
                <w:sz w:val="18"/>
                <w:szCs w:val="18"/>
              </w:rPr>
            </w:pPr>
            <w:r>
              <w:rPr>
                <w:rFonts w:cs="Arial" w:ascii="Arial" w:hAnsi="Arial"/>
                <w:sz w:val="18"/>
                <w:szCs w:val="18"/>
              </w:rPr>
              <w:t>Is defined as “the effect of uncertainty on objectives</w:t>
            </w:r>
            <w:r>
              <w:rPr>
                <w:rStyle w:val="FootnoteAnchor"/>
                <w:rFonts w:cs="Arial" w:ascii="Arial" w:hAnsi="Arial"/>
                <w:sz w:val="18"/>
                <w:szCs w:val="18"/>
              </w:rPr>
              <w:footnoteReference w:id="2"/>
            </w:r>
            <w:r>
              <w:rPr>
                <w:rFonts w:cs="Arial" w:ascii="Arial" w:hAnsi="Arial"/>
                <w:sz w:val="18"/>
                <w:szCs w:val="18"/>
              </w:rPr>
              <w:t xml:space="preserve">”.  </w:t>
            </w:r>
          </w:p>
          <w:p>
            <w:pPr>
              <w:pStyle w:val="TextBody"/>
              <w:spacing w:lineRule="auto" w:line="240" w:before="60" w:after="0"/>
              <w:rPr>
                <w:rFonts w:ascii="Arial" w:hAnsi="Arial" w:cs="Arial"/>
                <w:sz w:val="18"/>
                <w:szCs w:val="18"/>
              </w:rPr>
            </w:pPr>
            <w:r>
              <w:rPr>
                <w:rFonts w:cs="Arial" w:ascii="Arial" w:hAnsi="Arial"/>
                <w:sz w:val="18"/>
                <w:szCs w:val="18"/>
              </w:rPr>
              <w:t xml:space="preserve">Risk is measured in terms of likelihood and consequence. </w:t>
            </w:r>
          </w:p>
        </w:tc>
      </w:tr>
      <w:tr>
        <w:trPr/>
        <w:tc>
          <w:tcPr>
            <w:tcW w:w="1808" w:type="dxa"/>
            <w:tcBorders/>
            <w:shd w:fill="auto" w:val="clear"/>
            <w:tcMar>
              <w:left w:w="108" w:type="dxa"/>
            </w:tcMar>
          </w:tcPr>
          <w:p>
            <w:pPr>
              <w:pStyle w:val="Normal"/>
              <w:spacing w:lineRule="auto" w:line="240" w:before="0" w:after="0"/>
              <w:rPr>
                <w:rFonts w:ascii="Arial" w:hAnsi="Arial" w:cs="Arial"/>
                <w:sz w:val="18"/>
                <w:szCs w:val="18"/>
              </w:rPr>
            </w:pPr>
            <w:r>
              <w:rPr>
                <w:rFonts w:cs="Arial" w:ascii="Arial" w:hAnsi="Arial"/>
                <w:sz w:val="18"/>
                <w:szCs w:val="18"/>
              </w:rPr>
              <w:t>Raw Risk</w:t>
            </w:r>
          </w:p>
        </w:tc>
        <w:tc>
          <w:tcPr>
            <w:tcW w:w="7433" w:type="dxa"/>
            <w:tcBorders/>
            <w:shd w:fill="auto" w:val="clear"/>
            <w:tcMar>
              <w:left w:w="108" w:type="dxa"/>
            </w:tcMar>
          </w:tcPr>
          <w:p>
            <w:pPr>
              <w:pStyle w:val="TextBody"/>
              <w:spacing w:lineRule="auto" w:line="240" w:before="60" w:after="0"/>
              <w:rPr>
                <w:rFonts w:ascii="Arial" w:hAnsi="Arial" w:cs="Arial"/>
                <w:sz w:val="18"/>
                <w:szCs w:val="18"/>
              </w:rPr>
            </w:pPr>
            <w:r>
              <w:rPr>
                <w:rFonts w:cs="Arial" w:ascii="Arial" w:hAnsi="Arial"/>
                <w:sz w:val="18"/>
                <w:szCs w:val="18"/>
              </w:rPr>
              <w:t xml:space="preserve">The risk before anything is done to mitigate or manage it, i.e. before controls are put in place. </w:t>
            </w:r>
          </w:p>
        </w:tc>
      </w:tr>
      <w:tr>
        <w:trPr/>
        <w:tc>
          <w:tcPr>
            <w:tcW w:w="1808" w:type="dxa"/>
            <w:tcBorders/>
            <w:shd w:fill="auto" w:val="clear"/>
            <w:tcMar>
              <w:left w:w="108" w:type="dxa"/>
            </w:tcMar>
          </w:tcPr>
          <w:p>
            <w:pPr>
              <w:pStyle w:val="Normal"/>
              <w:spacing w:lineRule="auto" w:line="240" w:before="0" w:after="0"/>
              <w:rPr>
                <w:rFonts w:ascii="Arial" w:hAnsi="Arial" w:cs="Arial"/>
                <w:sz w:val="18"/>
                <w:szCs w:val="18"/>
              </w:rPr>
            </w:pPr>
            <w:r>
              <w:rPr>
                <w:rStyle w:val="BodyTextUnderlineCharChar"/>
                <w:rFonts w:cs="Arial" w:ascii="Arial" w:hAnsi="Arial"/>
                <w:sz w:val="18"/>
                <w:szCs w:val="18"/>
                <w:u w:val="none"/>
              </w:rPr>
              <w:t>Residual Risk</w:t>
            </w:r>
          </w:p>
        </w:tc>
        <w:tc>
          <w:tcPr>
            <w:tcW w:w="7433" w:type="dxa"/>
            <w:tcBorders/>
            <w:shd w:fill="auto" w:val="clear"/>
            <w:tcMar>
              <w:left w:w="108" w:type="dxa"/>
            </w:tcMar>
          </w:tcPr>
          <w:p>
            <w:pPr>
              <w:pStyle w:val="TextBody"/>
              <w:spacing w:lineRule="auto" w:line="240" w:before="60" w:after="0"/>
              <w:rPr>
                <w:rFonts w:ascii="Arial" w:hAnsi="Arial" w:cs="Arial"/>
                <w:sz w:val="18"/>
                <w:szCs w:val="18"/>
              </w:rPr>
            </w:pPr>
            <w:r>
              <w:rPr>
                <w:rFonts w:cs="Arial" w:ascii="Arial" w:hAnsi="Arial"/>
                <w:sz w:val="18"/>
                <w:szCs w:val="18"/>
              </w:rPr>
              <w:t>The risk faced after putting in place controls or mitigation actions.</w:t>
            </w:r>
          </w:p>
        </w:tc>
      </w:tr>
    </w:tbl>
    <w:p>
      <w:pPr>
        <w:pStyle w:val="TextBody"/>
        <w:rPr>
          <w:rFonts w:ascii="Arial" w:hAnsi="Arial" w:cs="Arial"/>
        </w:rPr>
      </w:pPr>
      <w:r>
        <w:rPr>
          <w:rFonts w:cs="Arial" w:ascii="Arial" w:hAnsi="Arial"/>
        </w:rPr>
      </w:r>
    </w:p>
    <w:p>
      <w:pPr>
        <w:pStyle w:val="TextBody"/>
        <w:numPr>
          <w:ilvl w:val="0"/>
          <w:numId w:val="2"/>
        </w:numPr>
        <w:rPr>
          <w:rFonts w:ascii="Arial" w:hAnsi="Arial" w:cs="Arial"/>
          <w:b/>
          <w:b/>
        </w:rPr>
      </w:pPr>
      <w:r>
        <w:rPr>
          <w:rFonts w:cs="Arial" w:ascii="Arial" w:hAnsi="Arial"/>
          <w:b/>
        </w:rPr>
        <w:t>Organisational Scope</w:t>
      </w:r>
    </w:p>
    <w:p>
      <w:pPr>
        <w:pStyle w:val="Normal"/>
        <w:ind w:left="360" w:hanging="0"/>
        <w:rPr>
          <w:rFonts w:ascii="Arial" w:hAnsi="Arial" w:cs="Arial"/>
          <w:sz w:val="18"/>
          <w:szCs w:val="18"/>
        </w:rPr>
      </w:pPr>
      <w:r>
        <w:rPr>
          <w:rFonts w:cs="Arial" w:ascii="Arial" w:hAnsi="Arial"/>
          <w:sz w:val="18"/>
          <w:szCs w:val="18"/>
        </w:rPr>
        <w:t xml:space="preserve">All Managers are responsible for identifying, assessing and managing the risk within their areas of control and for ensuring that appropriate risk management activities are functioning effectively. </w:t>
      </w:r>
    </w:p>
    <w:p>
      <w:pPr>
        <w:pStyle w:val="Normal"/>
        <w:rPr>
          <w:rFonts w:ascii="Arial" w:hAnsi="Arial" w:cs="Arial"/>
          <w:sz w:val="18"/>
          <w:szCs w:val="18"/>
        </w:rPr>
      </w:pPr>
      <w:r>
        <w:rPr>
          <w:rFonts w:cs="Arial" w:ascii="Arial" w:hAnsi="Arial"/>
          <w:sz w:val="18"/>
          <w:szCs w:val="18"/>
        </w:rPr>
      </w:r>
    </w:p>
    <w:p>
      <w:pPr>
        <w:pStyle w:val="ListParagraph"/>
        <w:numPr>
          <w:ilvl w:val="0"/>
          <w:numId w:val="2"/>
        </w:numPr>
        <w:spacing w:lineRule="auto" w:line="276" w:before="0" w:after="200"/>
        <w:contextualSpacing/>
        <w:rPr>
          <w:rFonts w:ascii="Arial" w:hAnsi="Arial" w:cs="Arial"/>
          <w:b/>
          <w:b/>
          <w:bCs/>
          <w:szCs w:val="26"/>
        </w:rPr>
      </w:pPr>
      <w:r>
        <w:rPr>
          <w:rFonts w:cs="Arial" w:ascii="Arial" w:hAnsi="Arial"/>
          <w:b/>
          <w:bCs/>
          <w:szCs w:val="26"/>
        </w:rPr>
        <w:t xml:space="preserve"> </w:t>
      </w:r>
      <w:r>
        <w:rPr>
          <w:rFonts w:cs="Arial" w:ascii="Arial" w:hAnsi="Arial"/>
          <w:b/>
          <w:bCs/>
          <w:szCs w:val="26"/>
        </w:rPr>
        <w:t>Framework Content and Guidelines</w:t>
      </w:r>
    </w:p>
    <w:p>
      <w:pPr>
        <w:pStyle w:val="NoSpacing"/>
        <w:ind w:firstLine="360"/>
        <w:rPr>
          <w:rFonts w:ascii="Arial" w:hAnsi="Arial" w:cs="Arial"/>
          <w:sz w:val="18"/>
          <w:szCs w:val="18"/>
        </w:rPr>
      </w:pPr>
      <w:r>
        <w:rPr>
          <w:rFonts w:cs="Arial" w:ascii="Arial" w:hAnsi="Arial"/>
          <w:sz w:val="18"/>
          <w:szCs w:val="18"/>
        </w:rPr>
        <w:t>The Risk Management Plan is made of four stages:</w:t>
      </w:r>
    </w:p>
    <w:p>
      <w:pPr>
        <w:pStyle w:val="NoSpacing"/>
        <w:numPr>
          <w:ilvl w:val="0"/>
          <w:numId w:val="6"/>
        </w:numPr>
        <w:rPr>
          <w:rFonts w:ascii="Arial" w:hAnsi="Arial" w:cs="Arial"/>
          <w:sz w:val="18"/>
          <w:szCs w:val="18"/>
        </w:rPr>
      </w:pPr>
      <w:r>
        <w:rPr>
          <w:rFonts w:cs="Arial" w:ascii="Arial" w:hAnsi="Arial"/>
          <w:sz w:val="18"/>
          <w:szCs w:val="18"/>
        </w:rPr>
        <w:t>Identifying and managing risks - Risk Register;</w:t>
      </w:r>
    </w:p>
    <w:p>
      <w:pPr>
        <w:pStyle w:val="NoSpacing"/>
        <w:numPr>
          <w:ilvl w:val="0"/>
          <w:numId w:val="6"/>
        </w:numPr>
        <w:rPr>
          <w:rFonts w:ascii="Arial" w:hAnsi="Arial" w:cs="Arial"/>
          <w:sz w:val="18"/>
          <w:szCs w:val="18"/>
        </w:rPr>
      </w:pPr>
      <w:r>
        <w:rPr>
          <w:rFonts w:cs="Arial" w:ascii="Arial" w:hAnsi="Arial"/>
          <w:sz w:val="18"/>
          <w:szCs w:val="18"/>
        </w:rPr>
        <w:t>Identifying key or priority risks – Risk Report Summary;</w:t>
      </w:r>
    </w:p>
    <w:p>
      <w:pPr>
        <w:pStyle w:val="NoSpacing"/>
        <w:numPr>
          <w:ilvl w:val="0"/>
          <w:numId w:val="6"/>
        </w:numPr>
        <w:rPr>
          <w:rFonts w:ascii="Arial" w:hAnsi="Arial" w:cs="Arial"/>
          <w:sz w:val="18"/>
          <w:szCs w:val="18"/>
        </w:rPr>
      </w:pPr>
      <w:r>
        <w:rPr>
          <w:rFonts w:cs="Arial" w:ascii="Arial" w:hAnsi="Arial"/>
          <w:sz w:val="18"/>
          <w:szCs w:val="18"/>
        </w:rPr>
        <w:t>Reporting and escalating risks at the appropriate time; and</w:t>
      </w:r>
    </w:p>
    <w:p>
      <w:pPr>
        <w:pStyle w:val="NoSpacing"/>
        <w:numPr>
          <w:ilvl w:val="0"/>
          <w:numId w:val="6"/>
        </w:numPr>
        <w:rPr>
          <w:rFonts w:ascii="Arial" w:hAnsi="Arial" w:cs="Arial"/>
          <w:sz w:val="18"/>
          <w:szCs w:val="18"/>
        </w:rPr>
      </w:pPr>
      <w:r>
        <w:rPr>
          <w:rFonts w:cs="Arial" w:ascii="Arial" w:hAnsi="Arial"/>
          <w:sz w:val="18"/>
          <w:szCs w:val="18"/>
        </w:rPr>
        <w:t>Reviewing risk in an on-going cycle.</w:t>
      </w:r>
    </w:p>
    <w:p>
      <w:pPr>
        <w:pStyle w:val="NoSpacing"/>
        <w:ind w:left="360" w:hanging="0"/>
        <w:rPr>
          <w:rFonts w:ascii="Arial" w:hAnsi="Arial" w:cs="Arial"/>
          <w:sz w:val="18"/>
          <w:szCs w:val="18"/>
        </w:rPr>
      </w:pPr>
      <w:r>
        <w:rPr>
          <w:rFonts w:cs="Arial" w:ascii="Arial" w:hAnsi="Arial"/>
          <w:sz w:val="18"/>
          <w:szCs w:val="18"/>
        </w:rPr>
        <w:t>This document provides guidance on completing a risk register and the risk report summary.  Managers are required to report key risks to their managers and escalate as appropriate to SMT.  This is a key component of a manager’s responsibilities.  For guidance on the formal reporting cycle refer to the</w:t>
      </w:r>
      <w:r>
        <w:rPr>
          <w:rFonts w:cs="Arial" w:ascii="Arial" w:hAnsi="Arial"/>
          <w:i/>
          <w:sz w:val="18"/>
          <w:szCs w:val="18"/>
        </w:rPr>
        <w:t xml:space="preserve"> Risk Management Programme: Operational Risk</w:t>
      </w:r>
      <w:r>
        <w:rPr>
          <w:rFonts w:cs="Arial" w:ascii="Arial" w:hAnsi="Arial"/>
          <w:sz w:val="18"/>
          <w:szCs w:val="18"/>
        </w:rPr>
        <w:t>.</w:t>
      </w:r>
    </w:p>
    <w:p>
      <w:pPr>
        <w:pStyle w:val="Heading3"/>
        <w:ind w:firstLine="360"/>
        <w:rPr>
          <w:rFonts w:ascii="Arial" w:hAnsi="Arial"/>
          <w:sz w:val="18"/>
          <w:szCs w:val="18"/>
        </w:rPr>
      </w:pPr>
      <w:r>
        <w:rPr>
          <w:rFonts w:ascii="Arial" w:hAnsi="Arial"/>
          <w:sz w:val="18"/>
          <w:szCs w:val="18"/>
        </w:rPr>
        <w:t>4.1 Identifying and Managing Risks – Risk Registers</w:t>
      </w:r>
    </w:p>
    <w:p>
      <w:pPr>
        <w:pStyle w:val="Normal"/>
        <w:ind w:left="360" w:hanging="0"/>
        <w:rPr/>
      </w:pPr>
      <w:r>
        <w:rPr>
          <w:rFonts w:cs="Arial" w:ascii="Arial" w:hAnsi="Arial"/>
          <w:sz w:val="18"/>
          <w:szCs w:val="18"/>
        </w:rPr>
        <w:t xml:space="preserve">Risks are identified and assessed on a risk register.  Appendix 3 contains a sample risk register using the University’s standard template.  Copies of blank templates are available from Safety and Risk (email </w:t>
      </w:r>
      <w:hyperlink r:id="rId3">
        <w:r>
          <w:rPr>
            <w:rStyle w:val="InternetLink"/>
            <w:rFonts w:cs="Arial" w:ascii="Arial" w:hAnsi="Arial"/>
            <w:sz w:val="18"/>
            <w:szCs w:val="18"/>
          </w:rPr>
          <w:t>safety@vuw.ac.nz</w:t>
        </w:r>
      </w:hyperlink>
      <w:r>
        <w:rPr>
          <w:rFonts w:cs="Arial" w:ascii="Arial" w:hAnsi="Arial"/>
          <w:sz w:val="18"/>
          <w:szCs w:val="18"/>
        </w:rPr>
        <w:t>).</w:t>
      </w:r>
    </w:p>
    <w:p>
      <w:pPr>
        <w:pStyle w:val="Normal"/>
        <w:ind w:left="360" w:hanging="0"/>
        <w:rPr>
          <w:rFonts w:ascii="Arial" w:hAnsi="Arial" w:cs="Arial"/>
          <w:sz w:val="18"/>
          <w:szCs w:val="18"/>
        </w:rPr>
      </w:pPr>
      <w:r>
        <w:rPr>
          <w:rFonts w:cs="Arial" w:ascii="Arial" w:hAnsi="Arial"/>
          <w:sz w:val="18"/>
          <w:szCs w:val="18"/>
        </w:rPr>
      </w:r>
    </w:p>
    <w:p>
      <w:pPr>
        <w:pStyle w:val="Normal"/>
        <w:ind w:left="360" w:hanging="0"/>
        <w:rPr>
          <w:rFonts w:ascii="Arial" w:hAnsi="Arial" w:cs="Arial"/>
          <w:b/>
          <w:b/>
          <w:sz w:val="18"/>
          <w:szCs w:val="18"/>
        </w:rPr>
      </w:pPr>
      <w:r>
        <w:rPr>
          <w:rFonts w:cs="Arial" w:ascii="Arial" w:hAnsi="Arial"/>
          <w:b/>
          <w:sz w:val="18"/>
          <w:szCs w:val="18"/>
        </w:rPr>
        <w:t>4.1.1 Identifying risks</w:t>
      </w:r>
    </w:p>
    <w:p>
      <w:pPr>
        <w:pStyle w:val="Normal"/>
        <w:ind w:left="360" w:hanging="0"/>
        <w:rPr>
          <w:rFonts w:ascii="Arial" w:hAnsi="Arial" w:cs="Arial"/>
          <w:sz w:val="18"/>
          <w:szCs w:val="18"/>
        </w:rPr>
      </w:pPr>
      <w:r>
        <w:rPr>
          <w:rFonts w:cs="Arial" w:ascii="Arial" w:hAnsi="Arial"/>
          <w:sz w:val="18"/>
          <w:szCs w:val="18"/>
        </w:rPr>
        <w:t>Risks are identified through environmental scanning (keeping ourselves updated on our operating environment), planning processes, major projects, investigating incidents (risk assessment and mitigation actions are essential elements), internal monitoring (regular audit and inspection) and throughout the change management process. Managers should identify sources of risk, their causes and their consequences.</w:t>
      </w:r>
    </w:p>
    <w:p>
      <w:pPr>
        <w:pStyle w:val="Normal"/>
        <w:ind w:left="360" w:hanging="0"/>
        <w:rPr>
          <w:rFonts w:ascii="Arial" w:hAnsi="Arial" w:cs="Arial"/>
          <w:sz w:val="18"/>
          <w:szCs w:val="18"/>
        </w:rPr>
      </w:pPr>
      <w:r>
        <w:rPr>
          <w:rFonts w:cs="Arial" w:ascii="Arial" w:hAnsi="Arial"/>
          <w:sz w:val="18"/>
          <w:szCs w:val="18"/>
        </w:rPr>
      </w:r>
    </w:p>
    <w:p>
      <w:pPr>
        <w:pStyle w:val="Normal"/>
        <w:ind w:left="360" w:hanging="0"/>
        <w:rPr>
          <w:rFonts w:ascii="Arial" w:hAnsi="Arial" w:cs="Arial"/>
          <w:sz w:val="18"/>
          <w:szCs w:val="18"/>
        </w:rPr>
      </w:pPr>
      <w:r>
        <w:rPr>
          <w:rFonts w:cs="Arial" w:ascii="Arial" w:hAnsi="Arial"/>
          <w:sz w:val="18"/>
          <w:szCs w:val="18"/>
        </w:rPr>
        <w:t>Managers should consider all sources of and contributors to risk associated with delivery of their business.  From this we can determine the effect on our objectives from uncertainty associated with these factors.  Consideration should be made of factors including:</w:t>
      </w:r>
    </w:p>
    <w:p>
      <w:pPr>
        <w:pStyle w:val="Normal"/>
        <w:rPr>
          <w:rFonts w:ascii="Arial" w:hAnsi="Arial" w:cs="Arial"/>
          <w:sz w:val="18"/>
          <w:szCs w:val="18"/>
        </w:rPr>
      </w:pPr>
      <w:r>
        <w:rPr>
          <w:rFonts w:cs="Arial" w:ascii="Arial" w:hAnsi="Arial"/>
          <w:sz w:val="18"/>
          <w:szCs w:val="18"/>
        </w:rPr>
      </w:r>
    </w:p>
    <w:p>
      <w:pPr>
        <w:pStyle w:val="ListParagraph"/>
        <w:numPr>
          <w:ilvl w:val="0"/>
          <w:numId w:val="4"/>
        </w:numPr>
        <w:rPr>
          <w:rFonts w:ascii="Arial" w:hAnsi="Arial" w:cs="Arial"/>
          <w:sz w:val="18"/>
          <w:szCs w:val="18"/>
        </w:rPr>
      </w:pPr>
      <w:r>
        <w:rPr>
          <w:rFonts w:cs="Arial" w:ascii="Arial" w:hAnsi="Arial"/>
          <w:sz w:val="18"/>
          <w:szCs w:val="18"/>
        </w:rPr>
        <w:t>Health &amp; Safety</w:t>
      </w:r>
    </w:p>
    <w:p>
      <w:pPr>
        <w:pStyle w:val="ListParagraph"/>
        <w:numPr>
          <w:ilvl w:val="0"/>
          <w:numId w:val="4"/>
        </w:numPr>
        <w:rPr>
          <w:rFonts w:ascii="Arial" w:hAnsi="Arial" w:cs="Arial"/>
          <w:sz w:val="18"/>
          <w:szCs w:val="18"/>
        </w:rPr>
      </w:pPr>
      <w:r>
        <w:rPr>
          <w:rFonts w:cs="Arial" w:ascii="Arial" w:hAnsi="Arial"/>
          <w:sz w:val="18"/>
          <w:szCs w:val="18"/>
        </w:rPr>
        <w:t>Service delivery</w:t>
      </w:r>
    </w:p>
    <w:p>
      <w:pPr>
        <w:pStyle w:val="ListParagraph"/>
        <w:numPr>
          <w:ilvl w:val="0"/>
          <w:numId w:val="4"/>
        </w:numPr>
        <w:rPr>
          <w:rFonts w:ascii="Arial" w:hAnsi="Arial" w:cs="Arial"/>
          <w:sz w:val="18"/>
          <w:szCs w:val="18"/>
        </w:rPr>
      </w:pPr>
      <w:r>
        <w:rPr>
          <w:rFonts w:cs="Arial" w:ascii="Arial" w:hAnsi="Arial"/>
          <w:sz w:val="18"/>
          <w:szCs w:val="18"/>
        </w:rPr>
        <w:t>Legal and regulatory</w:t>
      </w:r>
    </w:p>
    <w:p>
      <w:pPr>
        <w:pStyle w:val="ListParagraph"/>
        <w:numPr>
          <w:ilvl w:val="0"/>
          <w:numId w:val="4"/>
        </w:numPr>
        <w:rPr>
          <w:rFonts w:ascii="Arial" w:hAnsi="Arial" w:cs="Arial"/>
          <w:sz w:val="18"/>
          <w:szCs w:val="18"/>
        </w:rPr>
      </w:pPr>
      <w:r>
        <w:rPr>
          <w:rFonts w:cs="Arial" w:ascii="Arial" w:hAnsi="Arial"/>
          <w:sz w:val="18"/>
          <w:szCs w:val="18"/>
        </w:rPr>
        <w:t>Finance</w:t>
      </w:r>
    </w:p>
    <w:p>
      <w:pPr>
        <w:pStyle w:val="ListParagraph"/>
        <w:numPr>
          <w:ilvl w:val="0"/>
          <w:numId w:val="4"/>
        </w:numPr>
        <w:rPr>
          <w:rFonts w:ascii="Arial" w:hAnsi="Arial" w:cs="Arial"/>
          <w:sz w:val="18"/>
          <w:szCs w:val="18"/>
        </w:rPr>
      </w:pPr>
      <w:r>
        <w:rPr>
          <w:rFonts w:cs="Arial" w:ascii="Arial" w:hAnsi="Arial"/>
          <w:sz w:val="18"/>
          <w:szCs w:val="18"/>
        </w:rPr>
        <w:t>Reputation</w:t>
      </w:r>
    </w:p>
    <w:p>
      <w:pPr>
        <w:pStyle w:val="ListParagraph"/>
        <w:numPr>
          <w:ilvl w:val="0"/>
          <w:numId w:val="4"/>
        </w:numPr>
        <w:rPr>
          <w:rFonts w:ascii="Arial" w:hAnsi="Arial" w:cs="Arial"/>
          <w:sz w:val="18"/>
          <w:szCs w:val="18"/>
        </w:rPr>
      </w:pPr>
      <w:r>
        <w:rPr>
          <w:rFonts w:cs="Arial" w:ascii="Arial" w:hAnsi="Arial"/>
          <w:sz w:val="18"/>
          <w:szCs w:val="18"/>
        </w:rPr>
        <w:t>Adverse media coverage</w:t>
      </w:r>
    </w:p>
    <w:p>
      <w:pPr>
        <w:pStyle w:val="ListParagraph"/>
        <w:numPr>
          <w:ilvl w:val="0"/>
          <w:numId w:val="4"/>
        </w:numPr>
        <w:rPr>
          <w:rFonts w:ascii="Arial" w:hAnsi="Arial" w:cs="Arial"/>
          <w:sz w:val="18"/>
          <w:szCs w:val="18"/>
        </w:rPr>
      </w:pPr>
      <w:r>
        <w:rPr>
          <w:rFonts w:cs="Arial" w:ascii="Arial" w:hAnsi="Arial"/>
          <w:sz w:val="18"/>
          <w:szCs w:val="18"/>
        </w:rPr>
        <w:t>Environmental impact</w:t>
      </w:r>
    </w:p>
    <w:p>
      <w:pPr>
        <w:pStyle w:val="ListParagraph"/>
        <w:numPr>
          <w:ilvl w:val="0"/>
          <w:numId w:val="4"/>
        </w:numPr>
        <w:rPr>
          <w:rFonts w:ascii="Arial" w:hAnsi="Arial" w:cs="Arial"/>
          <w:sz w:val="18"/>
          <w:szCs w:val="18"/>
        </w:rPr>
      </w:pPr>
      <w:r>
        <w:rPr>
          <w:rFonts w:cs="Arial" w:ascii="Arial" w:hAnsi="Arial"/>
          <w:sz w:val="18"/>
          <w:szCs w:val="18"/>
        </w:rPr>
        <w:t>Product quality</w:t>
      </w:r>
    </w:p>
    <w:p>
      <w:pPr>
        <w:pStyle w:val="ListParagraph"/>
        <w:numPr>
          <w:ilvl w:val="0"/>
          <w:numId w:val="4"/>
        </w:numPr>
        <w:rPr>
          <w:rFonts w:ascii="Arial" w:hAnsi="Arial" w:cs="Arial"/>
          <w:sz w:val="18"/>
          <w:szCs w:val="18"/>
        </w:rPr>
      </w:pPr>
      <w:r>
        <w:rPr>
          <w:rFonts w:cs="Arial" w:ascii="Arial" w:hAnsi="Arial"/>
          <w:sz w:val="18"/>
          <w:szCs w:val="18"/>
        </w:rPr>
        <w:t>Human Resources</w:t>
      </w:r>
    </w:p>
    <w:p>
      <w:pPr>
        <w:pStyle w:val="ListParagraph"/>
        <w:numPr>
          <w:ilvl w:val="0"/>
          <w:numId w:val="4"/>
        </w:numPr>
        <w:rPr>
          <w:rFonts w:ascii="Arial" w:hAnsi="Arial" w:cs="Arial"/>
          <w:sz w:val="18"/>
          <w:szCs w:val="18"/>
        </w:rPr>
      </w:pPr>
      <w:r>
        <w:rPr>
          <w:rFonts w:cs="Arial" w:ascii="Arial" w:hAnsi="Arial"/>
          <w:sz w:val="18"/>
          <w:szCs w:val="18"/>
        </w:rPr>
        <w:t>Information</w:t>
      </w:r>
    </w:p>
    <w:p>
      <w:pPr>
        <w:pStyle w:val="Normal"/>
        <w:ind w:left="360" w:hanging="0"/>
        <w:rPr>
          <w:rFonts w:ascii="Arial" w:hAnsi="Arial" w:cs="Arial"/>
          <w:sz w:val="18"/>
          <w:szCs w:val="18"/>
        </w:rPr>
      </w:pPr>
      <w:r>
        <w:rPr>
          <w:rFonts w:cs="Arial" w:ascii="Arial" w:hAnsi="Arial"/>
          <w:sz w:val="18"/>
          <w:szCs w:val="18"/>
        </w:rPr>
      </w:r>
    </w:p>
    <w:p>
      <w:pPr>
        <w:pStyle w:val="Normal"/>
        <w:ind w:left="360" w:hanging="0"/>
        <w:rPr>
          <w:rFonts w:ascii="Arial" w:hAnsi="Arial" w:cs="Arial"/>
          <w:b/>
          <w:b/>
          <w:sz w:val="18"/>
          <w:szCs w:val="18"/>
        </w:rPr>
      </w:pPr>
      <w:r>
        <w:rPr>
          <w:rFonts w:cs="Arial" w:ascii="Arial" w:hAnsi="Arial"/>
          <w:b/>
          <w:sz w:val="18"/>
          <w:szCs w:val="18"/>
        </w:rPr>
        <w:t>4.1.2 Assessing the effects</w:t>
      </w:r>
    </w:p>
    <w:p>
      <w:pPr>
        <w:pStyle w:val="Normal"/>
        <w:ind w:left="360" w:hanging="0"/>
        <w:rPr>
          <w:rFonts w:ascii="Arial" w:hAnsi="Arial" w:cs="Arial"/>
          <w:sz w:val="18"/>
          <w:szCs w:val="18"/>
        </w:rPr>
      </w:pPr>
      <w:r>
        <w:rPr>
          <w:rFonts w:cs="Arial" w:ascii="Arial" w:hAnsi="Arial"/>
          <w:sz w:val="18"/>
          <w:szCs w:val="18"/>
        </w:rPr>
        <w:t xml:space="preserve">Risks are assessed by considering the consequences of an event and the likelihood of the outcome occurring. The risk assessment is carried out by the manager responsible for the work area or process being assessed. </w:t>
      </w:r>
    </w:p>
    <w:p>
      <w:pPr>
        <w:pStyle w:val="Normal"/>
        <w:ind w:firstLine="360"/>
        <w:rPr>
          <w:rFonts w:ascii="Arial" w:hAnsi="Arial" w:cs="Arial"/>
          <w:sz w:val="18"/>
          <w:szCs w:val="18"/>
        </w:rPr>
      </w:pPr>
      <w:r>
        <w:rPr>
          <w:rFonts w:cs="Arial" w:ascii="Arial" w:hAnsi="Arial"/>
          <w:sz w:val="18"/>
          <w:szCs w:val="18"/>
        </w:rPr>
      </w:r>
    </w:p>
    <w:p>
      <w:pPr>
        <w:pStyle w:val="Normal"/>
        <w:ind w:firstLine="360"/>
        <w:rPr>
          <w:rFonts w:ascii="Arial" w:hAnsi="Arial" w:cs="Arial"/>
          <w:sz w:val="18"/>
          <w:szCs w:val="18"/>
        </w:rPr>
      </w:pPr>
      <w:r>
        <w:rPr>
          <w:rFonts w:cs="Arial" w:ascii="Arial" w:hAnsi="Arial"/>
          <w:sz w:val="18"/>
          <w:szCs w:val="18"/>
        </w:rPr>
        <w:t xml:space="preserve">The table in Appendix 1 provides guidance for calculating risk levels.  </w:t>
      </w:r>
    </w:p>
    <w:p>
      <w:pPr>
        <w:pStyle w:val="Normal"/>
        <w:ind w:left="360" w:hanging="0"/>
        <w:rPr/>
      </w:pPr>
      <w:r>
        <w:rPr>
          <w:rFonts w:cs="Arial" w:ascii="Arial" w:hAnsi="Arial"/>
          <w:sz w:val="18"/>
          <w:szCs w:val="18"/>
        </w:rPr>
        <w:t xml:space="preserve">The likelihood scale is based on the event occurring in the </w:t>
      </w:r>
      <w:r>
        <w:rPr>
          <w:rFonts w:cs="Arial" w:ascii="Arial" w:hAnsi="Arial"/>
          <w:i/>
          <w:sz w:val="18"/>
          <w:szCs w:val="18"/>
        </w:rPr>
        <w:t>next year</w:t>
      </w:r>
      <w:r>
        <w:rPr>
          <w:rFonts w:cs="Arial" w:ascii="Arial" w:hAnsi="Arial"/>
          <w:sz w:val="18"/>
          <w:szCs w:val="18"/>
        </w:rPr>
        <w:t>.  This process provides information to help us decide whether the risks need to be treated and the most appropriate control</w:t>
      </w:r>
      <w:r>
        <w:rPr/>
        <w:t xml:space="preserve">. </w:t>
      </w:r>
    </w:p>
    <w:p>
      <w:pPr>
        <w:pStyle w:val="Normal"/>
        <w:ind w:left="360" w:hanging="0"/>
        <w:rPr>
          <w:rFonts w:ascii="Arial" w:hAnsi="Arial" w:cs="Arial"/>
          <w:sz w:val="18"/>
          <w:szCs w:val="18"/>
        </w:rPr>
      </w:pPr>
      <w:r>
        <w:rPr>
          <w:rFonts w:cs="Arial" w:ascii="Arial" w:hAnsi="Arial"/>
          <w:sz w:val="18"/>
          <w:szCs w:val="18"/>
        </w:rPr>
      </w:r>
    </w:p>
    <w:p>
      <w:pPr>
        <w:pStyle w:val="Normal"/>
        <w:ind w:left="360" w:hanging="0"/>
        <w:rPr>
          <w:rFonts w:ascii="Arial" w:hAnsi="Arial" w:cs="Arial"/>
          <w:b/>
          <w:b/>
          <w:sz w:val="18"/>
          <w:szCs w:val="18"/>
        </w:rPr>
      </w:pPr>
      <w:r>
        <w:rPr>
          <w:rFonts w:cs="Arial" w:ascii="Arial" w:hAnsi="Arial"/>
          <w:b/>
          <w:sz w:val="18"/>
          <w:szCs w:val="18"/>
        </w:rPr>
        <w:t>4.1.3 Managing risk – controls and assurance</w:t>
      </w:r>
    </w:p>
    <w:p>
      <w:pPr>
        <w:pStyle w:val="Normal"/>
        <w:ind w:left="360" w:hanging="0"/>
        <w:rPr>
          <w:rFonts w:ascii="Arial" w:hAnsi="Arial" w:cs="Arial"/>
          <w:sz w:val="18"/>
          <w:szCs w:val="18"/>
        </w:rPr>
      </w:pPr>
      <w:r>
        <w:rPr>
          <w:rFonts w:cs="Arial" w:ascii="Arial" w:hAnsi="Arial"/>
          <w:sz w:val="18"/>
          <w:szCs w:val="18"/>
        </w:rPr>
        <w:t xml:space="preserve">Victoria University has developed an integrated assurance framework to bring together mitigating practices such as the reporting framework, statutes, policies, procedures, and guidelines or physical controls that the University uses to govern its work.  This approach provides clarity over any areas where there is an assurance gap, helps to avoid duplication, and focuses assurance on strategic drivers and initiatives.  </w:t>
      </w:r>
    </w:p>
    <w:p>
      <w:pPr>
        <w:pStyle w:val="Normal"/>
        <w:rPr>
          <w:rFonts w:ascii="Arial" w:hAnsi="Arial" w:cs="Arial"/>
          <w:sz w:val="18"/>
          <w:szCs w:val="18"/>
        </w:rPr>
      </w:pPr>
      <w:r>
        <w:rPr>
          <w:rFonts w:cs="Arial" w:ascii="Arial" w:hAnsi="Arial"/>
          <w:sz w:val="18"/>
          <w:szCs w:val="18"/>
        </w:rPr>
      </w:r>
    </w:p>
    <w:p>
      <w:pPr>
        <w:pStyle w:val="Normal"/>
        <w:ind w:left="360" w:hanging="0"/>
        <w:rPr>
          <w:rFonts w:ascii="Arial" w:hAnsi="Arial" w:cs="Arial"/>
          <w:sz w:val="18"/>
          <w:szCs w:val="18"/>
        </w:rPr>
      </w:pPr>
      <w:r>
        <w:rPr>
          <w:rFonts w:cs="Arial" w:ascii="Arial" w:hAnsi="Arial"/>
          <w:sz w:val="18"/>
          <w:szCs w:val="18"/>
        </w:rPr>
        <w:t xml:space="preserve">Further internal controls that support the management of risk are business continuity plans, emergency response plans, health and safety plans and internal audit and academic reviews. The University’s policies are kept current and indexed by function in an accessible, well-maintained website and an internal audit reviews the effectiveness of the internal control system within the University.  Independent audit is also carried out in line with our ACC workplace H&amp;S accreditation. </w:t>
      </w:r>
    </w:p>
    <w:p>
      <w:pPr>
        <w:pStyle w:val="Normal"/>
        <w:rPr>
          <w:rFonts w:ascii="Arial" w:hAnsi="Arial" w:cs="Arial"/>
          <w:sz w:val="18"/>
          <w:szCs w:val="18"/>
        </w:rPr>
      </w:pPr>
      <w:r>
        <w:rPr>
          <w:rFonts w:cs="Arial" w:ascii="Arial" w:hAnsi="Arial"/>
          <w:sz w:val="18"/>
          <w:szCs w:val="18"/>
        </w:rPr>
      </w:r>
    </w:p>
    <w:p>
      <w:pPr>
        <w:pStyle w:val="Normal"/>
        <w:ind w:firstLine="360"/>
        <w:rPr>
          <w:rFonts w:ascii="Arial" w:hAnsi="Arial" w:cs="Arial"/>
          <w:sz w:val="18"/>
          <w:szCs w:val="18"/>
        </w:rPr>
      </w:pPr>
      <w:r>
        <w:rPr>
          <w:rFonts w:cs="Arial" w:ascii="Arial" w:hAnsi="Arial"/>
          <w:sz w:val="18"/>
          <w:szCs w:val="18"/>
        </w:rPr>
        <w:t>Managers should implement their own assurance programme to check the risk controls in their areas and</w:t>
      </w:r>
    </w:p>
    <w:p>
      <w:pPr>
        <w:pStyle w:val="Normal"/>
        <w:ind w:left="360" w:hanging="0"/>
        <w:rPr>
          <w:rFonts w:ascii="Arial" w:hAnsi="Arial" w:cs="Arial"/>
          <w:sz w:val="18"/>
          <w:szCs w:val="18"/>
        </w:rPr>
      </w:pPr>
      <w:r>
        <w:rPr>
          <w:rFonts w:cs="Arial" w:ascii="Arial" w:hAnsi="Arial"/>
          <w:sz w:val="18"/>
          <w:szCs w:val="18"/>
        </w:rPr>
        <w:t xml:space="preserve">develop a realistic actionable mitigation plan for each major risk including whether/how a risk is currently managed , such as business as usual (BAU) processes or other internal controls already in place. It is important that, where possible, mitigations dovetail with existing plans. </w:t>
      </w:r>
    </w:p>
    <w:p>
      <w:pPr>
        <w:pStyle w:val="Normal"/>
        <w:rPr>
          <w:rFonts w:ascii="Arial" w:hAnsi="Arial" w:cs="Arial"/>
          <w:sz w:val="18"/>
          <w:szCs w:val="18"/>
        </w:rPr>
      </w:pPr>
      <w:r>
        <w:rPr>
          <w:rFonts w:cs="Arial" w:ascii="Arial" w:hAnsi="Arial"/>
          <w:sz w:val="18"/>
          <w:szCs w:val="18"/>
        </w:rPr>
      </w:r>
    </w:p>
    <w:p>
      <w:pPr>
        <w:pStyle w:val="Normal"/>
        <w:ind w:left="360" w:hanging="0"/>
        <w:rPr>
          <w:rFonts w:ascii="Arial" w:hAnsi="Arial" w:cs="Arial"/>
          <w:sz w:val="18"/>
          <w:szCs w:val="18"/>
        </w:rPr>
      </w:pPr>
      <w:r>
        <w:rPr>
          <w:rFonts w:cs="Arial" w:ascii="Arial" w:hAnsi="Arial"/>
          <w:sz w:val="18"/>
          <w:szCs w:val="18"/>
        </w:rPr>
        <w:t>The impact of all mitigating actions and sources of assurance are considered before calculating the ‘residual’ risk.  Therefore, theoretically, either likelihood or consequences or both likelihood and consequences of risk can be reduced. It really depends on the nature of the risk, the underlying subject matter and what specific treatment plan or controls have been identified.  If a control system has been listed but is not performing as well as originally intended, then the manager’s mitigation plan will include the improvements to implementation, application or structure of the risk control in this case.</w:t>
      </w:r>
    </w:p>
    <w:p>
      <w:pPr>
        <w:pStyle w:val="Normal"/>
        <w:ind w:firstLine="360"/>
        <w:rPr>
          <w:rFonts w:ascii="Arial" w:hAnsi="Arial" w:cs="Arial"/>
          <w:sz w:val="18"/>
          <w:szCs w:val="18"/>
        </w:rPr>
      </w:pPr>
      <w:r>
        <w:rPr>
          <w:rFonts w:cs="Arial" w:ascii="Arial" w:hAnsi="Arial"/>
          <w:sz w:val="18"/>
          <w:szCs w:val="18"/>
        </w:rPr>
      </w:r>
    </w:p>
    <w:p>
      <w:pPr>
        <w:pStyle w:val="Normal"/>
        <w:ind w:firstLine="360"/>
        <w:rPr>
          <w:rFonts w:ascii="Arial" w:hAnsi="Arial" w:cs="Arial"/>
          <w:sz w:val="18"/>
          <w:szCs w:val="18"/>
        </w:rPr>
      </w:pPr>
      <w:r>
        <w:rPr>
          <w:rFonts w:cs="Arial" w:ascii="Arial" w:hAnsi="Arial"/>
          <w:sz w:val="18"/>
          <w:szCs w:val="18"/>
        </w:rPr>
      </w:r>
    </w:p>
    <w:p>
      <w:pPr>
        <w:pStyle w:val="Normal"/>
        <w:ind w:firstLine="360"/>
        <w:rPr>
          <w:rFonts w:ascii="Arial" w:hAnsi="Arial" w:cs="Arial"/>
          <w:sz w:val="18"/>
          <w:szCs w:val="18"/>
        </w:rPr>
      </w:pPr>
      <w:r>
        <w:rPr>
          <w:rFonts w:cs="Arial" w:ascii="Arial" w:hAnsi="Arial"/>
          <w:sz w:val="18"/>
          <w:szCs w:val="18"/>
        </w:rPr>
      </w:r>
    </w:p>
    <w:p>
      <w:pPr>
        <w:pStyle w:val="Normal"/>
        <w:ind w:firstLine="360"/>
        <w:rPr>
          <w:rFonts w:ascii="Arial" w:hAnsi="Arial" w:cs="Arial"/>
          <w:i/>
          <w:i/>
          <w:sz w:val="18"/>
          <w:szCs w:val="18"/>
        </w:rPr>
      </w:pPr>
      <w:r>
        <w:rPr>
          <w:rFonts w:cs="Arial" w:ascii="Arial" w:hAnsi="Arial"/>
          <w:i/>
          <w:sz w:val="18"/>
          <w:szCs w:val="18"/>
        </w:rPr>
        <w:t>Examples:</w:t>
      </w:r>
    </w:p>
    <w:p>
      <w:pPr>
        <w:pStyle w:val="ListParagraph"/>
        <w:numPr>
          <w:ilvl w:val="0"/>
          <w:numId w:val="3"/>
        </w:numPr>
        <w:rPr>
          <w:rFonts w:ascii="Arial" w:hAnsi="Arial" w:cs="Arial"/>
          <w:sz w:val="18"/>
          <w:szCs w:val="18"/>
        </w:rPr>
      </w:pPr>
      <w:r>
        <w:rPr>
          <w:rFonts w:cs="Arial" w:ascii="Arial" w:hAnsi="Arial"/>
          <w:sz w:val="18"/>
          <w:szCs w:val="18"/>
        </w:rPr>
        <w:t>The risk of key university systems and processes being immobilised or disrupted in the event of an earthquake.</w:t>
      </w:r>
    </w:p>
    <w:p>
      <w:pPr>
        <w:pStyle w:val="Normal"/>
        <w:rPr>
          <w:rFonts w:ascii="Arial" w:hAnsi="Arial" w:cs="Arial"/>
          <w:sz w:val="18"/>
          <w:szCs w:val="18"/>
        </w:rPr>
      </w:pPr>
      <w:r>
        <w:rPr>
          <w:rFonts w:cs="Arial" w:ascii="Arial" w:hAnsi="Arial"/>
          <w:sz w:val="18"/>
          <w:szCs w:val="18"/>
        </w:rPr>
        <w:t xml:space="preserve"> </w:t>
      </w:r>
      <w:r>
        <w:rPr>
          <w:rFonts w:cs="Arial" w:ascii="Arial" w:hAnsi="Arial"/>
          <w:sz w:val="18"/>
          <w:szCs w:val="18"/>
        </w:rPr>
        <w:tab/>
        <w:tab/>
      </w:r>
      <w:r>
        <w:rPr>
          <w:rFonts w:cs="Arial" w:ascii="Arial" w:hAnsi="Arial"/>
          <w:i/>
          <w:sz w:val="18"/>
          <w:szCs w:val="18"/>
        </w:rPr>
        <w:t>Control</w:t>
      </w:r>
      <w:r>
        <w:rPr>
          <w:rFonts w:cs="Arial" w:ascii="Arial" w:hAnsi="Arial"/>
          <w:sz w:val="18"/>
          <w:szCs w:val="18"/>
        </w:rPr>
        <w:t>: An effective business continuity and disaster recovery plan.</w:t>
      </w:r>
    </w:p>
    <w:p>
      <w:pPr>
        <w:pStyle w:val="Normal"/>
        <w:ind w:left="1440" w:hanging="0"/>
        <w:rPr>
          <w:rFonts w:ascii="Arial" w:hAnsi="Arial" w:cs="Arial"/>
          <w:sz w:val="18"/>
          <w:szCs w:val="18"/>
        </w:rPr>
      </w:pPr>
      <w:r>
        <w:rPr>
          <w:rFonts w:cs="Arial" w:ascii="Arial" w:hAnsi="Arial"/>
          <w:i/>
          <w:sz w:val="18"/>
          <w:szCs w:val="18"/>
        </w:rPr>
        <w:t>Comment</w:t>
      </w:r>
      <w:r>
        <w:rPr>
          <w:rFonts w:cs="Arial" w:ascii="Arial" w:hAnsi="Arial"/>
          <w:sz w:val="18"/>
          <w:szCs w:val="18"/>
        </w:rPr>
        <w:t>:  This does not reduce the likelihood of an earthquake occurring, but it does reduce the impact on essential operations.</w:t>
      </w:r>
    </w:p>
    <w:p>
      <w:pPr>
        <w:pStyle w:val="Normal"/>
        <w:ind w:left="1440" w:hanging="0"/>
        <w:rPr>
          <w:rFonts w:ascii="Arial" w:hAnsi="Arial" w:cs="Arial"/>
          <w:sz w:val="18"/>
          <w:szCs w:val="18"/>
        </w:rPr>
      </w:pPr>
      <w:r>
        <w:rPr>
          <w:rFonts w:cs="Arial" w:ascii="Arial" w:hAnsi="Arial"/>
          <w:sz w:val="18"/>
          <w:szCs w:val="18"/>
        </w:rPr>
      </w:r>
    </w:p>
    <w:p>
      <w:pPr>
        <w:pStyle w:val="ListParagraph"/>
        <w:numPr>
          <w:ilvl w:val="0"/>
          <w:numId w:val="3"/>
        </w:numPr>
        <w:rPr>
          <w:rFonts w:ascii="Arial" w:hAnsi="Arial" w:cs="Arial"/>
          <w:sz w:val="18"/>
          <w:szCs w:val="18"/>
        </w:rPr>
      </w:pPr>
      <w:r>
        <w:rPr>
          <w:rFonts w:cs="Arial" w:ascii="Arial" w:hAnsi="Arial"/>
          <w:sz w:val="18"/>
          <w:szCs w:val="18"/>
        </w:rPr>
        <w:t xml:space="preserve">The risk of the University not complying with key legislation. </w:t>
      </w:r>
    </w:p>
    <w:p>
      <w:pPr>
        <w:pStyle w:val="Normal"/>
        <w:ind w:left="1440" w:hanging="0"/>
        <w:rPr>
          <w:rFonts w:ascii="Arial" w:hAnsi="Arial" w:cs="Arial"/>
          <w:sz w:val="18"/>
          <w:szCs w:val="18"/>
        </w:rPr>
      </w:pPr>
      <w:r>
        <w:rPr>
          <w:rFonts w:cs="Arial" w:ascii="Arial" w:hAnsi="Arial"/>
          <w:i/>
          <w:sz w:val="18"/>
          <w:szCs w:val="18"/>
        </w:rPr>
        <w:t>Control:</w:t>
      </w:r>
      <w:r>
        <w:rPr>
          <w:rFonts w:cs="Arial" w:ascii="Arial" w:hAnsi="Arial"/>
          <w:sz w:val="18"/>
          <w:szCs w:val="18"/>
        </w:rPr>
        <w:t xml:space="preserve"> A robust legislative compliance framework which clearly identifies key legislation and ensures there are processes. </w:t>
      </w:r>
    </w:p>
    <w:p>
      <w:pPr>
        <w:pStyle w:val="Normal"/>
        <w:ind w:left="1440" w:hanging="0"/>
        <w:rPr>
          <w:rFonts w:ascii="Arial" w:hAnsi="Arial" w:cs="Arial"/>
          <w:sz w:val="18"/>
          <w:szCs w:val="18"/>
        </w:rPr>
      </w:pPr>
      <w:r>
        <w:rPr>
          <w:rFonts w:cs="Arial" w:ascii="Arial" w:hAnsi="Arial"/>
          <w:i/>
          <w:sz w:val="18"/>
          <w:szCs w:val="18"/>
        </w:rPr>
        <w:t>Comment:</w:t>
      </w:r>
      <w:r>
        <w:rPr>
          <w:rFonts w:cs="Arial" w:ascii="Arial" w:hAnsi="Arial"/>
          <w:sz w:val="18"/>
          <w:szCs w:val="18"/>
        </w:rPr>
        <w:t xml:space="preserve"> It may not however, be able to influence the impact if non-compliance was to occur.</w:t>
      </w:r>
    </w:p>
    <w:p>
      <w:pPr>
        <w:pStyle w:val="Normal"/>
        <w:ind w:left="360" w:hanging="0"/>
        <w:rPr>
          <w:rFonts w:ascii="Arial" w:hAnsi="Arial" w:cs="Arial"/>
          <w:sz w:val="18"/>
          <w:szCs w:val="18"/>
        </w:rPr>
      </w:pPr>
      <w:r>
        <w:rPr>
          <w:rFonts w:cs="Arial" w:ascii="Arial" w:hAnsi="Arial"/>
          <w:sz w:val="18"/>
          <w:szCs w:val="18"/>
        </w:rPr>
      </w:r>
    </w:p>
    <w:p>
      <w:pPr>
        <w:pStyle w:val="ListParagraph"/>
        <w:numPr>
          <w:ilvl w:val="0"/>
          <w:numId w:val="3"/>
        </w:numPr>
        <w:rPr>
          <w:rFonts w:ascii="Arial" w:hAnsi="Arial" w:cs="Arial"/>
          <w:sz w:val="18"/>
          <w:szCs w:val="18"/>
        </w:rPr>
      </w:pPr>
      <w:r>
        <w:rPr>
          <w:rFonts w:cs="Arial" w:ascii="Arial" w:hAnsi="Arial"/>
          <w:sz w:val="18"/>
          <w:szCs w:val="18"/>
        </w:rPr>
        <w:t xml:space="preserve">The risk that VUW staff incur expenditure that is not in line with University goals. </w:t>
      </w:r>
    </w:p>
    <w:p>
      <w:pPr>
        <w:pStyle w:val="Normal"/>
        <w:ind w:left="1440" w:hanging="0"/>
        <w:rPr>
          <w:rFonts w:ascii="Arial" w:hAnsi="Arial" w:cs="Arial"/>
          <w:sz w:val="18"/>
          <w:szCs w:val="18"/>
        </w:rPr>
      </w:pPr>
      <w:r>
        <w:rPr>
          <w:rFonts w:cs="Arial" w:ascii="Arial" w:hAnsi="Arial"/>
          <w:i/>
          <w:sz w:val="18"/>
          <w:szCs w:val="18"/>
        </w:rPr>
        <w:t>Control 1:</w:t>
      </w:r>
      <w:r>
        <w:rPr>
          <w:rFonts w:cs="Arial" w:ascii="Arial" w:hAnsi="Arial"/>
          <w:sz w:val="18"/>
          <w:szCs w:val="18"/>
        </w:rPr>
        <w:t xml:space="preserve"> Systems that enforce segregation between purchase order creation and approval. </w:t>
      </w:r>
      <w:r>
        <w:rPr>
          <w:rFonts w:cs="Arial" w:ascii="Arial" w:hAnsi="Arial"/>
          <w:i/>
          <w:sz w:val="18"/>
          <w:szCs w:val="18"/>
        </w:rPr>
        <w:t>Comment:</w:t>
      </w:r>
      <w:r>
        <w:rPr>
          <w:rFonts w:cs="Arial" w:ascii="Arial" w:hAnsi="Arial"/>
          <w:sz w:val="18"/>
          <w:szCs w:val="18"/>
        </w:rPr>
        <w:t xml:space="preserve"> This reduces the likelihood of such expenditure occurring. </w:t>
      </w:r>
    </w:p>
    <w:p>
      <w:pPr>
        <w:pStyle w:val="Normal"/>
        <w:ind w:left="1440" w:hanging="0"/>
        <w:rPr>
          <w:rFonts w:ascii="Arial" w:hAnsi="Arial" w:cs="Arial"/>
          <w:i/>
          <w:i/>
          <w:sz w:val="18"/>
          <w:szCs w:val="18"/>
        </w:rPr>
      </w:pPr>
      <w:r>
        <w:rPr>
          <w:rFonts w:cs="Arial" w:ascii="Arial" w:hAnsi="Arial"/>
          <w:i/>
          <w:sz w:val="18"/>
          <w:szCs w:val="18"/>
        </w:rPr>
      </w:r>
    </w:p>
    <w:p>
      <w:pPr>
        <w:pStyle w:val="Normal"/>
        <w:ind w:left="1440" w:hanging="0"/>
        <w:rPr>
          <w:rFonts w:ascii="Arial" w:hAnsi="Arial" w:cs="Arial"/>
          <w:sz w:val="18"/>
          <w:szCs w:val="18"/>
        </w:rPr>
      </w:pPr>
      <w:r>
        <w:rPr>
          <w:rFonts w:cs="Arial" w:ascii="Arial" w:hAnsi="Arial"/>
          <w:i/>
          <w:sz w:val="18"/>
          <w:szCs w:val="18"/>
        </w:rPr>
        <w:t>Control</w:t>
      </w:r>
      <w:r>
        <w:rPr>
          <w:rFonts w:cs="Arial" w:ascii="Arial" w:hAnsi="Arial"/>
          <w:sz w:val="18"/>
          <w:szCs w:val="18"/>
        </w:rPr>
        <w:t xml:space="preserve"> 2: Systems that require “sign-off” from appropriate staff depending on the value of the transaction, e.g. delegated financial authorities. </w:t>
      </w:r>
    </w:p>
    <w:p>
      <w:pPr>
        <w:pStyle w:val="Normal"/>
        <w:ind w:left="720" w:firstLine="720"/>
        <w:rPr>
          <w:rFonts w:ascii="Arial" w:hAnsi="Arial" w:cs="Arial"/>
          <w:sz w:val="18"/>
          <w:szCs w:val="18"/>
        </w:rPr>
      </w:pPr>
      <w:r>
        <w:rPr>
          <w:rFonts w:cs="Arial" w:ascii="Arial" w:hAnsi="Arial"/>
          <w:i/>
          <w:sz w:val="18"/>
          <w:szCs w:val="18"/>
        </w:rPr>
        <w:t>Commen</w:t>
      </w:r>
      <w:r>
        <w:rPr>
          <w:rFonts w:cs="Arial" w:ascii="Arial" w:hAnsi="Arial"/>
          <w:sz w:val="18"/>
          <w:szCs w:val="18"/>
        </w:rPr>
        <w:t xml:space="preserve">t: This reduces the impact, i.e. dollar value, of the risk. </w:t>
      </w:r>
    </w:p>
    <w:p>
      <w:pPr>
        <w:pStyle w:val="Normal"/>
        <w:ind w:left="1440" w:hanging="0"/>
        <w:rPr>
          <w:rFonts w:ascii="Arial" w:hAnsi="Arial" w:cs="Arial"/>
          <w:i/>
          <w:i/>
          <w:sz w:val="18"/>
          <w:szCs w:val="18"/>
        </w:rPr>
      </w:pPr>
      <w:r>
        <w:rPr>
          <w:rFonts w:cs="Arial" w:ascii="Arial" w:hAnsi="Arial"/>
          <w:i/>
          <w:sz w:val="18"/>
          <w:szCs w:val="18"/>
        </w:rPr>
      </w:r>
    </w:p>
    <w:p>
      <w:pPr>
        <w:pStyle w:val="Normal"/>
        <w:ind w:left="1440" w:hanging="0"/>
        <w:rPr>
          <w:rFonts w:ascii="Arial" w:hAnsi="Arial" w:cs="Arial"/>
          <w:i/>
          <w:i/>
          <w:sz w:val="18"/>
          <w:szCs w:val="18"/>
        </w:rPr>
      </w:pPr>
      <w:r>
        <w:rPr>
          <w:rFonts w:cs="Arial" w:ascii="Arial" w:hAnsi="Arial"/>
          <w:i/>
          <w:sz w:val="18"/>
          <w:szCs w:val="18"/>
        </w:rPr>
        <w:t>Both controls working in combination (fairly typical in most financial systems) will reduce both the likelihood and impact of the risk.</w:t>
      </w:r>
    </w:p>
    <w:p>
      <w:pPr>
        <w:pStyle w:val="Normal"/>
        <w:rPr>
          <w:rFonts w:ascii="Arial" w:hAnsi="Arial" w:cs="Arial"/>
          <w:sz w:val="18"/>
          <w:szCs w:val="18"/>
        </w:rPr>
      </w:pPr>
      <w:r>
        <w:rPr>
          <w:rFonts w:cs="Arial" w:ascii="Arial" w:hAnsi="Arial"/>
          <w:sz w:val="18"/>
          <w:szCs w:val="18"/>
        </w:rPr>
      </w:r>
    </w:p>
    <w:p>
      <w:pPr>
        <w:pStyle w:val="Normal"/>
        <w:ind w:left="720" w:hanging="0"/>
        <w:rPr>
          <w:rFonts w:ascii="Arial" w:hAnsi="Arial" w:cs="Arial"/>
          <w:sz w:val="18"/>
          <w:szCs w:val="18"/>
        </w:rPr>
      </w:pPr>
      <w:r>
        <w:rPr>
          <w:rFonts w:cs="Arial" w:ascii="Arial" w:hAnsi="Arial"/>
          <w:sz w:val="18"/>
          <w:szCs w:val="18"/>
        </w:rPr>
        <w:t>The table in Appendix 2 provides managers with guidance on how to evaluate the effectiveness of risk controls.  The controls are ranked level 1 – 3.  A level 1 control is the most robust.  A level 3 control is the least robust.  Managers should consider also how well the control (already in place) is implemented or complied with.  For example if a procedure is listed as part of the control mechanism but our audit process identifies that it is not complied with, the control is considered to be weak, therefore the manager will not reduce the assessed risk value significantly.  A mitigation plan should be developed to address poor compliance.</w:t>
      </w:r>
    </w:p>
    <w:p>
      <w:pPr>
        <w:pStyle w:val="Normal"/>
        <w:ind w:left="720" w:hanging="0"/>
        <w:rPr>
          <w:rFonts w:ascii="Arial" w:hAnsi="Arial" w:cs="Arial"/>
          <w:sz w:val="18"/>
          <w:szCs w:val="18"/>
        </w:rPr>
      </w:pPr>
      <w:r>
        <w:rPr>
          <w:rFonts w:cs="Arial" w:ascii="Arial" w:hAnsi="Arial"/>
          <w:sz w:val="18"/>
          <w:szCs w:val="18"/>
        </w:rPr>
      </w:r>
    </w:p>
    <w:p>
      <w:pPr>
        <w:pStyle w:val="Normal"/>
        <w:ind w:left="720" w:hanging="0"/>
        <w:rPr/>
      </w:pPr>
      <w:r>
        <w:rPr>
          <w:rFonts w:cs="Arial" w:ascii="Arial" w:hAnsi="Arial"/>
          <w:sz w:val="18"/>
          <w:szCs w:val="18"/>
        </w:rPr>
        <w:t xml:space="preserve">If multiple controls are in place and a good level of compliance is verified by our audit process, then the control effectiveness is considered to be robust and the manager can reduce the residual risk.  </w:t>
      </w:r>
    </w:p>
    <w:p>
      <w:pPr>
        <w:pStyle w:val="Normal"/>
        <w:spacing w:lineRule="auto" w:line="276" w:before="0" w:after="200"/>
        <w:rPr>
          <w:rFonts w:ascii="Arial" w:hAnsi="Arial" w:cs="Arial"/>
        </w:rPr>
      </w:pPr>
      <w:r>
        <w:rPr>
          <w:rFonts w:cs="Arial" w:ascii="Arial" w:hAnsi="Arial"/>
        </w:rPr>
      </w:r>
    </w:p>
    <w:p>
      <w:pPr>
        <w:sectPr>
          <w:headerReference w:type="default" r:id="rId4"/>
          <w:footerReference w:type="default" r:id="rId5"/>
          <w:footnotePr>
            <w:numFmt w:val="decimal"/>
          </w:footnotePr>
          <w:type w:val="nextPage"/>
          <w:pgSz w:w="11906" w:h="16838"/>
          <w:pgMar w:left="1440" w:right="1440" w:header="708" w:top="1440" w:footer="708" w:bottom="1440" w:gutter="0"/>
          <w:pgNumType w:fmt="decimal"/>
          <w:formProt w:val="false"/>
          <w:textDirection w:val="lrTb"/>
          <w:docGrid w:type="default" w:linePitch="360" w:charSpace="0"/>
        </w:sectPr>
        <w:pStyle w:val="Normal"/>
        <w:spacing w:lineRule="auto" w:line="276" w:before="0" w:after="200"/>
        <w:rPr>
          <w:rFonts w:ascii="Arial" w:hAnsi="Arial" w:cs="Arial"/>
        </w:rPr>
      </w:pPr>
      <w:r>
        <w:rPr>
          <w:rFonts w:cs="Arial" w:ascii="Arial" w:hAnsi="Arial"/>
        </w:rPr>
      </w:r>
    </w:p>
    <w:p>
      <w:pPr>
        <w:pStyle w:val="TextBody"/>
        <w:rPr/>
      </w:pPr>
      <w:r>
        <w:rPr>
          <w:rFonts w:cs="Arial" w:ascii="Arial" w:hAnsi="Arial"/>
          <w:b/>
        </w:rPr>
        <w:t>Appendix 3 - Risk Register</w:t>
      </w:r>
    </w:p>
    <w:tbl>
      <w:tblPr>
        <w:tblStyle w:val="TableGrid"/>
        <w:tblW w:w="14731" w:type="dxa"/>
        <w:jc w:val="left"/>
        <w:tblInd w:w="0" w:type="dxa"/>
        <w:tblCellMar>
          <w:top w:w="0" w:type="dxa"/>
          <w:left w:w="108" w:type="dxa"/>
          <w:bottom w:w="0" w:type="dxa"/>
          <w:right w:w="108" w:type="dxa"/>
        </w:tblCellMar>
        <w:tblLook w:val="04a0"/>
      </w:tblPr>
      <w:tblGrid>
        <w:gridCol w:w="1423"/>
        <w:gridCol w:w="2256"/>
        <w:gridCol w:w="2295"/>
        <w:gridCol w:w="1027"/>
        <w:gridCol w:w="1327"/>
        <w:gridCol w:w="852"/>
        <w:gridCol w:w="1"/>
        <w:gridCol w:w="1663"/>
        <w:gridCol w:w="2"/>
        <w:gridCol w:w="1311"/>
        <w:gridCol w:w="1"/>
        <w:gridCol w:w="566"/>
        <w:gridCol w:w="1276"/>
        <w:gridCol w:w="729"/>
      </w:tblGrid>
      <w:tr>
        <w:trPr/>
        <w:tc>
          <w:tcPr>
            <w:tcW w:w="1423" w:type="dxa"/>
            <w:vMerge w:val="restart"/>
            <w:tcBorders/>
            <w:shd w:color="auto" w:fill="EAF1DD" w:themeFill="accent3" w:themeFillTint="33" w:val="clear"/>
            <w:tcMar>
              <w:left w:w="108" w:type="dxa"/>
            </w:tcMar>
            <w:vAlign w:val="center"/>
          </w:tcPr>
          <w:p>
            <w:pPr>
              <w:pStyle w:val="Normal"/>
              <w:spacing w:lineRule="auto" w:line="276" w:before="60" w:after="0"/>
              <w:jc w:val="center"/>
              <w:rPr>
                <w:rFonts w:ascii="Arial" w:hAnsi="Arial" w:cs="Arial"/>
                <w:sz w:val="18"/>
                <w:szCs w:val="18"/>
              </w:rPr>
            </w:pPr>
            <w:r>
              <w:rPr>
                <w:rFonts w:cs="Arial" w:ascii="Arial" w:hAnsi="Arial"/>
                <w:sz w:val="18"/>
                <w:szCs w:val="18"/>
              </w:rPr>
              <w:t>Risks numbered for reference and mapping</w:t>
            </w:r>
          </w:p>
        </w:tc>
        <w:tc>
          <w:tcPr>
            <w:tcW w:w="2256" w:type="dxa"/>
            <w:vMerge w:val="restart"/>
            <w:tcBorders/>
            <w:shd w:color="auto" w:fill="EAF1DD" w:themeFill="accent3" w:themeFillTint="33" w:val="clear"/>
            <w:tcMar>
              <w:left w:w="108" w:type="dxa"/>
            </w:tcMar>
            <w:vAlign w:val="center"/>
          </w:tcPr>
          <w:p>
            <w:pPr>
              <w:pStyle w:val="TableColumnHeading"/>
              <w:spacing w:before="40" w:after="0"/>
              <w:jc w:val="center"/>
              <w:rPr>
                <w:rFonts w:ascii="Arial" w:hAnsi="Arial" w:cs="Arial"/>
                <w:b w:val="false"/>
                <w:b w:val="false"/>
              </w:rPr>
            </w:pPr>
            <w:r>
              <w:rPr>
                <w:rFonts w:cs="Arial" w:ascii="Arial" w:hAnsi="Arial"/>
                <w:b w:val="false"/>
              </w:rPr>
              <w:t>Risk description</w:t>
            </w:r>
          </w:p>
          <w:p>
            <w:pPr>
              <w:pStyle w:val="Normal"/>
              <w:spacing w:lineRule="auto" w:line="276" w:before="60" w:after="200"/>
              <w:jc w:val="center"/>
              <w:rPr>
                <w:rFonts w:ascii="Arial" w:hAnsi="Arial" w:cs="Arial"/>
                <w:sz w:val="18"/>
                <w:szCs w:val="18"/>
              </w:rPr>
            </w:pPr>
            <w:r>
              <w:rPr>
                <w:rFonts w:cs="Arial" w:ascii="Arial" w:hAnsi="Arial"/>
                <w:sz w:val="18"/>
                <w:szCs w:val="18"/>
              </w:rPr>
            </w:r>
          </w:p>
        </w:tc>
        <w:tc>
          <w:tcPr>
            <w:tcW w:w="2295" w:type="dxa"/>
            <w:vMerge w:val="restart"/>
            <w:tcBorders/>
            <w:shd w:color="auto" w:fill="EAF1DD" w:themeFill="accent3" w:themeFillTint="33" w:val="clear"/>
            <w:tcMar>
              <w:left w:w="108" w:type="dxa"/>
            </w:tcMar>
            <w:vAlign w:val="center"/>
          </w:tcPr>
          <w:p>
            <w:pPr>
              <w:pStyle w:val="Normal"/>
              <w:spacing w:lineRule="auto" w:line="276" w:before="60" w:after="0"/>
              <w:jc w:val="center"/>
              <w:rPr>
                <w:rFonts w:ascii="Arial" w:hAnsi="Arial" w:cs="Arial"/>
                <w:sz w:val="18"/>
                <w:szCs w:val="18"/>
              </w:rPr>
            </w:pPr>
            <w:r>
              <w:rPr>
                <w:rFonts w:cs="Arial" w:ascii="Arial" w:hAnsi="Arial"/>
                <w:sz w:val="18"/>
                <w:szCs w:val="18"/>
              </w:rPr>
              <w:t>Risk Consequences</w:t>
            </w:r>
          </w:p>
        </w:tc>
        <w:tc>
          <w:tcPr>
            <w:tcW w:w="3207" w:type="dxa"/>
            <w:gridSpan w:val="4"/>
            <w:tcBorders/>
            <w:shd w:color="auto" w:fill="EAF1DD" w:themeFill="accent3" w:themeFillTint="33" w:val="clear"/>
            <w:tcMar>
              <w:left w:w="108" w:type="dxa"/>
            </w:tcMar>
            <w:vAlign w:val="center"/>
          </w:tcPr>
          <w:p>
            <w:pPr>
              <w:pStyle w:val="TableColumnHeading2"/>
              <w:spacing w:before="60" w:after="0"/>
              <w:rPr>
                <w:rFonts w:ascii="Arial" w:hAnsi="Arial" w:cs="Arial"/>
                <w:b w:val="false"/>
                <w:b w:val="false"/>
                <w:sz w:val="18"/>
                <w:szCs w:val="18"/>
              </w:rPr>
            </w:pPr>
            <w:r>
              <w:rPr>
                <w:rFonts w:cs="Arial" w:ascii="Arial" w:hAnsi="Arial"/>
                <w:b w:val="false"/>
                <w:sz w:val="18"/>
                <w:szCs w:val="18"/>
              </w:rPr>
              <w:t>Raw Risk</w:t>
            </w:r>
          </w:p>
          <w:p>
            <w:pPr>
              <w:pStyle w:val="Normal"/>
              <w:spacing w:lineRule="auto" w:line="276" w:before="60" w:after="200"/>
              <w:jc w:val="center"/>
              <w:rPr>
                <w:rFonts w:ascii="Arial" w:hAnsi="Arial" w:cs="Arial"/>
                <w:sz w:val="18"/>
                <w:szCs w:val="18"/>
              </w:rPr>
            </w:pPr>
            <w:r>
              <w:rPr>
                <w:rFonts w:cs="Arial" w:ascii="Arial" w:hAnsi="Arial"/>
                <w:sz w:val="18"/>
                <w:szCs w:val="18"/>
              </w:rPr>
              <w:t>1= lowest 5=highest</w:t>
            </w:r>
          </w:p>
        </w:tc>
        <w:tc>
          <w:tcPr>
            <w:tcW w:w="1665" w:type="dxa"/>
            <w:gridSpan w:val="2"/>
            <w:vMerge w:val="restart"/>
            <w:tcBorders/>
            <w:shd w:color="auto" w:fill="EAF1DD" w:themeFill="accent3" w:themeFillTint="33" w:val="clear"/>
            <w:tcMar>
              <w:left w:w="108" w:type="dxa"/>
            </w:tcMar>
            <w:vAlign w:val="center"/>
          </w:tcPr>
          <w:p>
            <w:pPr>
              <w:pStyle w:val="TableColumnHeading"/>
              <w:spacing w:lineRule="auto" w:line="240" w:before="40" w:after="0"/>
              <w:jc w:val="center"/>
              <w:rPr>
                <w:rFonts w:ascii="Arial" w:hAnsi="Arial" w:cs="Arial"/>
                <w:b w:val="false"/>
                <w:b w:val="false"/>
              </w:rPr>
            </w:pPr>
            <w:r>
              <w:rPr>
                <w:rFonts w:cs="Arial" w:ascii="Arial" w:hAnsi="Arial"/>
                <w:b w:val="false"/>
              </w:rPr>
              <w:t>Mitigations/controls</w:t>
            </w:r>
          </w:p>
        </w:tc>
        <w:tc>
          <w:tcPr>
            <w:tcW w:w="1312" w:type="dxa"/>
            <w:gridSpan w:val="2"/>
            <w:vMerge w:val="restart"/>
            <w:tcBorders/>
            <w:shd w:color="auto" w:fill="EAF1DD" w:themeFill="accent3" w:themeFillTint="33" w:val="clear"/>
            <w:tcMar>
              <w:left w:w="108" w:type="dxa"/>
            </w:tcMar>
            <w:vAlign w:val="center"/>
          </w:tcPr>
          <w:p>
            <w:pPr>
              <w:pStyle w:val="TableColumnHeading"/>
              <w:spacing w:lineRule="auto" w:line="240" w:before="40" w:after="0"/>
              <w:jc w:val="center"/>
              <w:rPr>
                <w:rFonts w:ascii="Arial" w:hAnsi="Arial" w:cs="Arial"/>
                <w:b w:val="false"/>
                <w:b w:val="false"/>
              </w:rPr>
            </w:pPr>
            <w:r>
              <w:rPr>
                <w:rFonts w:cs="Arial" w:ascii="Arial" w:hAnsi="Arial"/>
                <w:b w:val="false"/>
              </w:rPr>
              <w:t>Sources of Assurance</w:t>
            </w:r>
          </w:p>
        </w:tc>
        <w:tc>
          <w:tcPr>
            <w:tcW w:w="2571" w:type="dxa"/>
            <w:gridSpan w:val="3"/>
            <w:tcBorders/>
            <w:shd w:color="auto" w:fill="EAF1DD" w:themeFill="accent3" w:themeFillTint="33" w:val="clear"/>
            <w:tcMar>
              <w:left w:w="108" w:type="dxa"/>
            </w:tcMar>
          </w:tcPr>
          <w:p>
            <w:pPr>
              <w:pStyle w:val="TableColumnHeading2"/>
              <w:spacing w:before="60" w:after="0"/>
              <w:rPr>
                <w:rFonts w:ascii="Arial" w:hAnsi="Arial" w:cs="Arial"/>
                <w:b w:val="false"/>
                <w:b w:val="false"/>
                <w:sz w:val="18"/>
                <w:szCs w:val="18"/>
              </w:rPr>
            </w:pPr>
            <w:r>
              <w:rPr>
                <w:rFonts w:cs="Arial" w:ascii="Arial" w:hAnsi="Arial"/>
                <w:b w:val="false"/>
                <w:sz w:val="18"/>
                <w:szCs w:val="18"/>
              </w:rPr>
              <w:t>Residual Risk  (RR)</w:t>
            </w:r>
          </w:p>
          <w:p>
            <w:pPr>
              <w:pStyle w:val="Normal"/>
              <w:spacing w:lineRule="auto" w:line="276" w:before="60" w:after="200"/>
              <w:rPr>
                <w:rFonts w:ascii="Arial" w:hAnsi="Arial" w:cs="Arial"/>
                <w:sz w:val="18"/>
                <w:szCs w:val="18"/>
              </w:rPr>
            </w:pPr>
            <w:r>
              <w:rPr>
                <w:rFonts w:cs="Arial" w:ascii="Arial" w:hAnsi="Arial"/>
                <w:sz w:val="18"/>
                <w:szCs w:val="18"/>
              </w:rPr>
              <w:t>(after mitigation actions and controls)</w:t>
            </w:r>
          </w:p>
        </w:tc>
      </w:tr>
      <w:tr>
        <w:trPr/>
        <w:tc>
          <w:tcPr>
            <w:tcW w:w="1423" w:type="dxa"/>
            <w:vMerge w:val="continue"/>
            <w:tcBorders/>
            <w:shd w:fill="auto" w:val="clear"/>
            <w:tcMar>
              <w:left w:w="108" w:type="dxa"/>
            </w:tcMar>
          </w:tcPr>
          <w:p>
            <w:pPr>
              <w:pStyle w:val="Normal"/>
              <w:spacing w:lineRule="auto" w:line="276" w:before="60" w:after="0"/>
              <w:rPr>
                <w:rFonts w:ascii="Arial" w:hAnsi="Arial" w:cs="Arial"/>
                <w:sz w:val="18"/>
                <w:szCs w:val="18"/>
              </w:rPr>
            </w:pPr>
            <w:r>
              <w:rPr>
                <w:rFonts w:cs="Arial" w:ascii="Arial" w:hAnsi="Arial"/>
                <w:sz w:val="18"/>
                <w:szCs w:val="18"/>
              </w:rPr>
            </w:r>
          </w:p>
        </w:tc>
        <w:tc>
          <w:tcPr>
            <w:tcW w:w="2256" w:type="dxa"/>
            <w:vMerge w:val="continue"/>
            <w:tcBorders/>
            <w:shd w:fill="auto" w:val="clear"/>
            <w:tcMar>
              <w:left w:w="108" w:type="dxa"/>
            </w:tcMar>
          </w:tcPr>
          <w:p>
            <w:pPr>
              <w:pStyle w:val="Normal"/>
              <w:spacing w:lineRule="auto" w:line="276" w:before="60" w:after="0"/>
              <w:rPr>
                <w:rFonts w:ascii="Arial" w:hAnsi="Arial" w:cs="Arial"/>
                <w:sz w:val="18"/>
                <w:szCs w:val="18"/>
              </w:rPr>
            </w:pPr>
            <w:r>
              <w:rPr>
                <w:rFonts w:cs="Arial" w:ascii="Arial" w:hAnsi="Arial"/>
                <w:sz w:val="18"/>
                <w:szCs w:val="18"/>
              </w:rPr>
            </w:r>
          </w:p>
        </w:tc>
        <w:tc>
          <w:tcPr>
            <w:tcW w:w="2295" w:type="dxa"/>
            <w:vMerge w:val="continue"/>
            <w:tcBorders/>
            <w:shd w:fill="auto" w:val="clear"/>
            <w:tcMar>
              <w:left w:w="108" w:type="dxa"/>
            </w:tcMar>
          </w:tcPr>
          <w:p>
            <w:pPr>
              <w:pStyle w:val="Normal"/>
              <w:spacing w:lineRule="auto" w:line="276" w:before="60" w:after="0"/>
              <w:rPr>
                <w:rFonts w:ascii="Arial" w:hAnsi="Arial" w:cs="Arial"/>
                <w:sz w:val="18"/>
                <w:szCs w:val="18"/>
              </w:rPr>
            </w:pPr>
            <w:r>
              <w:rPr>
                <w:rFonts w:cs="Arial" w:ascii="Arial" w:hAnsi="Arial"/>
                <w:sz w:val="18"/>
                <w:szCs w:val="18"/>
              </w:rPr>
            </w:r>
          </w:p>
        </w:tc>
        <w:tc>
          <w:tcPr>
            <w:tcW w:w="1027" w:type="dxa"/>
            <w:tcBorders/>
            <w:shd w:color="auto" w:fill="EAF1DD" w:themeFill="accent3" w:themeFillTint="33" w:val="clear"/>
            <w:tcMar>
              <w:left w:w="108" w:type="dxa"/>
            </w:tcMar>
            <w:vAlign w:val="center"/>
          </w:tcPr>
          <w:p>
            <w:pPr>
              <w:pStyle w:val="TableColumnHeading2"/>
              <w:spacing w:lineRule="auto" w:line="240" w:before="60" w:after="0"/>
              <w:rPr>
                <w:rFonts w:ascii="Arial" w:hAnsi="Arial" w:cs="Arial"/>
                <w:b w:val="false"/>
                <w:b w:val="false"/>
                <w:sz w:val="18"/>
                <w:szCs w:val="18"/>
              </w:rPr>
            </w:pPr>
            <w:r>
              <w:rPr>
                <w:rFonts w:cs="Arial" w:ascii="Arial" w:hAnsi="Arial"/>
                <w:b w:val="false"/>
                <w:sz w:val="18"/>
                <w:szCs w:val="18"/>
              </w:rPr>
              <w:t>Likelihood (L) 1-5</w:t>
            </w:r>
          </w:p>
        </w:tc>
        <w:tc>
          <w:tcPr>
            <w:tcW w:w="1327" w:type="dxa"/>
            <w:tcBorders/>
            <w:shd w:color="auto" w:fill="EAF1DD" w:themeFill="accent3" w:themeFillTint="33" w:val="clear"/>
            <w:tcMar>
              <w:left w:w="108" w:type="dxa"/>
            </w:tcMar>
            <w:vAlign w:val="center"/>
          </w:tcPr>
          <w:p>
            <w:pPr>
              <w:pStyle w:val="TableColumnHeading2"/>
              <w:spacing w:lineRule="auto" w:line="240" w:before="60" w:after="0"/>
              <w:rPr>
                <w:rFonts w:ascii="Arial" w:hAnsi="Arial" w:cs="Arial"/>
                <w:b w:val="false"/>
                <w:b w:val="false"/>
                <w:sz w:val="18"/>
                <w:szCs w:val="18"/>
              </w:rPr>
            </w:pPr>
            <w:r>
              <w:rPr>
                <w:rFonts w:cs="Arial" w:ascii="Arial" w:hAnsi="Arial"/>
                <w:b w:val="false"/>
                <w:sz w:val="18"/>
                <w:szCs w:val="18"/>
              </w:rPr>
              <w:t>Consequence (C) 1-5</w:t>
            </w:r>
          </w:p>
        </w:tc>
        <w:tc>
          <w:tcPr>
            <w:tcW w:w="852" w:type="dxa"/>
            <w:tcBorders/>
            <w:shd w:color="auto" w:fill="EAF1DD" w:themeFill="accent3" w:themeFillTint="33" w:val="clear"/>
            <w:tcMar>
              <w:left w:w="108" w:type="dxa"/>
            </w:tcMar>
            <w:vAlign w:val="center"/>
          </w:tcPr>
          <w:p>
            <w:pPr>
              <w:pStyle w:val="TableColumnHeading2"/>
              <w:spacing w:lineRule="auto" w:line="240" w:before="60" w:after="0"/>
              <w:rPr>
                <w:rFonts w:ascii="Arial" w:hAnsi="Arial" w:cs="Arial"/>
                <w:b w:val="false"/>
                <w:b w:val="false"/>
                <w:sz w:val="18"/>
                <w:szCs w:val="18"/>
              </w:rPr>
            </w:pPr>
            <w:r>
              <w:rPr>
                <w:rFonts w:cs="Arial" w:ascii="Arial" w:hAnsi="Arial"/>
                <w:b w:val="false"/>
                <w:sz w:val="18"/>
                <w:szCs w:val="18"/>
              </w:rPr>
              <w:t xml:space="preserve">Raw Risk </w:t>
            </w:r>
          </w:p>
          <w:p>
            <w:pPr>
              <w:pStyle w:val="TableColumnHeading2"/>
              <w:spacing w:lineRule="auto" w:line="240" w:before="60" w:after="0"/>
              <w:rPr>
                <w:rFonts w:ascii="Arial" w:hAnsi="Arial" w:cs="Arial"/>
                <w:b w:val="false"/>
                <w:b w:val="false"/>
                <w:sz w:val="18"/>
                <w:szCs w:val="18"/>
              </w:rPr>
            </w:pPr>
            <w:r>
              <w:rPr>
                <w:rFonts w:cs="Arial" w:ascii="Arial" w:hAnsi="Arial"/>
                <w:b w:val="false"/>
                <w:sz w:val="18"/>
                <w:szCs w:val="18"/>
              </w:rPr>
              <w:t>(L x C)</w:t>
            </w:r>
          </w:p>
        </w:tc>
        <w:tc>
          <w:tcPr>
            <w:tcW w:w="1664" w:type="dxa"/>
            <w:gridSpan w:val="2"/>
            <w:vMerge w:val="continue"/>
            <w:tcBorders/>
            <w:shd w:color="auto" w:fill="EAF1DD" w:themeFill="accent3" w:themeFillTint="33" w:val="clear"/>
            <w:tcMar>
              <w:left w:w="108" w:type="dxa"/>
            </w:tcMar>
          </w:tcPr>
          <w:p>
            <w:pPr>
              <w:pStyle w:val="Normal"/>
              <w:spacing w:lineRule="auto" w:line="276" w:before="60" w:after="0"/>
              <w:rPr>
                <w:rFonts w:ascii="Arial" w:hAnsi="Arial" w:cs="Arial"/>
                <w:sz w:val="18"/>
                <w:szCs w:val="18"/>
              </w:rPr>
            </w:pPr>
            <w:r>
              <w:rPr>
                <w:rFonts w:cs="Arial" w:ascii="Arial" w:hAnsi="Arial"/>
                <w:sz w:val="18"/>
                <w:szCs w:val="18"/>
              </w:rPr>
            </w:r>
          </w:p>
        </w:tc>
        <w:tc>
          <w:tcPr>
            <w:tcW w:w="1313" w:type="dxa"/>
            <w:gridSpan w:val="2"/>
            <w:vMerge w:val="continue"/>
            <w:tcBorders/>
            <w:shd w:color="auto" w:fill="EAF1DD" w:themeFill="accent3" w:themeFillTint="33" w:val="clear"/>
            <w:tcMar>
              <w:left w:w="108" w:type="dxa"/>
            </w:tcMar>
          </w:tcPr>
          <w:p>
            <w:pPr>
              <w:pStyle w:val="Normal"/>
              <w:spacing w:lineRule="auto" w:line="276" w:before="60" w:after="0"/>
              <w:rPr>
                <w:rFonts w:ascii="Arial" w:hAnsi="Arial" w:cs="Arial"/>
                <w:sz w:val="18"/>
                <w:szCs w:val="18"/>
              </w:rPr>
            </w:pPr>
            <w:r>
              <w:rPr>
                <w:rFonts w:cs="Arial" w:ascii="Arial" w:hAnsi="Arial"/>
                <w:sz w:val="18"/>
                <w:szCs w:val="18"/>
              </w:rPr>
            </w:r>
          </w:p>
        </w:tc>
        <w:tc>
          <w:tcPr>
            <w:tcW w:w="567" w:type="dxa"/>
            <w:gridSpan w:val="2"/>
            <w:tcBorders/>
            <w:shd w:color="auto" w:fill="EAF1DD" w:themeFill="accent3" w:themeFillTint="33" w:val="clear"/>
            <w:tcMar>
              <w:left w:w="108" w:type="dxa"/>
            </w:tcMar>
            <w:vAlign w:val="center"/>
          </w:tcPr>
          <w:p>
            <w:pPr>
              <w:pStyle w:val="TableColumnHeading2"/>
              <w:spacing w:lineRule="auto" w:line="240" w:before="60" w:after="0"/>
              <w:rPr>
                <w:rFonts w:ascii="Arial" w:hAnsi="Arial" w:cs="Arial"/>
                <w:b w:val="false"/>
                <w:b w:val="false"/>
                <w:szCs w:val="16"/>
              </w:rPr>
            </w:pPr>
            <w:r>
              <w:rPr>
                <w:rFonts w:cs="Arial" w:ascii="Arial" w:hAnsi="Arial"/>
                <w:b w:val="false"/>
                <w:szCs w:val="16"/>
              </w:rPr>
              <w:t>L</w:t>
            </w:r>
          </w:p>
          <w:p>
            <w:pPr>
              <w:pStyle w:val="TableColumnHeading2"/>
              <w:spacing w:lineRule="auto" w:line="240" w:before="60" w:after="0"/>
              <w:rPr>
                <w:rFonts w:ascii="Arial" w:hAnsi="Arial" w:cs="Arial"/>
                <w:b w:val="false"/>
                <w:b w:val="false"/>
                <w:sz w:val="18"/>
                <w:szCs w:val="18"/>
              </w:rPr>
            </w:pPr>
            <w:r>
              <w:rPr>
                <w:rFonts w:cs="Arial" w:ascii="Arial" w:hAnsi="Arial"/>
                <w:b w:val="false"/>
                <w:szCs w:val="16"/>
              </w:rPr>
              <w:t>1-5</w:t>
            </w:r>
          </w:p>
        </w:tc>
        <w:tc>
          <w:tcPr>
            <w:tcW w:w="1276" w:type="dxa"/>
            <w:tcBorders/>
            <w:shd w:color="auto" w:fill="EAF1DD" w:themeFill="accent3" w:themeFillTint="33" w:val="clear"/>
            <w:tcMar>
              <w:left w:w="108" w:type="dxa"/>
            </w:tcMar>
            <w:vAlign w:val="center"/>
          </w:tcPr>
          <w:p>
            <w:pPr>
              <w:pStyle w:val="TableColumnHeading2"/>
              <w:spacing w:lineRule="auto" w:line="240" w:before="60" w:after="0"/>
              <w:rPr>
                <w:rFonts w:ascii="Arial" w:hAnsi="Arial" w:cs="Arial"/>
                <w:b w:val="false"/>
                <w:b w:val="false"/>
                <w:szCs w:val="16"/>
              </w:rPr>
            </w:pPr>
            <w:r>
              <w:rPr>
                <w:rFonts w:cs="Arial" w:ascii="Arial" w:hAnsi="Arial"/>
                <w:b w:val="false"/>
                <w:szCs w:val="16"/>
              </w:rPr>
              <w:t>Consequence</w:t>
            </w:r>
          </w:p>
          <w:p>
            <w:pPr>
              <w:pStyle w:val="TableColumnHeading2"/>
              <w:spacing w:lineRule="auto" w:line="240" w:before="60" w:after="0"/>
              <w:rPr>
                <w:rFonts w:ascii="Arial" w:hAnsi="Arial" w:cs="Arial"/>
                <w:b w:val="false"/>
                <w:b w:val="false"/>
                <w:sz w:val="18"/>
                <w:szCs w:val="18"/>
              </w:rPr>
            </w:pPr>
            <w:r>
              <w:rPr>
                <w:rFonts w:cs="Arial" w:ascii="Arial" w:hAnsi="Arial"/>
                <w:b w:val="false"/>
                <w:sz w:val="18"/>
                <w:szCs w:val="18"/>
              </w:rPr>
              <w:t>1-5</w:t>
            </w:r>
          </w:p>
        </w:tc>
        <w:tc>
          <w:tcPr>
            <w:tcW w:w="729" w:type="dxa"/>
            <w:tcBorders/>
            <w:shd w:color="auto" w:fill="EAF1DD" w:themeFill="accent3" w:themeFillTint="33" w:val="clear"/>
            <w:tcMar>
              <w:left w:w="108" w:type="dxa"/>
            </w:tcMar>
            <w:vAlign w:val="center"/>
          </w:tcPr>
          <w:p>
            <w:pPr>
              <w:pStyle w:val="TableColumnHeading2"/>
              <w:spacing w:lineRule="auto" w:line="240" w:before="60" w:after="0"/>
              <w:rPr>
                <w:rFonts w:ascii="Arial" w:hAnsi="Arial" w:cs="Arial"/>
                <w:b w:val="false"/>
                <w:b w:val="false"/>
                <w:szCs w:val="16"/>
              </w:rPr>
            </w:pPr>
            <w:r>
              <w:rPr>
                <w:rFonts w:cs="Arial" w:ascii="Arial" w:hAnsi="Arial"/>
                <w:b w:val="false"/>
                <w:szCs w:val="16"/>
              </w:rPr>
              <w:t>RR</w:t>
            </w:r>
          </w:p>
          <w:p>
            <w:pPr>
              <w:pStyle w:val="TableColumnHeading2"/>
              <w:spacing w:lineRule="auto" w:line="240" w:before="60" w:after="0"/>
              <w:rPr>
                <w:rFonts w:ascii="Arial" w:hAnsi="Arial" w:cs="Arial"/>
                <w:b w:val="false"/>
                <w:b w:val="false"/>
                <w:sz w:val="18"/>
                <w:szCs w:val="18"/>
              </w:rPr>
            </w:pPr>
            <w:r>
              <w:rPr>
                <w:rFonts w:cs="Arial" w:ascii="Arial" w:hAnsi="Arial"/>
                <w:b w:val="false"/>
                <w:szCs w:val="16"/>
              </w:rPr>
              <w:t>(L x C)</w:t>
            </w:r>
          </w:p>
        </w:tc>
      </w:tr>
      <w:tr>
        <w:trPr/>
        <w:tc>
          <w:tcPr>
            <w:tcW w:w="1423" w:type="dxa"/>
            <w:tcBorders/>
            <w:shd w:fill="auto" w:val="clear"/>
            <w:tcMar>
              <w:left w:w="108" w:type="dxa"/>
            </w:tcMar>
          </w:tcPr>
          <w:p>
            <w:pPr>
              <w:pStyle w:val="Normal"/>
              <w:spacing w:lineRule="auto" w:line="276" w:before="60" w:after="0"/>
              <w:rPr>
                <w:rFonts w:ascii="Arial" w:hAnsi="Arial"/>
                <w:sz w:val="18"/>
                <w:szCs w:val="18"/>
              </w:rPr>
            </w:pPr>
            <w:r>
              <w:rPr>
                <w:rFonts w:cs="Arial" w:ascii="Arial" w:hAnsi="Arial"/>
                <w:sz w:val="18"/>
                <w:szCs w:val="18"/>
              </w:rPr>
              <w:t>1-</w:t>
            </w:r>
            <w:r>
              <w:rPr>
                <w:rFonts w:cs="Arial" w:ascii="Arial" w:hAnsi="Arial"/>
                <w:sz w:val="18"/>
                <w:szCs w:val="18"/>
              </w:rPr>
              <w:t>Requirements</w:t>
            </w:r>
          </w:p>
          <w:p>
            <w:pPr>
              <w:pStyle w:val="Normal"/>
              <w:spacing w:lineRule="auto" w:line="276" w:before="60" w:after="0"/>
              <w:rPr>
                <w:rFonts w:cs="Arial"/>
              </w:rPr>
            </w:pPr>
            <w:r>
              <w:rPr>
                <w:rFonts w:ascii="Arial" w:hAnsi="Arial"/>
                <w:sz w:val="18"/>
                <w:szCs w:val="18"/>
              </w:rPr>
            </w:r>
          </w:p>
        </w:tc>
        <w:tc>
          <w:tcPr>
            <w:tcW w:w="2256" w:type="dxa"/>
            <w:tcBorders/>
            <w:shd w:fill="auto" w:val="clear"/>
            <w:tcMar>
              <w:left w:w="108" w:type="dxa"/>
            </w:tcMar>
          </w:tcPr>
          <w:p>
            <w:pPr>
              <w:pStyle w:val="Normal"/>
              <w:spacing w:lineRule="auto" w:line="276" w:before="60" w:after="0"/>
              <w:rPr>
                <w:rFonts w:ascii="Arial" w:hAnsi="Arial"/>
                <w:sz w:val="18"/>
                <w:szCs w:val="18"/>
              </w:rPr>
            </w:pPr>
            <w:r>
              <w:rPr>
                <w:rFonts w:cs="Arial" w:ascii="Arial" w:hAnsi="Arial"/>
                <w:sz w:val="18"/>
                <w:szCs w:val="18"/>
              </w:rPr>
              <w:t>Lack of clear guidelines for project, project outcome. Not having enough deliverables or features to sustain a full year project.</w:t>
            </w:r>
          </w:p>
        </w:tc>
        <w:tc>
          <w:tcPr>
            <w:tcW w:w="2295" w:type="dxa"/>
            <w:tcBorders/>
            <w:shd w:fill="auto" w:val="clear"/>
            <w:tcMar>
              <w:left w:w="108" w:type="dxa"/>
            </w:tcMar>
          </w:tcPr>
          <w:p>
            <w:pPr>
              <w:pStyle w:val="Normal"/>
              <w:spacing w:lineRule="auto" w:line="276" w:before="60" w:after="0"/>
              <w:rPr>
                <w:rFonts w:ascii="Arial" w:hAnsi="Arial"/>
                <w:sz w:val="18"/>
                <w:szCs w:val="18"/>
              </w:rPr>
            </w:pPr>
            <w:r>
              <w:rPr>
                <w:rFonts w:cs="Arial" w:ascii="Arial" w:hAnsi="Arial"/>
                <w:sz w:val="18"/>
                <w:szCs w:val="18"/>
              </w:rPr>
              <w:t>Wasted learning opportunity. Impact on course grades due to lower quality project management assessments.</w:t>
            </w:r>
          </w:p>
        </w:tc>
        <w:tc>
          <w:tcPr>
            <w:tcW w:w="1027" w:type="dxa"/>
            <w:tcBorders/>
            <w:shd w:fill="auto" w:val="clear"/>
            <w:tcMar>
              <w:left w:w="108" w:type="dxa"/>
            </w:tcMar>
          </w:tcPr>
          <w:p>
            <w:pPr>
              <w:pStyle w:val="Normal"/>
              <w:spacing w:lineRule="auto" w:line="276" w:before="60" w:after="0"/>
              <w:rPr>
                <w:rFonts w:ascii="Arial" w:hAnsi="Arial"/>
                <w:sz w:val="18"/>
                <w:szCs w:val="18"/>
              </w:rPr>
            </w:pPr>
            <w:r>
              <w:rPr>
                <w:rFonts w:cs="Arial" w:ascii="Arial" w:hAnsi="Arial"/>
                <w:sz w:val="18"/>
                <w:szCs w:val="18"/>
              </w:rPr>
              <w:t>2</w:t>
            </w:r>
          </w:p>
        </w:tc>
        <w:tc>
          <w:tcPr>
            <w:tcW w:w="1327" w:type="dxa"/>
            <w:tcBorders/>
            <w:shd w:fill="auto" w:val="clear"/>
            <w:tcMar>
              <w:left w:w="108" w:type="dxa"/>
            </w:tcMar>
          </w:tcPr>
          <w:p>
            <w:pPr>
              <w:pStyle w:val="Normal"/>
              <w:spacing w:lineRule="auto" w:line="276" w:before="60" w:after="0"/>
              <w:rPr>
                <w:rFonts w:ascii="Arial" w:hAnsi="Arial"/>
                <w:sz w:val="18"/>
                <w:szCs w:val="18"/>
              </w:rPr>
            </w:pPr>
            <w:r>
              <w:rPr>
                <w:rFonts w:cs="Arial" w:ascii="Arial" w:hAnsi="Arial"/>
                <w:sz w:val="18"/>
                <w:szCs w:val="18"/>
              </w:rPr>
              <w:t>5</w:t>
            </w:r>
          </w:p>
        </w:tc>
        <w:tc>
          <w:tcPr>
            <w:tcW w:w="852" w:type="dxa"/>
            <w:tcBorders/>
            <w:shd w:fill="auto" w:val="clear"/>
            <w:tcMar>
              <w:left w:w="108" w:type="dxa"/>
            </w:tcMar>
          </w:tcPr>
          <w:p>
            <w:pPr>
              <w:pStyle w:val="Normal"/>
              <w:spacing w:lineRule="auto" w:line="276" w:before="60" w:after="0"/>
              <w:rPr>
                <w:rFonts w:ascii="Arial" w:hAnsi="Arial"/>
                <w:sz w:val="18"/>
                <w:szCs w:val="18"/>
              </w:rPr>
            </w:pPr>
            <w:r>
              <w:rPr>
                <w:rFonts w:cs="Arial" w:ascii="Arial" w:hAnsi="Arial"/>
                <w:sz w:val="18"/>
                <w:szCs w:val="18"/>
              </w:rPr>
              <w:t>10</w:t>
            </w:r>
          </w:p>
        </w:tc>
        <w:tc>
          <w:tcPr>
            <w:tcW w:w="1664" w:type="dxa"/>
            <w:gridSpan w:val="2"/>
            <w:tcBorders/>
            <w:shd w:fill="auto" w:val="clear"/>
            <w:tcMar>
              <w:left w:w="108" w:type="dxa"/>
            </w:tcMar>
          </w:tcPr>
          <w:p>
            <w:pPr>
              <w:pStyle w:val="Normal"/>
              <w:spacing w:lineRule="auto" w:line="276" w:before="60" w:after="0"/>
              <w:rPr>
                <w:rFonts w:ascii="Arial" w:hAnsi="Arial"/>
                <w:sz w:val="18"/>
                <w:szCs w:val="18"/>
              </w:rPr>
            </w:pPr>
            <w:r>
              <w:rPr>
                <w:rFonts w:cs="Arial" w:ascii="Arial" w:hAnsi="Arial"/>
                <w:sz w:val="18"/>
                <w:szCs w:val="18"/>
              </w:rPr>
              <w:t xml:space="preserve">Early check in with client and asking for difficult end product to scale down from. </w:t>
            </w:r>
          </w:p>
          <w:p>
            <w:pPr>
              <w:pStyle w:val="Normal"/>
              <w:spacing w:lineRule="auto" w:line="276" w:before="60" w:after="0"/>
              <w:rPr>
                <w:rFonts w:ascii="Arial" w:hAnsi="Arial"/>
                <w:sz w:val="18"/>
                <w:szCs w:val="18"/>
              </w:rPr>
            </w:pPr>
            <w:r>
              <w:rPr>
                <w:rFonts w:cs="Arial" w:ascii="Arial" w:hAnsi="Arial"/>
                <w:sz w:val="18"/>
                <w:szCs w:val="18"/>
              </w:rPr>
              <w:t xml:space="preserve">Clear list of requirements/deadlines to meet. </w:t>
            </w:r>
          </w:p>
        </w:tc>
        <w:tc>
          <w:tcPr>
            <w:tcW w:w="1313" w:type="dxa"/>
            <w:gridSpan w:val="2"/>
            <w:tcBorders/>
            <w:shd w:fill="auto" w:val="clear"/>
            <w:tcMar>
              <w:left w:w="108" w:type="dxa"/>
            </w:tcMar>
          </w:tcPr>
          <w:p>
            <w:pPr>
              <w:pStyle w:val="Normal"/>
              <w:spacing w:lineRule="auto" w:line="276" w:before="60" w:after="0"/>
              <w:rPr>
                <w:rFonts w:ascii="Arial" w:hAnsi="Arial"/>
                <w:sz w:val="18"/>
                <w:szCs w:val="18"/>
              </w:rPr>
            </w:pPr>
            <w:r>
              <w:rPr>
                <w:rFonts w:cs="Arial" w:ascii="Arial" w:hAnsi="Arial"/>
                <w:sz w:val="18"/>
                <w:szCs w:val="18"/>
              </w:rPr>
              <w:t>Meeting with client.</w:t>
            </w:r>
          </w:p>
          <w:p>
            <w:pPr>
              <w:pStyle w:val="Normal"/>
              <w:spacing w:lineRule="auto" w:line="276" w:before="60" w:after="0"/>
              <w:rPr>
                <w:rFonts w:ascii="Arial" w:hAnsi="Arial"/>
                <w:sz w:val="18"/>
                <w:szCs w:val="18"/>
              </w:rPr>
            </w:pPr>
            <w:r>
              <w:rPr>
                <w:rFonts w:cs="Arial" w:ascii="Arial" w:hAnsi="Arial"/>
                <w:sz w:val="18"/>
                <w:szCs w:val="18"/>
              </w:rPr>
              <w:t>Specified feature planning.</w:t>
            </w:r>
          </w:p>
          <w:p>
            <w:pPr>
              <w:pStyle w:val="Normal"/>
              <w:spacing w:lineRule="auto" w:line="276" w:before="60" w:after="0"/>
              <w:rPr>
                <w:rFonts w:ascii="Arial" w:hAnsi="Arial"/>
                <w:sz w:val="18"/>
                <w:szCs w:val="18"/>
              </w:rPr>
            </w:pPr>
            <w:r>
              <w:rPr>
                <w:rFonts w:cs="Arial" w:ascii="Arial" w:hAnsi="Arial"/>
                <w:sz w:val="18"/>
                <w:szCs w:val="18"/>
              </w:rPr>
              <w:t>Dates for deliverables.</w:t>
            </w:r>
          </w:p>
        </w:tc>
        <w:tc>
          <w:tcPr>
            <w:tcW w:w="567" w:type="dxa"/>
            <w:gridSpan w:val="2"/>
            <w:tcBorders/>
            <w:shd w:fill="auto" w:val="clear"/>
            <w:tcMar>
              <w:left w:w="108" w:type="dxa"/>
            </w:tcMar>
          </w:tcPr>
          <w:p>
            <w:pPr>
              <w:pStyle w:val="Normal"/>
              <w:spacing w:lineRule="auto" w:line="276" w:before="60" w:after="0"/>
              <w:rPr>
                <w:rFonts w:ascii="Arial" w:hAnsi="Arial"/>
                <w:sz w:val="18"/>
                <w:szCs w:val="18"/>
              </w:rPr>
            </w:pPr>
            <w:r>
              <w:rPr>
                <w:rFonts w:cs="Arial" w:ascii="Arial" w:hAnsi="Arial"/>
                <w:sz w:val="18"/>
                <w:szCs w:val="18"/>
              </w:rPr>
              <w:t>1</w:t>
            </w:r>
          </w:p>
        </w:tc>
        <w:tc>
          <w:tcPr>
            <w:tcW w:w="1276" w:type="dxa"/>
            <w:tcBorders/>
            <w:shd w:fill="auto" w:val="clear"/>
            <w:tcMar>
              <w:left w:w="108" w:type="dxa"/>
            </w:tcMar>
          </w:tcPr>
          <w:p>
            <w:pPr>
              <w:pStyle w:val="Normal"/>
              <w:spacing w:lineRule="auto" w:line="276" w:before="60" w:after="0"/>
              <w:rPr>
                <w:rFonts w:ascii="Arial" w:hAnsi="Arial"/>
                <w:sz w:val="18"/>
                <w:szCs w:val="18"/>
              </w:rPr>
            </w:pPr>
            <w:r>
              <w:rPr>
                <w:rFonts w:cs="Arial" w:ascii="Arial" w:hAnsi="Arial"/>
                <w:sz w:val="18"/>
                <w:szCs w:val="18"/>
              </w:rPr>
              <w:t>2</w:t>
            </w:r>
          </w:p>
        </w:tc>
        <w:tc>
          <w:tcPr>
            <w:tcW w:w="729" w:type="dxa"/>
            <w:tcBorders/>
            <w:shd w:fill="auto" w:val="clear"/>
            <w:tcMar>
              <w:left w:w="108" w:type="dxa"/>
            </w:tcMar>
          </w:tcPr>
          <w:p>
            <w:pPr>
              <w:pStyle w:val="Normal"/>
              <w:spacing w:lineRule="auto" w:line="276" w:before="60" w:after="0"/>
              <w:rPr>
                <w:rFonts w:ascii="Arial" w:hAnsi="Arial"/>
                <w:sz w:val="18"/>
                <w:szCs w:val="18"/>
              </w:rPr>
            </w:pPr>
            <w:r>
              <w:rPr>
                <w:rFonts w:cs="Arial" w:ascii="Arial" w:hAnsi="Arial"/>
                <w:sz w:val="18"/>
                <w:szCs w:val="18"/>
              </w:rPr>
              <w:t>2</w:t>
            </w:r>
          </w:p>
        </w:tc>
      </w:tr>
      <w:tr>
        <w:trPr>
          <w:trHeight w:val="1995" w:hRule="atLeast"/>
        </w:trPr>
        <w:tc>
          <w:tcPr>
            <w:tcW w:w="1423"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2 -</w:t>
            </w:r>
          </w:p>
          <w:p>
            <w:pPr>
              <w:pStyle w:val="Normal"/>
              <w:spacing w:lineRule="auto" w:line="276" w:before="60" w:after="0"/>
              <w:rPr>
                <w:rFonts w:ascii="Arial" w:hAnsi="Arial"/>
                <w:sz w:val="18"/>
                <w:szCs w:val="18"/>
              </w:rPr>
            </w:pPr>
            <w:r>
              <w:rPr>
                <w:rFonts w:ascii="Arial" w:hAnsi="Arial"/>
                <w:sz w:val="18"/>
                <w:szCs w:val="18"/>
              </w:rPr>
              <w:t>Too many features</w:t>
            </w:r>
          </w:p>
        </w:tc>
        <w:tc>
          <w:tcPr>
            <w:tcW w:w="2256"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We are provided too many features to add and extend rather than a core concept which we can deliver first, then extend later.</w:t>
            </w:r>
          </w:p>
        </w:tc>
        <w:tc>
          <w:tcPr>
            <w:tcW w:w="2295"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Huge time sink working out adding and implementing features versus delivering on the project goals.</w:t>
            </w:r>
          </w:p>
        </w:tc>
        <w:tc>
          <w:tcPr>
            <w:tcW w:w="1027"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2</w:t>
            </w:r>
          </w:p>
        </w:tc>
        <w:tc>
          <w:tcPr>
            <w:tcW w:w="1327"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3</w:t>
            </w:r>
          </w:p>
        </w:tc>
        <w:tc>
          <w:tcPr>
            <w:tcW w:w="852"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6</w:t>
            </w:r>
          </w:p>
        </w:tc>
        <w:tc>
          <w:tcPr>
            <w:tcW w:w="1664"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Establish clear outline with client, then seek further extension if possible.</w:t>
            </w:r>
          </w:p>
        </w:tc>
        <w:tc>
          <w:tcPr>
            <w:tcW w:w="1313"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Meeting with client. </w:t>
            </w:r>
          </w:p>
          <w:p>
            <w:pPr>
              <w:pStyle w:val="Normal"/>
              <w:spacing w:lineRule="auto" w:line="276" w:before="60" w:after="0"/>
              <w:rPr>
                <w:rFonts w:ascii="Arial" w:hAnsi="Arial"/>
                <w:sz w:val="18"/>
                <w:szCs w:val="18"/>
              </w:rPr>
            </w:pPr>
            <w:r>
              <w:rPr>
                <w:rFonts w:ascii="Arial" w:hAnsi="Arial"/>
                <w:sz w:val="18"/>
                <w:szCs w:val="18"/>
              </w:rPr>
            </w:r>
          </w:p>
        </w:tc>
        <w:tc>
          <w:tcPr>
            <w:tcW w:w="567"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1276"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729"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r>
      <w:tr>
        <w:trPr>
          <w:trHeight w:val="1995" w:hRule="atLeast"/>
        </w:trPr>
        <w:tc>
          <w:tcPr>
            <w:tcW w:w="1423"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3 - </w:t>
            </w:r>
          </w:p>
          <w:p>
            <w:pPr>
              <w:pStyle w:val="Normal"/>
              <w:spacing w:lineRule="auto" w:line="276" w:before="60" w:after="0"/>
              <w:rPr>
                <w:rFonts w:ascii="Arial" w:hAnsi="Arial"/>
                <w:sz w:val="18"/>
                <w:szCs w:val="18"/>
              </w:rPr>
            </w:pPr>
            <w:r>
              <w:rPr>
                <w:rFonts w:ascii="Arial" w:hAnsi="Arial"/>
                <w:sz w:val="18"/>
                <w:szCs w:val="18"/>
              </w:rPr>
              <w:t>Finance</w:t>
            </w:r>
          </w:p>
        </w:tc>
        <w:tc>
          <w:tcPr>
            <w:tcW w:w="2256"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Depending on what method we use for detection, it could be based in machine learning which requires extensive processing power.</w:t>
            </w:r>
          </w:p>
        </w:tc>
        <w:tc>
          <w:tcPr>
            <w:tcW w:w="2295"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Costs a lot to meet the hardware requirements the software needs to </w:t>
            </w:r>
            <w:r>
              <w:rPr>
                <w:rFonts w:ascii="Arial" w:hAnsi="Arial"/>
                <w:sz w:val="18"/>
                <w:szCs w:val="18"/>
              </w:rPr>
              <w:t xml:space="preserve">perform. </w:t>
            </w:r>
          </w:p>
        </w:tc>
        <w:tc>
          <w:tcPr>
            <w:tcW w:w="1027"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1327"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2</w:t>
            </w:r>
          </w:p>
        </w:tc>
        <w:tc>
          <w:tcPr>
            <w:tcW w:w="852"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2</w:t>
            </w:r>
          </w:p>
        </w:tc>
        <w:tc>
          <w:tcPr>
            <w:tcW w:w="1664"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Discuss with client and research methods to reduce computational power.</w:t>
            </w:r>
          </w:p>
        </w:tc>
        <w:tc>
          <w:tcPr>
            <w:tcW w:w="1313"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Testing.</w:t>
            </w:r>
          </w:p>
        </w:tc>
        <w:tc>
          <w:tcPr>
            <w:tcW w:w="567"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1276"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729"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r>
      <w:tr>
        <w:trPr>
          <w:trHeight w:val="1995" w:hRule="atLeast"/>
        </w:trPr>
        <w:tc>
          <w:tcPr>
            <w:tcW w:w="1423"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4 - </w:t>
            </w:r>
          </w:p>
          <w:p>
            <w:pPr>
              <w:pStyle w:val="Normal"/>
              <w:spacing w:lineRule="auto" w:line="276" w:before="60" w:after="0"/>
              <w:rPr>
                <w:rFonts w:ascii="Arial" w:hAnsi="Arial"/>
                <w:sz w:val="18"/>
                <w:szCs w:val="18"/>
              </w:rPr>
            </w:pPr>
            <w:r>
              <w:rPr>
                <w:rFonts w:ascii="Arial" w:hAnsi="Arial"/>
                <w:sz w:val="18"/>
                <w:szCs w:val="18"/>
              </w:rPr>
              <w:t>OSI adherence</w:t>
            </w:r>
          </w:p>
        </w:tc>
        <w:tc>
          <w:tcPr>
            <w:tcW w:w="2256"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The scope of what we need to deliver may require technologies out of our grasp, so require libraries. </w:t>
            </w:r>
          </w:p>
        </w:tc>
        <w:tc>
          <w:tcPr>
            <w:tcW w:w="2295"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These libraries might not be open source which goes against the brief of the project. </w:t>
            </w:r>
          </w:p>
        </w:tc>
        <w:tc>
          <w:tcPr>
            <w:tcW w:w="1027"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2</w:t>
            </w:r>
          </w:p>
        </w:tc>
        <w:tc>
          <w:tcPr>
            <w:tcW w:w="1327"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3</w:t>
            </w:r>
          </w:p>
        </w:tc>
        <w:tc>
          <w:tcPr>
            <w:tcW w:w="852"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6</w:t>
            </w:r>
          </w:p>
        </w:tc>
        <w:tc>
          <w:tcPr>
            <w:tcW w:w="1664"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Research what technologies are available for use to use.</w:t>
            </w:r>
          </w:p>
        </w:tc>
        <w:tc>
          <w:tcPr>
            <w:tcW w:w="1313"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OS distinction from library. </w:t>
            </w:r>
          </w:p>
        </w:tc>
        <w:tc>
          <w:tcPr>
            <w:tcW w:w="567"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1276"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729"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r>
      <w:tr>
        <w:trPr>
          <w:trHeight w:val="1995" w:hRule="atLeast"/>
        </w:trPr>
        <w:tc>
          <w:tcPr>
            <w:tcW w:w="1423"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5 -</w:t>
            </w:r>
          </w:p>
          <w:p>
            <w:pPr>
              <w:pStyle w:val="Normal"/>
              <w:spacing w:lineRule="auto" w:line="276" w:before="60" w:after="0"/>
              <w:rPr>
                <w:rFonts w:ascii="Arial" w:hAnsi="Arial"/>
                <w:sz w:val="18"/>
                <w:szCs w:val="18"/>
              </w:rPr>
            </w:pPr>
            <w:r>
              <w:rPr>
                <w:rFonts w:ascii="Arial" w:hAnsi="Arial"/>
                <w:sz w:val="18"/>
                <w:szCs w:val="18"/>
              </w:rPr>
              <w:t xml:space="preserve">Technical </w:t>
            </w:r>
          </w:p>
          <w:p>
            <w:pPr>
              <w:pStyle w:val="Normal"/>
              <w:spacing w:lineRule="auto" w:line="276" w:before="60" w:after="0"/>
              <w:rPr>
                <w:rFonts w:ascii="Arial" w:hAnsi="Arial"/>
                <w:sz w:val="18"/>
                <w:szCs w:val="18"/>
              </w:rPr>
            </w:pPr>
            <w:r>
              <w:rPr>
                <w:rFonts w:ascii="Arial" w:hAnsi="Arial"/>
                <w:sz w:val="18"/>
                <w:szCs w:val="18"/>
              </w:rPr>
              <w:t>scope</w:t>
            </w:r>
          </w:p>
        </w:tc>
        <w:tc>
          <w:tcPr>
            <w:tcW w:w="2256"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The potential of this project may require advanced image detection for motion and objects could be out of our scope. </w:t>
            </w:r>
          </w:p>
        </w:tc>
        <w:tc>
          <w:tcPr>
            <w:tcW w:w="2295"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Couldn’t deliver on the client’s wants and would have to downscale. </w:t>
            </w:r>
          </w:p>
        </w:tc>
        <w:tc>
          <w:tcPr>
            <w:tcW w:w="1027"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1327"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3</w:t>
            </w:r>
          </w:p>
        </w:tc>
        <w:tc>
          <w:tcPr>
            <w:tcW w:w="852"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3</w:t>
            </w:r>
          </w:p>
        </w:tc>
        <w:tc>
          <w:tcPr>
            <w:tcW w:w="1664"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Spend extra time to learning new technologies. </w:t>
            </w:r>
          </w:p>
        </w:tc>
        <w:tc>
          <w:tcPr>
            <w:tcW w:w="1313"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How we are able to apply what we have learnt. </w:t>
            </w:r>
          </w:p>
        </w:tc>
        <w:tc>
          <w:tcPr>
            <w:tcW w:w="567"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1276"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2</w:t>
            </w:r>
          </w:p>
        </w:tc>
        <w:tc>
          <w:tcPr>
            <w:tcW w:w="729"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2</w:t>
            </w:r>
          </w:p>
        </w:tc>
      </w:tr>
      <w:tr>
        <w:trPr>
          <w:trHeight w:val="1995" w:hRule="atLeast"/>
        </w:trPr>
        <w:tc>
          <w:tcPr>
            <w:tcW w:w="1423"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6 -</w:t>
            </w:r>
          </w:p>
          <w:p>
            <w:pPr>
              <w:pStyle w:val="Normal"/>
              <w:spacing w:lineRule="auto" w:line="276" w:before="60" w:after="0"/>
              <w:rPr>
                <w:rFonts w:ascii="Arial" w:hAnsi="Arial"/>
                <w:sz w:val="18"/>
                <w:szCs w:val="18"/>
              </w:rPr>
            </w:pPr>
            <w:r>
              <w:rPr>
                <w:rFonts w:ascii="Arial" w:hAnsi="Arial"/>
                <w:sz w:val="18"/>
                <w:szCs w:val="18"/>
              </w:rPr>
              <w:t>Dynamics of deployment</w:t>
            </w:r>
          </w:p>
        </w:tc>
        <w:tc>
          <w:tcPr>
            <w:tcW w:w="2256"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We would be first testing on a singular intersection, with just one angle. Doesn’t allow for expansion. </w:t>
            </w:r>
          </w:p>
        </w:tc>
        <w:tc>
          <w:tcPr>
            <w:tcW w:w="2295"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Our system would only work for a certain intersection and light setup.</w:t>
            </w:r>
          </w:p>
        </w:tc>
        <w:tc>
          <w:tcPr>
            <w:tcW w:w="1027"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3</w:t>
            </w:r>
          </w:p>
        </w:tc>
        <w:tc>
          <w:tcPr>
            <w:tcW w:w="1327"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2</w:t>
            </w:r>
          </w:p>
        </w:tc>
        <w:tc>
          <w:tcPr>
            <w:tcW w:w="852"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6</w:t>
            </w:r>
          </w:p>
        </w:tc>
        <w:tc>
          <w:tcPr>
            <w:tcW w:w="1664"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When we are testing find and use other instances of intersections. </w:t>
            </w:r>
          </w:p>
        </w:tc>
        <w:tc>
          <w:tcPr>
            <w:tcW w:w="1313"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Client defining where they want the system used.</w:t>
            </w:r>
          </w:p>
        </w:tc>
        <w:tc>
          <w:tcPr>
            <w:tcW w:w="567"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1276"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2</w:t>
            </w:r>
          </w:p>
        </w:tc>
        <w:tc>
          <w:tcPr>
            <w:tcW w:w="729"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2</w:t>
            </w:r>
          </w:p>
        </w:tc>
      </w:tr>
      <w:tr>
        <w:trPr>
          <w:trHeight w:val="1995" w:hRule="atLeast"/>
        </w:trPr>
        <w:tc>
          <w:tcPr>
            <w:tcW w:w="1423"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7 -</w:t>
            </w:r>
          </w:p>
          <w:p>
            <w:pPr>
              <w:pStyle w:val="Normal"/>
              <w:spacing w:lineRule="auto" w:line="276" w:before="60" w:after="0"/>
              <w:rPr>
                <w:rFonts w:ascii="Arial" w:hAnsi="Arial"/>
                <w:sz w:val="18"/>
                <w:szCs w:val="18"/>
              </w:rPr>
            </w:pPr>
            <w:r>
              <w:rPr>
                <w:rFonts w:ascii="Arial" w:hAnsi="Arial"/>
                <w:sz w:val="18"/>
                <w:szCs w:val="18"/>
              </w:rPr>
              <w:t xml:space="preserve">Privacy </w:t>
            </w:r>
          </w:p>
        </w:tc>
        <w:tc>
          <w:tcPr>
            <w:tcW w:w="2256"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Continual camera feed would be spying and noting down their license plates if we get to that point.</w:t>
            </w:r>
          </w:p>
        </w:tc>
        <w:tc>
          <w:tcPr>
            <w:tcW w:w="2295"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Legal issues through licensing of product. </w:t>
            </w:r>
          </w:p>
        </w:tc>
        <w:tc>
          <w:tcPr>
            <w:tcW w:w="1027"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1327"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852"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1664"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 xml:space="preserve">Be cautious as to how we extend our product. </w:t>
            </w:r>
          </w:p>
        </w:tc>
        <w:tc>
          <w:tcPr>
            <w:tcW w:w="1313"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Legal documentation.</w:t>
            </w:r>
          </w:p>
        </w:tc>
        <w:tc>
          <w:tcPr>
            <w:tcW w:w="567" w:type="dxa"/>
            <w:gridSpan w:val="2"/>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1276"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c>
          <w:tcPr>
            <w:tcW w:w="729" w:type="dxa"/>
            <w:tcBorders>
              <w:top w:val="nil"/>
            </w:tcBorders>
            <w:shd w:fill="auto" w:val="clear"/>
            <w:tcMar>
              <w:left w:w="108" w:type="dxa"/>
            </w:tcMar>
          </w:tcPr>
          <w:p>
            <w:pPr>
              <w:pStyle w:val="Normal"/>
              <w:spacing w:lineRule="auto" w:line="276" w:before="60" w:after="0"/>
              <w:rPr>
                <w:rFonts w:ascii="Arial" w:hAnsi="Arial"/>
                <w:sz w:val="18"/>
                <w:szCs w:val="18"/>
              </w:rPr>
            </w:pPr>
            <w:r>
              <w:rPr>
                <w:rFonts w:ascii="Arial" w:hAnsi="Arial"/>
                <w:sz w:val="18"/>
                <w:szCs w:val="18"/>
              </w:rPr>
              <w:t>1</w:t>
            </w:r>
          </w:p>
        </w:tc>
      </w:tr>
    </w:tbl>
    <w:p>
      <w:pPr>
        <w:pStyle w:val="TextBody"/>
        <w:rPr>
          <w:rFonts w:ascii="Arial" w:hAnsi="Arial" w:cs="Arial"/>
        </w:rPr>
      </w:pPr>
      <w:r>
        <w:rPr>
          <w:rFonts w:cs="Arial" w:ascii="Arial" w:hAnsi="Arial"/>
        </w:rPr>
      </w:r>
    </w:p>
    <w:p>
      <w:pPr>
        <w:sectPr>
          <w:headerReference w:type="default" r:id="rId6"/>
          <w:footerReference w:type="default" r:id="rId7"/>
          <w:footnotePr>
            <w:numFmt w:val="decimal"/>
          </w:footnotePr>
          <w:type w:val="nextPage"/>
          <w:pgSz w:orient="landscape" w:w="16838" w:h="11906"/>
          <w:pgMar w:left="1440" w:right="1440" w:header="709" w:top="1440" w:footer="709" w:bottom="1440" w:gutter="0"/>
          <w:pgNumType w:fmt="decimal"/>
          <w:formProt w:val="false"/>
          <w:textDirection w:val="lrTb"/>
          <w:docGrid w:type="default" w:linePitch="360" w:charSpace="0"/>
        </w:sectPr>
        <w:pStyle w:val="Normal"/>
        <w:spacing w:lineRule="auto" w:line="276" w:before="60" w:after="200"/>
        <w:rPr/>
      </w:pPr>
      <w:r>
        <w:rPr/>
      </w:r>
    </w:p>
    <w:p>
      <w:pPr>
        <w:pStyle w:val="Normal"/>
        <w:spacing w:lineRule="auto" w:line="276" w:before="60" w:after="200"/>
        <w:rPr/>
      </w:pPr>
      <w:r>
        <w:rPr>
          <w:rFonts w:cs="Arial" w:ascii="Arial" w:hAnsi="Arial"/>
          <w:b/>
          <w:szCs w:val="20"/>
        </w:rPr>
        <w:t>Appendix 4 – Heat Map</w:t>
      </w:r>
    </w:p>
    <w:p>
      <w:pPr>
        <w:pStyle w:val="NoSpacing"/>
        <w:rPr>
          <w:rFonts w:ascii="Arial" w:hAnsi="Arial" w:cs="Arial"/>
          <w:sz w:val="18"/>
          <w:szCs w:val="18"/>
        </w:rPr>
      </w:pPr>
      <w:r>
        <w:rPr>
          <w:rFonts w:cs="Arial" w:ascii="Arial" w:hAnsi="Arial"/>
          <w:sz w:val="18"/>
          <w:szCs w:val="18"/>
        </w:rPr>
      </w:r>
    </w:p>
    <w:tbl>
      <w:tblPr>
        <w:tblW w:w="883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528"/>
        <w:gridCol w:w="1217"/>
        <w:gridCol w:w="1217"/>
        <w:gridCol w:w="1217"/>
        <w:gridCol w:w="1218"/>
        <w:gridCol w:w="1218"/>
        <w:gridCol w:w="1217"/>
      </w:tblGrid>
      <w:tr>
        <w:trPr/>
        <w:tc>
          <w:tcPr>
            <w:tcW w:w="152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Consequence</w:t>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5</w:t>
            </w:r>
          </w:p>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108" w:type="dxa"/>
            </w:tcMar>
          </w:tcPr>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left w:w="108" w:type="dxa"/>
            </w:tcMar>
          </w:tcPr>
          <w:p>
            <w:pPr>
              <w:pStyle w:val="Normal"/>
              <w:jc w:val="center"/>
              <w:rPr/>
            </w:pPr>
            <w:r>
              <w:rPr>
                <w:rFonts w:cs="Arial" w:ascii="Arial" w:hAnsi="Arial"/>
              </w:rPr>
              <w:t>1</w:t>
            </w:r>
          </w:p>
        </w:tc>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00" w:val="clear"/>
            <w:tcMar>
              <w:left w:w="108" w:type="dxa"/>
            </w:tcMar>
          </w:tcPr>
          <w:p>
            <w:pPr>
              <w:pStyle w:val="Normal"/>
              <w:jc w:val="center"/>
              <w:rPr>
                <w:rFonts w:ascii="Arial" w:hAnsi="Arial" w:cs="Arial"/>
              </w:rPr>
            </w:pPr>
            <w:r>
              <w:rPr>
                <w:rFonts w:cs="Arial" w:ascii="Arial" w:hAnsi="Arial"/>
              </w:rPr>
            </w:r>
          </w:p>
        </w:tc>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0000" w:val="clear"/>
            <w:tcMar>
              <w:left w:w="108" w:type="dxa"/>
            </w:tcMar>
          </w:tcPr>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0000"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tc>
      </w:tr>
      <w:tr>
        <w:trPr/>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4</w:t>
            </w:r>
          </w:p>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108" w:type="dxa"/>
            </w:tcMar>
          </w:tcPr>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left w:w="108" w:type="dxa"/>
            </w:tcMar>
          </w:tcPr>
          <w:p>
            <w:pPr>
              <w:pStyle w:val="Normal"/>
              <w:jc w:val="center"/>
              <w:rPr>
                <w:rFonts w:ascii="Arial" w:hAnsi="Arial" w:cs="Arial"/>
              </w:rPr>
            </w:pPr>
            <w:r>
              <w:rPr/>
            </w:r>
          </w:p>
        </w:tc>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00" w:val="clear"/>
            <w:tcMar>
              <w:left w:w="108" w:type="dxa"/>
            </w:tcMar>
          </w:tcPr>
          <w:p>
            <w:pPr>
              <w:pStyle w:val="Normal"/>
              <w:jc w:val="center"/>
              <w:rPr>
                <w:rFonts w:ascii="Arial" w:hAnsi="Arial" w:cs="Arial"/>
              </w:rPr>
            </w:pPr>
            <w:r>
              <w:rPr/>
            </w:r>
          </w:p>
        </w:tc>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0000" w:val="clear"/>
            <w:tcMar>
              <w:left w:w="108" w:type="dxa"/>
            </w:tcMar>
          </w:tcPr>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0000"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tc>
      </w:tr>
      <w:tr>
        <w:trPr/>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3</w:t>
            </w:r>
          </w:p>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108" w:type="dxa"/>
            </w:tcMar>
          </w:tcPr>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left w:w="108" w:type="dxa"/>
            </w:tcMar>
          </w:tcPr>
          <w:p>
            <w:pPr>
              <w:pStyle w:val="Normal"/>
              <w:jc w:val="center"/>
              <w:rPr/>
            </w:pPr>
            <w:r>
              <w:rPr>
                <w:rFonts w:cs="Arial" w:ascii="Arial" w:hAnsi="Arial"/>
              </w:rPr>
              <w:t>2,4</w:t>
            </w:r>
          </w:p>
        </w:tc>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left w:w="108" w:type="dxa"/>
            </w:tcMar>
          </w:tcPr>
          <w:p>
            <w:pPr>
              <w:pStyle w:val="Normal"/>
              <w:jc w:val="center"/>
              <w:rPr>
                <w:rFonts w:ascii="Arial" w:hAnsi="Arial" w:cs="Arial"/>
              </w:rPr>
            </w:pPr>
            <w:r>
              <w:rPr>
                <w:rFonts w:cs="Arial" w:ascii="Arial" w:hAnsi="Arial"/>
              </w:rPr>
            </w:r>
          </w:p>
        </w:tc>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00" w:val="clear"/>
            <w:tcMar>
              <w:left w:w="108" w:type="dxa"/>
            </w:tcMar>
          </w:tcPr>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00"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tc>
      </w:tr>
      <w:tr>
        <w:trPr/>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2</w:t>
            </w:r>
          </w:p>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108" w:type="dxa"/>
            </w:tcMar>
          </w:tcPr>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108" w:type="dxa"/>
            </w:tcMar>
          </w:tcPr>
          <w:p>
            <w:pPr>
              <w:pStyle w:val="Normal"/>
              <w:jc w:val="center"/>
              <w:rPr>
                <w:rFonts w:ascii="Arial" w:hAnsi="Arial" w:cs="Arial"/>
              </w:rPr>
            </w:pPr>
            <w:r>
              <w:rPr>
                <w:rFonts w:cs="Arial" w:ascii="Arial" w:hAnsi="Arial"/>
              </w:rPr>
            </w:r>
          </w:p>
        </w:tc>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left w:w="108" w:type="dxa"/>
            </w:tcMar>
          </w:tcPr>
          <w:p>
            <w:pPr>
              <w:pStyle w:val="Normal"/>
              <w:jc w:val="center"/>
              <w:rPr>
                <w:rFonts w:ascii="Arial" w:hAnsi="Arial" w:cs="Arial"/>
              </w:rPr>
            </w:pPr>
            <w:r>
              <w:rPr>
                <w:rFonts w:cs="Arial" w:ascii="Arial" w:hAnsi="Arial"/>
              </w:rPr>
              <w:t>6</w:t>
            </w:r>
          </w:p>
        </w:tc>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left w:w="108" w:type="dxa"/>
            </w:tcMar>
          </w:tcPr>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F0"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tc>
      </w:tr>
      <w:tr>
        <w:trPr/>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1</w:t>
            </w:r>
          </w:p>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108" w:type="dxa"/>
            </w:tcMar>
          </w:tcPr>
          <w:p>
            <w:pPr>
              <w:pStyle w:val="Normal"/>
              <w:jc w:val="center"/>
              <w:rPr>
                <w:rFonts w:ascii="Arial" w:hAnsi="Arial" w:cs="Arial"/>
              </w:rPr>
            </w:pPr>
            <w:r>
              <w:rPr>
                <w:rFonts w:cs="Arial" w:ascii="Arial" w:hAnsi="Arial"/>
              </w:rPr>
              <w:t>7</w:t>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108" w:type="dxa"/>
            </w:tcMar>
          </w:tcPr>
          <w:p>
            <w:pPr>
              <w:pStyle w:val="Normal"/>
              <w:jc w:val="center"/>
              <w:rPr>
                <w:rFonts w:ascii="Arial" w:hAnsi="Arial" w:cs="Arial"/>
              </w:rPr>
            </w:pPr>
            <w:r>
              <w:rPr>
                <w:rFonts w:cs="Arial" w:ascii="Arial" w:hAnsi="Arial"/>
              </w:rPr>
              <w:t>3</w:t>
            </w:r>
          </w:p>
        </w:tc>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108" w:type="dxa"/>
            </w:tcMar>
          </w:tcPr>
          <w:p>
            <w:pPr>
              <w:pStyle w:val="Normal"/>
              <w:jc w:val="center"/>
              <w:rPr>
                <w:rFonts w:ascii="Arial" w:hAnsi="Arial" w:cs="Arial"/>
              </w:rPr>
            </w:pPr>
            <w:r>
              <w:rPr>
                <w:rFonts w:cs="Arial" w:ascii="Arial" w:hAnsi="Arial"/>
              </w:rPr>
              <w:t>5</w:t>
            </w:r>
          </w:p>
        </w:tc>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108" w:type="dxa"/>
            </w:tcMar>
          </w:tcPr>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tc>
      </w:tr>
      <w:tr>
        <w:trPr/>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1</w:t>
            </w:r>
          </w:p>
          <w:p>
            <w:pPr>
              <w:pStyle w:val="Normal"/>
              <w:jc w:val="center"/>
              <w:rPr>
                <w:rFonts w:ascii="Arial" w:hAnsi="Arial" w:cs="Arial"/>
              </w:rPr>
            </w:pPr>
            <w:r>
              <w:rPr>
                <w:rFonts w:cs="Arial" w:ascii="Arial" w:hAnsi="Arial"/>
              </w:rP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2</w:t>
            </w:r>
          </w:p>
          <w:p>
            <w:pPr>
              <w:pStyle w:val="Normal"/>
              <w:jc w:val="center"/>
              <w:rPr>
                <w:rFonts w:ascii="Arial" w:hAnsi="Arial" w:cs="Arial"/>
              </w:rPr>
            </w:pPr>
            <w:r>
              <w:rPr>
                <w:rFonts w:cs="Arial" w:ascii="Arial" w:hAnsi="Arial"/>
              </w:rPr>
            </w:r>
          </w:p>
        </w:tc>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3</w:t>
            </w:r>
          </w:p>
        </w:tc>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4</w:t>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5</w:t>
            </w:r>
          </w:p>
        </w:tc>
      </w:tr>
      <w:tr>
        <w:trPr/>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rPr>
            </w:pPr>
            <w:r>
              <w:rPr>
                <w:rFonts w:cs="Arial" w:ascii="Arial" w:hAnsi="Arial"/>
              </w:rPr>
            </w:r>
          </w:p>
        </w:tc>
        <w:tc>
          <w:tcPr>
            <w:tcW w:w="730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t>Likelihood</w:t>
            </w:r>
          </w:p>
          <w:p>
            <w:pPr>
              <w:pStyle w:val="Normal"/>
              <w:jc w:val="center"/>
              <w:rPr>
                <w:rFonts w:ascii="Arial" w:hAnsi="Arial" w:cs="Arial"/>
                <w:b/>
                <w:b/>
              </w:rPr>
            </w:pPr>
            <w:r>
              <w:rPr>
                <w:rFonts w:cs="Arial" w:ascii="Arial" w:hAnsi="Arial"/>
                <w:b/>
              </w:rPr>
            </w:r>
          </w:p>
        </w:tc>
      </w:tr>
    </w:tbl>
    <w:p>
      <w:pPr>
        <w:pStyle w:val="Normal"/>
        <w:spacing w:lineRule="auto" w:line="276" w:before="0" w:after="200"/>
        <w:rPr>
          <w:rFonts w:ascii="Arial" w:hAnsi="Arial" w:cs="Arial"/>
          <w:szCs w:val="20"/>
        </w:rPr>
      </w:pPr>
      <w:r>
        <w:rPr>
          <w:rFonts w:cs="Arial" w:ascii="Arial" w:hAnsi="Arial"/>
          <w:szCs w:val="20"/>
        </w:rPr>
      </w:r>
    </w:p>
    <w:p>
      <w:pPr>
        <w:pStyle w:val="Normal"/>
        <w:spacing w:lineRule="auto" w:line="276" w:before="0" w:after="200"/>
        <w:rPr>
          <w:rFonts w:ascii="Arial" w:hAnsi="Arial" w:cs="Arial"/>
          <w:b/>
          <w:b/>
          <w:sz w:val="18"/>
          <w:szCs w:val="18"/>
        </w:rPr>
      </w:pPr>
      <w:r>
        <w:rPr/>
      </w:r>
    </w:p>
    <w:sectPr>
      <w:headerReference w:type="default" r:id="rId8"/>
      <w:footerReference w:type="default" r:id="rId9"/>
      <w:footnotePr>
        <w:numFmt w:val="decimal"/>
      </w:footnotePr>
      <w:type w:val="nextPage"/>
      <w:pgSz w:orient="landscape" w:w="16838" w:h="11906"/>
      <w:pgMar w:left="1440" w:right="1440" w:header="709" w:top="1440" w:footer="709"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Arial Bold">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6197988"/>
    </w:sdtPr>
    <w:sdtContent>
      <w:p>
        <w:pPr>
          <w:pStyle w:val="Footer"/>
          <w:jc w:val="right"/>
          <w:rPr/>
        </w:pPr>
        <w:r>
          <w:rPr/>
          <w:t xml:space="preserve">  </w:t>
        </w:r>
        <w:r>
          <w:rPr/>
          <w:fldChar w:fldCharType="begin"/>
        </w:r>
        <w:r>
          <w:instrText> PAGE </w:instrText>
        </w:r>
        <w:r>
          <w:fldChar w:fldCharType="separate"/>
        </w:r>
        <w:r>
          <w:t>3</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64848004"/>
    </w:sdtPr>
    <w:sdtContent>
      <w:p>
        <w:pPr>
          <w:pStyle w:val="Footer"/>
          <w:jc w:val="right"/>
          <w:rPr/>
        </w:pPr>
        <w:r>
          <w:rPr/>
          <w:t xml:space="preserve">  </w:t>
        </w:r>
        <w:r>
          <w:rPr/>
          <w:fldChar w:fldCharType="begin"/>
        </w:r>
        <w:r>
          <w:instrText> PAGE </w:instrText>
        </w:r>
        <w:r>
          <w:fldChar w:fldCharType="separate"/>
        </w:r>
        <w:r>
          <w:t>5</w:t>
        </w:r>
        <w: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2448355"/>
    </w:sdtPr>
    <w:sdtContent>
      <w:p>
        <w:pPr>
          <w:pStyle w:val="Footer"/>
          <w:jc w:val="right"/>
          <w:rPr/>
        </w:pPr>
        <w:r>
          <w:rPr/>
          <w:t xml:space="preserve">  </w:t>
        </w:r>
        <w:r>
          <w:rPr/>
          <w:fldChar w:fldCharType="begin"/>
        </w:r>
        <w:r>
          <w:instrText> PAGE </w:instrText>
        </w:r>
        <w:r>
          <w:fldChar w:fldCharType="separate"/>
        </w:r>
        <w:r>
          <w:t>6</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er"/>
        <w:numPr>
          <w:ilvl w:val="0"/>
          <w:numId w:val="1"/>
        </w:numPr>
        <w:rPr>
          <w:rFonts w:ascii="Arial" w:hAnsi="Arial" w:cs="Arial"/>
          <w:sz w:val="16"/>
          <w:szCs w:val="16"/>
        </w:rPr>
      </w:pPr>
      <w:r>
        <w:rPr>
          <w:rStyle w:val="Footnotereference"/>
          <w:rFonts w:cs="Arial" w:ascii="Arial" w:hAnsi="Arial"/>
          <w:sz w:val="16"/>
          <w:szCs w:val="16"/>
        </w:rPr>
        <w:footnoteRef/>
        <w:tab/>
      </w:r>
      <w:r>
        <w:rPr>
          <w:rFonts w:cs="Arial" w:ascii="Arial" w:hAnsi="Arial"/>
          <w:sz w:val="16"/>
          <w:szCs w:val="16"/>
        </w:rPr>
        <w:t xml:space="preserve"> </w:t>
      </w:r>
      <w:r>
        <w:rPr>
          <w:rFonts w:cs="Arial" w:ascii="Arial" w:hAnsi="Arial"/>
          <w:sz w:val="16"/>
          <w:szCs w:val="16"/>
        </w:rPr>
        <w:t>AS/NZS ISO 31000:2009 – Risk management – principles and guidelines</w:t>
      </w:r>
    </w:p>
    <w:p>
      <w:pPr>
        <w:pStyle w:val="Footnotetext"/>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3"/>
      <w:numFmt w:val="decimal"/>
      <w:lvlText w:val="%1.%2"/>
      <w:lvlJc w:val="left"/>
      <w:pPr>
        <w:ind w:left="720" w:hanging="360"/>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1080" w:hanging="720"/>
      </w:pPr>
      <w:rPr>
        <w:rFonts w:cs="Times New Roman"/>
      </w:rPr>
    </w:lvl>
    <w:lvl w:ilvl="4">
      <w:start w:val="1"/>
      <w:numFmt w:val="decimal"/>
      <w:lvlText w:val="%1.%2.%3.%4.%5"/>
      <w:lvlJc w:val="left"/>
      <w:pPr>
        <w:ind w:left="1080" w:hanging="720"/>
      </w:pPr>
      <w:rPr>
        <w:rFonts w:cs="Times New Roman"/>
      </w:rPr>
    </w:lvl>
    <w:lvl w:ilvl="5">
      <w:start w:val="1"/>
      <w:numFmt w:val="decimal"/>
      <w:lvlText w:val="%1.%2.%3.%4.%5.%6"/>
      <w:lvlJc w:val="left"/>
      <w:pPr>
        <w:ind w:left="1440" w:hanging="1080"/>
      </w:pPr>
      <w:rPr>
        <w:rFonts w:cs="Times New Roman"/>
      </w:rPr>
    </w:lvl>
    <w:lvl w:ilvl="6">
      <w:start w:val="1"/>
      <w:numFmt w:val="decimal"/>
      <w:lvlText w:val="%1.%2.%3.%4.%5.%6.%7"/>
      <w:lvlJc w:val="left"/>
      <w:pPr>
        <w:ind w:left="1440" w:hanging="1080"/>
      </w:pPr>
      <w:rPr>
        <w:rFonts w:cs="Times New Roman"/>
      </w:rPr>
    </w:lvl>
    <w:lvl w:ilvl="7">
      <w:start w:val="1"/>
      <w:numFmt w:val="decimal"/>
      <w:lvlText w:val="%1.%2.%3.%4.%5.%6.%7.%8"/>
      <w:lvlJc w:val="left"/>
      <w:pPr>
        <w:ind w:left="1800" w:hanging="1440"/>
      </w:pPr>
      <w:rPr>
        <w:rFonts w:cs="Times New Roman"/>
      </w:rPr>
    </w:lvl>
    <w:lvl w:ilvl="8">
      <w:start w:val="1"/>
      <w:numFmt w:val="decimal"/>
      <w:lvlText w:val="%1.%2.%3.%4.%5.%6.%7.%8.%9"/>
      <w:lvlJc w:val="left"/>
      <w:pPr>
        <w:ind w:left="1800" w:hanging="1440"/>
      </w:pPr>
      <w:rPr>
        <w:rFonts w:cs="Times New Roman"/>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footnotePr>
    <w:numFmt w:val="decimal"/>
    <w:footnote w:id="0"/>
    <w:footnote w:id="1"/>
  </w:footnotePr>
  <w:compat/>
  <w:themeFontLang w:val="en-NZ"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NZ"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045f"/>
    <w:pPr>
      <w:widowControl/>
      <w:bidi w:val="0"/>
      <w:spacing w:lineRule="auto" w:line="240" w:before="0" w:after="0"/>
      <w:jc w:val="left"/>
    </w:pPr>
    <w:rPr>
      <w:rFonts w:ascii="Georgia" w:hAnsi="Georgia" w:eastAsia="Times New Roman" w:cs="Times New Roman"/>
      <w:color w:val="auto"/>
      <w:kern w:val="0"/>
      <w:sz w:val="20"/>
      <w:szCs w:val="24"/>
      <w:lang w:val="en-GB" w:eastAsia="en-GB" w:bidi="ar-SA"/>
    </w:rPr>
  </w:style>
  <w:style w:type="paragraph" w:styleId="Heading1">
    <w:name w:val="Heading 1"/>
    <w:basedOn w:val="Normal"/>
    <w:next w:val="Normal"/>
    <w:link w:val="Heading1Char"/>
    <w:qFormat/>
    <w:rsid w:val="0015045f"/>
    <w:pPr>
      <w:spacing w:before="120" w:after="480"/>
      <w:jc w:val="center"/>
      <w:outlineLvl w:val="0"/>
    </w:pPr>
    <w:rPr>
      <w:rFonts w:ascii="Arial Bold" w:hAnsi="Arial Bold"/>
      <w:b/>
      <w:color w:val="004730"/>
      <w:sz w:val="28"/>
    </w:rPr>
  </w:style>
  <w:style w:type="paragraph" w:styleId="Heading3">
    <w:name w:val="Heading 3"/>
    <w:basedOn w:val="Normal"/>
    <w:next w:val="Normal"/>
    <w:link w:val="Heading3Char"/>
    <w:qFormat/>
    <w:rsid w:val="0015045f"/>
    <w:pPr>
      <w:keepNext w:val="true"/>
      <w:spacing w:before="240" w:after="120"/>
      <w:outlineLvl w:val="2"/>
    </w:pPr>
    <w:rPr>
      <w:rFonts w:cs="Arial"/>
      <w:b/>
      <w:bCs/>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15045f"/>
    <w:rPr>
      <w:rFonts w:ascii="Arial Bold" w:hAnsi="Arial Bold" w:eastAsia="Times New Roman" w:cs="Times New Roman"/>
      <w:b/>
      <w:color w:val="004730"/>
      <w:sz w:val="28"/>
      <w:szCs w:val="24"/>
      <w:lang w:val="en-GB" w:eastAsia="en-GB"/>
    </w:rPr>
  </w:style>
  <w:style w:type="character" w:styleId="Heading3Char" w:customStyle="1">
    <w:name w:val="Heading 3 Char"/>
    <w:basedOn w:val="DefaultParagraphFont"/>
    <w:link w:val="Heading3"/>
    <w:qFormat/>
    <w:rsid w:val="0015045f"/>
    <w:rPr>
      <w:rFonts w:ascii="Georgia" w:hAnsi="Georgia" w:eastAsia="Times New Roman" w:cs="Arial"/>
      <w:b/>
      <w:bCs/>
      <w:sz w:val="20"/>
      <w:szCs w:val="26"/>
      <w:lang w:val="en-GB" w:eastAsia="en-GB"/>
    </w:rPr>
  </w:style>
  <w:style w:type="character" w:styleId="BodyTextChar" w:customStyle="1">
    <w:name w:val="Body Text Char"/>
    <w:basedOn w:val="DefaultParagraphFont"/>
    <w:link w:val="BodyText"/>
    <w:qFormat/>
    <w:rsid w:val="0015045f"/>
    <w:rPr>
      <w:rFonts w:ascii="Georgia" w:hAnsi="Georgia" w:eastAsia="Times New Roman" w:cs="Times New Roman"/>
      <w:sz w:val="20"/>
      <w:szCs w:val="24"/>
      <w:lang w:val="en-GB" w:eastAsia="en-GB"/>
    </w:rPr>
  </w:style>
  <w:style w:type="character" w:styleId="TableEntryChar" w:customStyle="1">
    <w:name w:val="Table Entry Char"/>
    <w:basedOn w:val="DefaultParagraphFont"/>
    <w:link w:val="TableEntry"/>
    <w:qFormat/>
    <w:rsid w:val="0015045f"/>
    <w:rPr>
      <w:rFonts w:ascii="Georgia" w:hAnsi="Georgia" w:eastAsia="Times" w:cs="Times New Roman"/>
      <w:sz w:val="18"/>
      <w:szCs w:val="18"/>
      <w:lang w:eastAsia="en-US"/>
    </w:rPr>
  </w:style>
  <w:style w:type="character" w:styleId="BodyTextUnderlineCharChar" w:customStyle="1">
    <w:name w:val="Body Text Underline Char Char"/>
    <w:basedOn w:val="BodyTextChar"/>
    <w:link w:val="BodyTextUnderline"/>
    <w:qFormat/>
    <w:rsid w:val="0015045f"/>
    <w:rPr>
      <w:iCs/>
      <w:u w:val="single"/>
    </w:rPr>
  </w:style>
  <w:style w:type="character" w:styleId="TableColumnHeadingBoldChar" w:customStyle="1">
    <w:name w:val="Table Column Heading Bold Char"/>
    <w:basedOn w:val="DefaultParagraphFont"/>
    <w:link w:val="TableColumnHeadingBold"/>
    <w:qFormat/>
    <w:rsid w:val="0015045f"/>
    <w:rPr>
      <w:rFonts w:ascii="Georgia" w:hAnsi="Georgia" w:eastAsia="Times New Roman" w:cs="Times New Roman"/>
      <w:color w:val="FFFFFF"/>
      <w:sz w:val="20"/>
      <w:szCs w:val="20"/>
      <w:lang w:eastAsia="en-US"/>
    </w:rPr>
  </w:style>
  <w:style w:type="character" w:styleId="BalloonTextChar" w:customStyle="1">
    <w:name w:val="Balloon Text Char"/>
    <w:basedOn w:val="DefaultParagraphFont"/>
    <w:link w:val="BalloonText"/>
    <w:uiPriority w:val="99"/>
    <w:semiHidden/>
    <w:qFormat/>
    <w:rsid w:val="0015045f"/>
    <w:rPr>
      <w:rFonts w:ascii="Tahoma" w:hAnsi="Tahoma" w:eastAsia="Times New Roman" w:cs="Tahoma"/>
      <w:sz w:val="16"/>
      <w:szCs w:val="16"/>
      <w:lang w:val="en-GB" w:eastAsia="en-GB"/>
    </w:rPr>
  </w:style>
  <w:style w:type="character" w:styleId="TableColumnHeadingCharChar" w:customStyle="1">
    <w:name w:val="Table Column Heading Char Char"/>
    <w:basedOn w:val="TableEntryChar"/>
    <w:link w:val="TableColumnHeading"/>
    <w:qFormat/>
    <w:rsid w:val="0015045f"/>
    <w:rPr>
      <w:b/>
    </w:rPr>
  </w:style>
  <w:style w:type="character" w:styleId="HeaderChar" w:customStyle="1">
    <w:name w:val="Header Char"/>
    <w:basedOn w:val="DefaultParagraphFont"/>
    <w:link w:val="Header"/>
    <w:uiPriority w:val="99"/>
    <w:semiHidden/>
    <w:qFormat/>
    <w:rsid w:val="00332e1e"/>
    <w:rPr>
      <w:rFonts w:ascii="Georgia" w:hAnsi="Georgia" w:eastAsia="Times New Roman" w:cs="Times New Roman"/>
      <w:sz w:val="20"/>
      <w:szCs w:val="24"/>
      <w:lang w:val="en-GB" w:eastAsia="en-GB"/>
    </w:rPr>
  </w:style>
  <w:style w:type="character" w:styleId="FooterChar" w:customStyle="1">
    <w:name w:val="Footer Char"/>
    <w:basedOn w:val="DefaultParagraphFont"/>
    <w:link w:val="Footer"/>
    <w:uiPriority w:val="99"/>
    <w:qFormat/>
    <w:rsid w:val="00332e1e"/>
    <w:rPr>
      <w:rFonts w:ascii="Georgia" w:hAnsi="Georgia" w:eastAsia="Times New Roman" w:cs="Times New Roman"/>
      <w:sz w:val="20"/>
      <w:szCs w:val="24"/>
      <w:lang w:val="en-GB" w:eastAsia="en-GB"/>
    </w:rPr>
  </w:style>
  <w:style w:type="character" w:styleId="Emphasis">
    <w:name w:val="Emphasis"/>
    <w:basedOn w:val="DefaultParagraphFont"/>
    <w:uiPriority w:val="20"/>
    <w:qFormat/>
    <w:rsid w:val="007f754f"/>
    <w:rPr>
      <w:i/>
      <w:iCs/>
    </w:rPr>
  </w:style>
  <w:style w:type="character" w:styleId="FootnoteTextChar" w:customStyle="1">
    <w:name w:val="Footnote Text Char"/>
    <w:basedOn w:val="DefaultParagraphFont"/>
    <w:link w:val="FootnoteText"/>
    <w:uiPriority w:val="99"/>
    <w:semiHidden/>
    <w:qFormat/>
    <w:rsid w:val="00696dd4"/>
    <w:rPr>
      <w:rFonts w:ascii="Georgia" w:hAnsi="Georgia" w:eastAsia="Times New Roman" w:cs="Times New Roman"/>
      <w:sz w:val="20"/>
      <w:szCs w:val="20"/>
      <w:lang w:val="en-GB" w:eastAsia="en-GB"/>
    </w:rPr>
  </w:style>
  <w:style w:type="character" w:styleId="Footnotereference">
    <w:name w:val="footnote reference"/>
    <w:basedOn w:val="DefaultParagraphFont"/>
    <w:uiPriority w:val="99"/>
    <w:semiHidden/>
    <w:unhideWhenUsed/>
    <w:qFormat/>
    <w:rsid w:val="00696dd4"/>
    <w:rPr>
      <w:vertAlign w:val="superscript"/>
    </w:rPr>
  </w:style>
  <w:style w:type="character" w:styleId="InternetLink">
    <w:name w:val="Internet Link"/>
    <w:basedOn w:val="DefaultParagraphFont"/>
    <w:uiPriority w:val="99"/>
    <w:unhideWhenUsed/>
    <w:rsid w:val="00696dd4"/>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ascii="Arial" w:hAnsi="Arial" w:cs="Symbol"/>
      <w:sz w:val="18"/>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 PL SungtiL GB" w:cs="Lucida Sans"/>
      <w:sz w:val="28"/>
      <w:szCs w:val="28"/>
    </w:rPr>
  </w:style>
  <w:style w:type="paragraph" w:styleId="TextBody">
    <w:name w:val="Body Text"/>
    <w:basedOn w:val="Normal"/>
    <w:link w:val="BodyTextChar"/>
    <w:rsid w:val="0015045f"/>
    <w:pPr>
      <w:spacing w:lineRule="auto" w:line="360" w:before="60" w:after="60"/>
      <w:jc w:val="both"/>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Entry" w:customStyle="1">
    <w:name w:val="Table Entry"/>
    <w:basedOn w:val="Normal"/>
    <w:link w:val="TableEntryChar"/>
    <w:qFormat/>
    <w:rsid w:val="0015045f"/>
    <w:pPr>
      <w:spacing w:before="40" w:after="40"/>
    </w:pPr>
    <w:rPr>
      <w:rFonts w:eastAsia="Times"/>
      <w:sz w:val="18"/>
      <w:szCs w:val="18"/>
      <w:lang w:val="en-NZ" w:eastAsia="en-US"/>
    </w:rPr>
  </w:style>
  <w:style w:type="paragraph" w:styleId="TableColumnHeadingBold" w:customStyle="1">
    <w:name w:val="Table Column Heading Bold"/>
    <w:basedOn w:val="Normal"/>
    <w:link w:val="TableColumnHeadingBoldChar"/>
    <w:qFormat/>
    <w:rsid w:val="0015045f"/>
    <w:pPr>
      <w:spacing w:before="40" w:after="40"/>
    </w:pPr>
    <w:rPr>
      <w:color w:val="FFFFFF"/>
      <w:szCs w:val="20"/>
      <w:lang w:val="en-NZ" w:eastAsia="en-US"/>
    </w:rPr>
  </w:style>
  <w:style w:type="paragraph" w:styleId="BodyTextUnderline" w:customStyle="1">
    <w:name w:val="Body Text Underline"/>
    <w:basedOn w:val="TextBody"/>
    <w:link w:val="BodyTextUnderlineCharChar"/>
    <w:qFormat/>
    <w:rsid w:val="0015045f"/>
    <w:pPr/>
    <w:rPr>
      <w:iCs/>
      <w:u w:val="single"/>
    </w:rPr>
  </w:style>
  <w:style w:type="paragraph" w:styleId="Logo" w:customStyle="1">
    <w:name w:val="Logo"/>
    <w:basedOn w:val="Heading1"/>
    <w:qFormat/>
    <w:rsid w:val="0015045f"/>
    <w:pPr/>
    <w:rPr>
      <w:bCs/>
      <w:color w:val="00000A"/>
      <w:szCs w:val="20"/>
    </w:rPr>
  </w:style>
  <w:style w:type="paragraph" w:styleId="BalloonText">
    <w:name w:val="Balloon Text"/>
    <w:basedOn w:val="Normal"/>
    <w:link w:val="BalloonTextChar"/>
    <w:uiPriority w:val="99"/>
    <w:semiHidden/>
    <w:unhideWhenUsed/>
    <w:qFormat/>
    <w:rsid w:val="0015045f"/>
    <w:pPr/>
    <w:rPr>
      <w:rFonts w:ascii="Tahoma" w:hAnsi="Tahoma" w:cs="Tahoma"/>
      <w:sz w:val="16"/>
      <w:szCs w:val="16"/>
    </w:rPr>
  </w:style>
  <w:style w:type="paragraph" w:styleId="TableColumnHeading" w:customStyle="1">
    <w:name w:val="Table Column Heading"/>
    <w:basedOn w:val="TableEntry"/>
    <w:link w:val="TableColumnHeadingCharChar"/>
    <w:qFormat/>
    <w:rsid w:val="0015045f"/>
    <w:pPr/>
    <w:rPr>
      <w:b/>
    </w:rPr>
  </w:style>
  <w:style w:type="paragraph" w:styleId="TableColumnHeading2" w:customStyle="1">
    <w:name w:val="Table Column Heading 2"/>
    <w:basedOn w:val="Normal"/>
    <w:qFormat/>
    <w:rsid w:val="0015045f"/>
    <w:pPr>
      <w:spacing w:before="60" w:after="60"/>
      <w:jc w:val="center"/>
    </w:pPr>
    <w:rPr>
      <w:b/>
      <w:bCs/>
      <w:sz w:val="16"/>
      <w:szCs w:val="20"/>
    </w:rPr>
  </w:style>
  <w:style w:type="paragraph" w:styleId="TableEntryItalic" w:customStyle="1">
    <w:name w:val="Table Entry Italic"/>
    <w:basedOn w:val="TableEntry"/>
    <w:qFormat/>
    <w:rsid w:val="0015045f"/>
    <w:pPr>
      <w:spacing w:before="120" w:after="60"/>
    </w:pPr>
    <w:rPr>
      <w:rFonts w:eastAsia="Times New Roman"/>
      <w:i/>
      <w:iCs/>
      <w:szCs w:val="20"/>
    </w:rPr>
  </w:style>
  <w:style w:type="paragraph" w:styleId="TableEntryBold" w:customStyle="1">
    <w:name w:val="Table Entry Bold"/>
    <w:basedOn w:val="TableEntry"/>
    <w:qFormat/>
    <w:rsid w:val="0015045f"/>
    <w:pPr/>
    <w:rPr>
      <w:b/>
      <w:bCs/>
    </w:rPr>
  </w:style>
  <w:style w:type="paragraph" w:styleId="Header">
    <w:name w:val="Header"/>
    <w:basedOn w:val="Normal"/>
    <w:link w:val="HeaderChar"/>
    <w:uiPriority w:val="99"/>
    <w:semiHidden/>
    <w:unhideWhenUsed/>
    <w:rsid w:val="00332e1e"/>
    <w:pPr>
      <w:tabs>
        <w:tab w:val="center" w:pos="4513" w:leader="none"/>
        <w:tab w:val="right" w:pos="9026" w:leader="none"/>
      </w:tabs>
    </w:pPr>
    <w:rPr/>
  </w:style>
  <w:style w:type="paragraph" w:styleId="Footer">
    <w:name w:val="Footer"/>
    <w:basedOn w:val="Normal"/>
    <w:link w:val="FooterChar"/>
    <w:uiPriority w:val="99"/>
    <w:unhideWhenUsed/>
    <w:rsid w:val="00332e1e"/>
    <w:pPr>
      <w:tabs>
        <w:tab w:val="center" w:pos="4513" w:leader="none"/>
        <w:tab w:val="right" w:pos="9026" w:leader="none"/>
      </w:tabs>
    </w:pPr>
    <w:rPr/>
  </w:style>
  <w:style w:type="paragraph" w:styleId="ListParagraph">
    <w:name w:val="List Paragraph"/>
    <w:basedOn w:val="Normal"/>
    <w:uiPriority w:val="34"/>
    <w:qFormat/>
    <w:rsid w:val="000d3f2a"/>
    <w:pPr>
      <w:spacing w:before="0" w:after="0"/>
      <w:ind w:left="720" w:hanging="0"/>
      <w:contextualSpacing/>
    </w:pPr>
    <w:rPr/>
  </w:style>
  <w:style w:type="paragraph" w:styleId="NoSpacing">
    <w:name w:val="No Spacing"/>
    <w:uiPriority w:val="1"/>
    <w:qFormat/>
    <w:rsid w:val="009b0328"/>
    <w:pPr>
      <w:widowControl/>
      <w:bidi w:val="0"/>
      <w:spacing w:lineRule="auto" w:line="240" w:before="0" w:after="0"/>
      <w:jc w:val="left"/>
    </w:pPr>
    <w:rPr>
      <w:rFonts w:ascii="Georgia" w:hAnsi="Georgia" w:eastAsia="Times New Roman" w:cs="Times New Roman"/>
      <w:color w:val="auto"/>
      <w:kern w:val="0"/>
      <w:sz w:val="20"/>
      <w:szCs w:val="24"/>
      <w:lang w:val="en-GB" w:eastAsia="en-GB" w:bidi="ar-SA"/>
    </w:rPr>
  </w:style>
  <w:style w:type="paragraph" w:styleId="Footnotetext">
    <w:name w:val="footnote text"/>
    <w:basedOn w:val="Normal"/>
    <w:link w:val="FootnoteTextChar"/>
    <w:uiPriority w:val="99"/>
    <w:semiHidden/>
    <w:unhideWhenUsed/>
    <w:qFormat/>
    <w:rsid w:val="00696dd4"/>
    <w:pPr/>
    <w:rPr>
      <w:szCs w:val="20"/>
    </w:rPr>
  </w:style>
  <w:style w:type="paragraph" w:styleId="Footnote">
    <w:name w:val="Footnote Text"/>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15045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fety@vuw.ac.nz"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BF236-7111-4782-B9E1-0BED31E6E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LibreOffice/5.4.4.2$Linux_X86_64 LibreOffice_project/2524958677847fb3bb44820e40380acbe820f960</Application>
  <Pages>6</Pages>
  <Words>1714</Words>
  <Characters>9098</Characters>
  <CharactersWithSpaces>10679</CharactersWithSpaces>
  <Paragraphs>197</Paragraphs>
  <Company>Victoria University of Wellington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2013-09-30T21:48:00Z</dcterms:created>
  <dc:creator>munnje</dc:creator>
  <dc:description/>
  <dc:language>en-NZ</dc:language>
  <cp:lastModifiedBy/>
  <cp:lastPrinted>2011-06-28T22:01:00Z</cp:lastPrinted>
  <dcterms:modified xsi:type="dcterms:W3CDTF">2018-03-21T11:27:20Z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Victoria University of Wellington</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