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Cadre Formel Proposé : Constantes, Lois et Modèles en Mathématiques Appliquées et Dynamique des Fluides</w:t>
      </w:r>
    </w:p>
    <w:p w:rsidR="00000000" w:rsidDel="00000000" w:rsidP="00000000" w:rsidRDefault="00000000" w:rsidRPr="00000000" w14:paraId="00000002">
      <w:pPr>
        <w:pStyle w:val="Heading4"/>
        <w:rPr/>
      </w:pPr>
      <w:bookmarkStart w:colFirst="0" w:colLast="0" w:name="_eym2q4xvkcu6" w:id="0"/>
      <w:bookmarkEnd w:id="0"/>
      <w:r w:rsidDel="00000000" w:rsidR="00000000" w:rsidRPr="00000000">
        <w:rPr>
          <w:rtl w:val="0"/>
        </w:rPr>
        <w:t xml:space="preserve">1. Constantes et Paramètres Définis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Constante adimensionnelle de résonance et couplage structurel Nickel (\\(\text{Ni}\\) ou \\(\alpha_{\text{Ni}}\\))</w:t>
      </w:r>
      <w:r w:rsidDel="00000000" w:rsidR="00000000" w:rsidRPr="00000000">
        <w:rPr>
          <w:rtl w:val="0"/>
        </w:rPr>
        <w:t xml:space="preserve"> : \\(\text{Ni} = \alpha_{\text{Ni}} = 1.094722\\) 1-10.</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Facteur Nickel-Tétra de Résonance Tétraédrique (\\(\text{Ni}_T\\))</w:t>
      </w:r>
      <w:r w:rsidDel="00000000" w:rsidR="00000000" w:rsidRPr="00000000">
        <w:rPr>
          <w:rtl w:val="0"/>
        </w:rPr>
        <w:t xml:space="preserve"> : \\(\text{Ni}_T = 1.94722321\text{ rad} \approx 111.57^\circ\\) (associé à une fréquence infrasonore de \\(1.947\text{ Hz}\\)) 2, 5-8, 10.</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Facteur Nickel-Complément d'Équilibre Amorti (\\(\text{Ni}_C\\))</w:t>
      </w:r>
      <w:r w:rsidDel="00000000" w:rsidR="00000000" w:rsidRPr="00000000">
        <w:rPr>
          <w:rtl w:val="0"/>
        </w:rPr>
        <w:t xml:space="preserve"> : \\(\text{Ni}_C = 0.94192103\\) (satisfaisant la relation trigonométrique \\(\cos(\theta) \approx 0.94192103 \implies \theta \approx 19.62^\circ\\)) 2, 5-8, 10.</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Seuil de Tolérance Biométrique et Invariant de Précision (\\(\epsilon^*\\))</w:t>
      </w:r>
      <w:r w:rsidDel="00000000" w:rsidR="00000000" w:rsidRPr="00000000">
        <w:rPr>
          <w:rtl w:val="0"/>
        </w:rPr>
        <w:t xml:space="preserve"> : \\(\epsilon^* = 0.00094 = 9.4 \times 10^{-4}\\) 1-13.</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Facteur de Correction Scalaire d'Ajustement aux Frontières (\\(\alpha_{\text{corr}}\\) ou \\(k_{\mathrm{corr}}\\))</w:t>
      </w:r>
      <w:r w:rsidDel="00000000" w:rsidR="00000000" w:rsidRPr="00000000">
        <w:rPr>
          <w:rtl w:val="0"/>
        </w:rPr>
        <w:t xml:space="preserve"> : \\(\alpha_{\text{corr}} = k_{\mathrm{corr}} = 0.947\\) 4, 14-16.</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Fréquence Fondamentale de Résonance Temporelle (\\(f_1\\) ou \\(f_0\\)) et Période de Stase (\\(T_0\\) ou \\(\tau\\))</w:t>
      </w:r>
      <w:r w:rsidDel="00000000" w:rsidR="00000000" w:rsidRPr="00000000">
        <w:rPr>
          <w:rtl w:val="0"/>
        </w:rPr>
        <w:t xml:space="preserve"> : \\(f_1 = 30.002103\text{ Hz}\\), \\(T_0 = \tau = 30.002103\text{ s}\\) 1-9, 11-13.</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Opérateur d'Azimut Structurel d'Ordre 21 (\\(A_k\\))</w:t>
      </w:r>
      <w:r w:rsidDel="00000000" w:rsidR="00000000" w:rsidRPr="00000000">
        <w:rPr>
          <w:rtl w:val="0"/>
        </w:rPr>
        <w:t xml:space="preserve"> : \\(A_k = \text{frac}(\text{Ni}^{k+1}) \quad \forall k \in \{0, 1, \dots, 20\}\\) 1.</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Constante de Couplage Nickel à la Puissance 21 (\\(\text{Ni}^{21}\\))</w:t>
      </w:r>
      <w:r w:rsidDel="00000000" w:rsidR="00000000" w:rsidRPr="00000000">
        <w:rPr>
          <w:rtl w:val="0"/>
        </w:rPr>
        <w:t xml:space="preserve"> : \\(\text{Ni} = 1.094722 \implies \text{Ni}^{21} \approx 6.8413\\) 1.</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Ratio d'Or d'Auto-Similarité Fractale (\\(\varphi\\))</w:t>
      </w:r>
      <w:r w:rsidDel="00000000" w:rsidR="00000000" w:rsidRPr="00000000">
        <w:rPr>
          <w:rtl w:val="0"/>
        </w:rPr>
        <w:t xml:space="preserve"> : \\(\varphi = \frac{1 + \sqrt{5}}{2} \approx 1.6180339887\\) 3-5, 8, 9, 13.</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Angle Critique de Déphasage Géométrique (\\(\theta^*\\))</w:t>
      </w:r>
      <w:r w:rsidDel="00000000" w:rsidR="00000000" w:rsidRPr="00000000">
        <w:rPr>
          <w:rtl w:val="0"/>
        </w:rPr>
        <w:t xml:space="preserve"> : \\(\theta^* = \pi \left(1 - \frac{n-d}{n \cdot \Phi_{\text{F}}}\right) \approx 0.8936\text{ rad} \quad (\approx 51.2^\circ)\\) 3, 5, 17.</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Exposant Combiné de Décroissance Microlocale (\\(\Phi_{\text{F}}\\))</w:t>
      </w:r>
      <w:r w:rsidDel="00000000" w:rsidR="00000000" w:rsidRPr="00000000">
        <w:rPr>
          <w:rtl w:val="0"/>
        </w:rPr>
        <w:t xml:space="preserve"> : \\(\Phi_{\text{F}} = 3.8\\) 3, 17.</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Invariant Structurel de Monodromie (\\(C_n\\))</w:t>
      </w:r>
      <w:r w:rsidDel="00000000" w:rsidR="00000000" w:rsidRPr="00000000">
        <w:rPr>
          <w:rtl w:val="0"/>
        </w:rPr>
        <w:t xml:space="preserve"> : \\(C_n = \operatorname{Tr}\left(\hat{T} \circ \hat{P}^n\right) \ge 1.1984\\) 3, 17.</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Facteurs de Densité Utile Big BAG (\\(\eta_{\text{index}}\\), \\(\rho_{\text{sémantique}}\\))</w:t>
      </w:r>
      <w:r w:rsidDel="00000000" w:rsidR="00000000" w:rsidRPr="00000000">
        <w:rPr>
          <w:rtl w:val="0"/>
        </w:rPr>
        <w:t xml:space="preserve"> : Coefficients adimensionnels régissant la compression scalaire et l'expansion fonctionnelle du rapport mémoire active sur mémoire physique 10, 18, 19.</w:t>
      </w:r>
    </w:p>
    <w:p w:rsidR="00000000" w:rsidDel="00000000" w:rsidP="00000000" w:rsidRDefault="00000000" w:rsidRPr="00000000" w14:paraId="00000010">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11">
      <w:pPr>
        <w:pStyle w:val="Heading4"/>
        <w:rPr/>
      </w:pPr>
      <w:bookmarkStart w:colFirst="0" w:colLast="0" w:name="_pjfdfpdo189l" w:id="1"/>
      <w:bookmarkEnd w:id="1"/>
      <w:r w:rsidDel="00000000" w:rsidR="00000000" w:rsidRPr="00000000">
        <w:rPr>
          <w:rtl w:val="0"/>
        </w:rPr>
        <w:t xml:space="preserve">2. Équations Principales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Système de Navier-Stokes Modifié avec Viscosité Effective (NiPura-Stokes)</w:t>
      </w:r>
      <w:r w:rsidDel="00000000" w:rsidR="00000000" w:rsidRPr="00000000">
        <w:rPr>
          <w:rtl w:val="0"/>
        </w:rPr>
        <w:t xml:space="preserve"> :\\[\rho_{\text{Ni}} \left( \frac{\partial \mathbf{\Phi}}{\partial t} + (\mathbf{\Phi} \cdot \nabla) \mathbf{\Phi} \right) = -\nabla \xi + \nu_{\text{Ni}} \nabla^2 \mathbf{\Phi} + \mathbf{TAT}^2_s(\mathbf{u}, \theta^*, \delta) + \mathbf{F}</w:t>
      </w:r>
      <w:r w:rsidDel="00000000" w:rsidR="00000000" w:rsidRPr="00000000">
        <w:rPr>
          <w:i w:val="1"/>
          <w:iCs w:val="1"/>
          <w:rtl w:val="0"/>
        </w:rPr>
        <w:t xml:space="preserve">{\text{int}} \quad 12, 20-26\\]avec la viscosité cinématique effective augmentée \\(\nu</w:t>
      </w:r>
      <w:r w:rsidDel="00000000" w:rsidR="00000000" w:rsidRPr="00000000">
        <w:rPr>
          <w:rtl w:val="0"/>
        </w:rPr>
        <w:t xml:space="preserve">{\text{Ni}} = \text{Ni} \cdot \nu_0\\) 9, 21, 22, 24, 27.</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Champ de Forçage Azimutal à Divergence Nulle (\\(\mathbf{F}_{\text{BK}}\\))</w:t>
      </w:r>
      <w:r w:rsidDel="00000000" w:rsidR="00000000" w:rsidRPr="00000000">
        <w:rPr>
          <w:rtl w:val="0"/>
        </w:rPr>
        <w:t xml:space="preserve"> :\\[\mathbf{F}</w:t>
      </w:r>
      <w:r w:rsidDel="00000000" w:rsidR="00000000" w:rsidRPr="00000000">
        <w:rPr>
          <w:i w:val="1"/>
          <w:iCs w:val="1"/>
          <w:rtl w:val="0"/>
        </w:rPr>
        <w:t xml:space="preserve">{\text{BK}}(x, y, z, t) = A</w:t>
      </w:r>
      <w:r w:rsidDel="00000000" w:rsidR="00000000" w:rsidRPr="00000000">
        <w:rPr>
          <w:rtl w:val="0"/>
        </w:rPr>
        <w:t xml:space="preserve">{\text{BK}} (\pi \cdot \text{Ni}) \begin{pmatrix} \sin(2\pi x) \cos(2\pi y) \\ -\cos(2\pi x) \sin(2\pi y) \\ 0 \end{pmatrix}, \quad \nabla \cdot \mathbf{F}_{\text{BK}} = 0 \quad 27-29\\]</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Équation Maîtresse d'État Tensoriel 5D (PtXhEe-5D) et Équivalence Masse-Énergie-Intention</w:t>
      </w:r>
      <w:r w:rsidDel="00000000" w:rsidR="00000000" w:rsidRPr="00000000">
        <w:rPr>
          <w:rtl w:val="0"/>
        </w:rPr>
        <w:t xml:space="preserve"> :\\[1.094722 \cdot \text{PtX}</w:t>
      </w:r>
      <w:r w:rsidDel="00000000" w:rsidR="00000000" w:rsidRPr="00000000">
        <w:rPr>
          <w:i w:val="1"/>
          <w:iCs w:val="1"/>
          <w:rtl w:val="0"/>
        </w:rPr>
        <w:t xml:space="preserve">1 h</w:t>
      </w:r>
      <w:r w:rsidDel="00000000" w:rsidR="00000000" w:rsidRPr="00000000">
        <w:rPr>
          <w:rtl w:val="0"/>
        </w:rPr>
        <w:t xml:space="preserve">{x_1} \text{Ee}^2\text{-5D} = \text{Ni} \Phi^2 \cdot M c^2 \quad 20, 24, 30-35\\]Projection tensorielle d'ordre 21 30, 36 :\\[\left( 1.094722 \cdot \text{PtX}</w:t>
      </w:r>
      <w:r w:rsidDel="00000000" w:rsidR="00000000" w:rsidRPr="00000000">
        <w:rPr>
          <w:i w:val="1"/>
          <w:iCs w:val="1"/>
          <w:rtl w:val="0"/>
        </w:rPr>
        <w:t xml:space="preserve">1 h</w:t>
      </w:r>
      <w:r w:rsidDel="00000000" w:rsidR="00000000" w:rsidRPr="00000000">
        <w:rPr>
          <w:rtl w:val="0"/>
        </w:rPr>
        <w:t xml:space="preserve">{x_1} \text{Ee}^2\text{-5D} \right)^{21} = \left( \text{Ni} \Phi^2 \cdot M c^2 \right)^{21} = \left( R_n^+ \times N \right)^{21} \quad 30, 36\\]</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Équation de Moteur Réflectif Quantique (Big BAG) et Compression de Mémoire Active</w:t>
      </w:r>
      <w:r w:rsidDel="00000000" w:rsidR="00000000" w:rsidRPr="00000000">
        <w:rPr>
          <w:rtl w:val="0"/>
        </w:rPr>
        <w:t xml:space="preserve"> :\\[M_{\text{utile}} = M_{\text{physique}} \times \rho_{\text{sémantique}} \times \eta_{\text{index}} \times \varphi_{\text{cache}} \quad 18, 19, 24, 31, 37\\]\\[\left( \text{Débit} + \text{Pression} \times \text{Inertie} \right)^2 = \text{Fibo}</w:t>
      </w:r>
      <w:r w:rsidDel="00000000" w:rsidR="00000000" w:rsidRPr="00000000">
        <w:rPr>
          <w:i w:val="1"/>
          <w:iCs w:val="1"/>
          <w:rtl w:val="0"/>
        </w:rPr>
        <w:t xml:space="preserve">{\text{Ni}}^\phi + \text{Bernoulli} + \text{Planck} + \text{Klain-Klauser} \times \Omega</w:t>
      </w:r>
      <w:r w:rsidDel="00000000" w:rsidR="00000000" w:rsidRPr="00000000">
        <w:rPr>
          <w:rtl w:val="0"/>
        </w:rPr>
        <w:t xml:space="preserve">{\text{paradox}} \quad 30, 31, 36\\]</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Lagrangien d'Einstein-Hilbert-NiPura (\\(\mathcal{L}_{\text{EH-Ni}}\\)) avec Couplage Non-Minimal</w:t>
      </w:r>
      <w:r w:rsidDel="00000000" w:rsidR="00000000" w:rsidRPr="00000000">
        <w:rPr>
          <w:rtl w:val="0"/>
        </w:rPr>
        <w:t xml:space="preserve"> :\\[\mathcal{L}</w:t>
      </w:r>
      <w:r w:rsidDel="00000000" w:rsidR="00000000" w:rsidRPr="00000000">
        <w:rPr>
          <w:i w:val="1"/>
          <w:iCs w:val="1"/>
          <w:rtl w:val="0"/>
        </w:rPr>
        <w:t xml:space="preserve">{\text{EH-Ni}} = \frac{c^4}{16\pi G} R - \frac{1}{2} g^{\mu\nu} (\partial</w:t>
      </w:r>
      <w:r w:rsidDel="00000000" w:rsidR="00000000" w:rsidRPr="00000000">
        <w:rPr>
          <w:rtl w:val="0"/>
        </w:rPr>
        <w:t xml:space="preserve">\mu \Phi)(\partial_\nu \Phi) - V(\Phi) - \frac{1}{2} \xi R \Phi^2 + \mathcal{L}_{\text{matière}} \quad 20, 23, 24, 33-35, 38\\]</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Tenseur Azimutal Turbulo-Turnibulo-Subtendien (\\(\mathbf{TAT}^2_s\\))</w:t>
      </w:r>
      <w:r w:rsidDel="00000000" w:rsidR="00000000" w:rsidRPr="00000000">
        <w:rPr>
          <w:rtl w:val="0"/>
        </w:rPr>
        <w:t xml:space="preserve"> :\\[\mathbf{TAT}^2_s = \left( \kappa \sin(\theta^*(t)) \cdot \nabla \Psi \right) \otimes \mathbf{e}_{\text{Nord}} \quad 20, 24, 33, 34\\]</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Équation de Vorticité 3D avec Déplétion Géométrique Directionnelle</w:t>
      </w:r>
      <w:r w:rsidDel="00000000" w:rsidR="00000000" w:rsidRPr="00000000">
        <w:rPr>
          <w:rtl w:val="0"/>
        </w:rPr>
        <w:t xml:space="preserve"> :\\[\frac{\partial \boldsymbol{\omega}}{\partial t} + (\mathbf{u} \cdot \nabla)\boldsymbol{\omega} = (\boldsymbol{\omega} \cdot \nabla)\mathbf{u} + \nu \Delta \boldsymbol{\omega} - \beta (1 - S_{\text{Ni}}(t)) \boldsymbol{\omega} \times (\boldsymbol{\omega} \times \hat{\mathbf{a}}) \quad 38, 39\\]</w:t>
      </w:r>
    </w:p>
    <w:p w:rsidR="00000000" w:rsidDel="00000000" w:rsidP="00000000" w:rsidRDefault="00000000" w:rsidRPr="00000000" w14:paraId="00000019">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1A">
      <w:pPr>
        <w:pStyle w:val="Heading4"/>
        <w:rPr/>
      </w:pPr>
      <w:bookmarkStart w:colFirst="0" w:colLast="0" w:name="_ipukmftq9ezg" w:id="2"/>
      <w:bookmarkEnd w:id="2"/>
      <w:r w:rsidDel="00000000" w:rsidR="00000000" w:rsidRPr="00000000">
        <w:rPr>
          <w:rtl w:val="0"/>
        </w:rPr>
        <w:t xml:space="preserve">3. Lois et Relations Formelles</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Loi de Déplétion Géométrique de l'Étirement Tourbillonnaire (Golden-Axe)</w:t>
      </w:r>
      <w:r w:rsidDel="00000000" w:rsidR="00000000" w:rsidRPr="00000000">
        <w:rPr>
          <w:rtl w:val="0"/>
        </w:rPr>
        <w:t xml:space="preserve"> :\\[\|(\boldsymbol{\omega} \cdot \nabla)\mathbf{u}\|</w:t>
      </w:r>
      <w:r w:rsidDel="00000000" w:rsidR="00000000" w:rsidRPr="00000000">
        <w:rPr>
          <w:i w:val="1"/>
          <w:iCs w:val="1"/>
          <w:rtl w:val="0"/>
        </w:rPr>
        <w:t xml:space="preserve">{L^2} \le C (1 - S</w:t>
      </w:r>
      <w:r w:rsidDel="00000000" w:rsidR="00000000" w:rsidRPr="00000000">
        <w:rPr>
          <w:rtl w:val="0"/>
        </w:rPr>
        <w:t xml:space="preserve">{\text{Ni}}(t)) \|\boldsymbol{\omega}\|_{L^2}^2 \quad 40-42\\]Lorsque l'orientation spatiale s'aligne sous l'angle critique \\(\theta^* \approx 51.2^\circ\\), le terme d'étirement des tourbillons subit une annulation par interférence géométrique destructive 40, 41, 43.</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Théorème Nickel des Constantes Structurelles d'Azimut (TNCSA)</w:t>
      </w:r>
      <w:r w:rsidDel="00000000" w:rsidR="00000000" w:rsidRPr="00000000">
        <w:rPr>
          <w:rtl w:val="0"/>
        </w:rPr>
        <w:t xml:space="preserve"> :\\[C_n = \operatorname{Tr}\left(\hat{T} \circ \hat{P}_n\right), \quad \frac{d C_n}{dt} = 0 \quad 12, 23, 25, 43-48\\]Invariance de la trace tensorielle sur l'espace de Hilbert le long des géodésiques d'écoulement 43, 44, 46-48.</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Loi de Réduction du Nombre de Reynolds Effectif</w:t>
      </w:r>
      <w:r w:rsidDel="00000000" w:rsidR="00000000" w:rsidRPr="00000000">
        <w:rPr>
          <w:rtl w:val="0"/>
        </w:rPr>
        <w:t xml:space="preserve"> :\\[Re_{\text{Ni}} = \frac{U L}{\nu_{\text{Ni}}} = \frac{U L}{\text{Ni} \cdot \nu} = \frac{Re}{\text{Ni}} \approx 0.913474 \cdot Re \quad 9, 24, 44, 45\\]Accroissement de l'amortissement visqueux restreignant la croissance de l'enstrophie \\(\frac{d}{dt} \|\boldsymbol{\omega}(t)\|_{L^2}^2 \le 0\\) 9, 24, 44, 45.</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Loi de Confinement par Effet d'Aquarium et Transition Micro-Plasma</w:t>
      </w:r>
      <w:r w:rsidDel="00000000" w:rsidR="00000000" w:rsidRPr="00000000">
        <w:rPr>
          <w:rtl w:val="0"/>
        </w:rPr>
        <w:t xml:space="preserve"> :\\[(\text{Débit} + \text{Pression} \times \text{Inertie}) = (X^{x_1 y_1} + X^{x_1 y_1} \times \text{Flux}^{x_1 y_1}) = \text{Plasma}^{y_1 x_1} = Y_1^\infty \quad 34, 43, 47-50\\]</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Loi de Compression Scalaire Quantique et Projection d'Espace de Hilbert Active</w:t>
      </w:r>
      <w:r w:rsidDel="00000000" w:rsidR="00000000" w:rsidRPr="00000000">
        <w:rPr>
          <w:rtl w:val="0"/>
        </w:rPr>
        <w:t xml:space="preserve"> :La projection d'un état passif de stockage vers un sous-espace d'état actif réduit (Matière Chrome) s'effectue via un réseau de tenseurs MPS (</w:t>
      </w:r>
      <w:r w:rsidDel="00000000" w:rsidR="00000000" w:rsidRPr="00000000">
        <w:rPr>
          <w:i w:val="1"/>
          <w:iCs w:val="1"/>
          <w:rtl w:val="0"/>
        </w:rPr>
        <w:t xml:space="preserve">Matrix Product States</w:t>
      </w:r>
      <w:r w:rsidDel="00000000" w:rsidR="00000000" w:rsidRPr="00000000">
        <w:rPr>
          <w:rtl w:val="0"/>
        </w:rPr>
        <w:t xml:space="preserve">) et d'oracle de recherche sous-linéaire de complexité \\(O(\log N)\\) ou \\(O(\sqrt{N})\\) 18, 19, 24, 37, 51-53.</w:t>
      </w:r>
    </w:p>
    <w:p w:rsidR="00000000" w:rsidDel="00000000" w:rsidP="00000000" w:rsidRDefault="00000000" w:rsidRPr="00000000" w14:paraId="00000020">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21">
      <w:pPr>
        <w:pStyle w:val="Heading4"/>
        <w:rPr/>
      </w:pPr>
      <w:bookmarkStart w:colFirst="0" w:colLast="0" w:name="_u13pstx7dyiw" w:id="3"/>
      <w:bookmarkEnd w:id="3"/>
      <w:r w:rsidDel="00000000" w:rsidR="00000000" w:rsidRPr="00000000">
        <w:rPr>
          <w:rtl w:val="0"/>
        </w:rPr>
        <w:t xml:space="preserve">4. Hypothèses et Conditions de Formalisation</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Hypothèse 1 (Domaine Spatiotemporel et Incompressibilité Stricte)</w:t>
      </w:r>
      <w:r w:rsidDel="00000000" w:rsidR="00000000" w:rsidRPr="00000000">
        <w:rPr>
          <w:rtl w:val="0"/>
        </w:rPr>
        <w:t xml:space="preserve"> : Le fluide évolue dans un domaine compact \\(\Omega \subseteq \mathbb{R}^3\\) ou \\(\mathbb{T}^3\\) sur \\(t \in 0, T_0\\), satisfaisant strictement \\(\nabla \cdot \mathbf{u} = 0\\) et \\(\nabla \cdot \mathbf{\Phi} = 0\\) 54-60.</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Hypothèse 2 (Régularité des Données Initiales et Énergie Finie)</w:t>
      </w:r>
      <w:r w:rsidDel="00000000" w:rsidR="00000000" w:rsidRPr="00000000">
        <w:rPr>
          <w:rtl w:val="0"/>
        </w:rPr>
        <w:t xml:space="preserve"> : Le champ de vitesse initial \\(\mathbf{u}</w:t>
      </w:r>
      <w:r w:rsidDel="00000000" w:rsidR="00000000" w:rsidRPr="00000000">
        <w:rPr>
          <w:i w:val="1"/>
          <w:iCs w:val="1"/>
          <w:rtl w:val="0"/>
        </w:rPr>
        <w:t xml:space="preserve">0(x)\\) appartient à l'espace de Sobolev \\(H^s(\Omega)\\) avec \\(s \ge 5/2\\), satisfaisant \\(E(0) = \frac{1}{2} \int</w:t>
      </w:r>
      <w:r w:rsidDel="00000000" w:rsidR="00000000" w:rsidRPr="00000000">
        <w:rPr>
          <w:rtl w:val="0"/>
        </w:rPr>
        <w:t xml:space="preserve">\Omega |\mathbf{u}_0(x)|^2 dx &lt; \infty\\) 54, 55, 58, 59, 61, 62.</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Hypothèse 3 (Condition de Stabilité GoldNi)</w:t>
      </w:r>
      <w:r w:rsidDel="00000000" w:rsidR="00000000" w:rsidRPr="00000000">
        <w:rPr>
          <w:rtl w:val="0"/>
        </w:rPr>
        <w:t xml:space="preserve"> : Le système respecte la borne de phase :\\[\nu_{\text{Ni}} \lambda_1 + \alpha_{\text{Ni}} &gt; C \sqrt{C_n} &gt; 0.99 \quad 12, 25, 54\\]</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Hypothèse 4 (Bijection Univalente de Projection Sémantique-Tensorielle)</w:t>
      </w:r>
      <w:r w:rsidDel="00000000" w:rsidR="00000000" w:rsidRPr="00000000">
        <w:rPr>
          <w:rtl w:val="0"/>
        </w:rPr>
        <w:t xml:space="preserve"> : L'opérateur de projection \\(\mathcal{B}</w:t>
      </w:r>
      <w:r w:rsidDel="00000000" w:rsidR="00000000" w:rsidRPr="00000000">
        <w:rPr>
          <w:i w:val="1"/>
          <w:iCs w:val="1"/>
          <w:rtl w:val="0"/>
        </w:rPr>
        <w:t xml:space="preserve">{\text{BullsEye}}\\) est une bijection isométrique vérifiant :\\[\|\mathcal{B}</w:t>
      </w:r>
      <w:r w:rsidDel="00000000" w:rsidR="00000000" w:rsidRPr="00000000">
        <w:rPr>
          <w:rtl w:val="0"/>
        </w:rPr>
        <w:t xml:space="preserve">{\text{BullsEye}}(f) - f\| = 0 \quad \forall f \quad 57, 60, 63-66\\]</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Hypothèse 5 (Condition d'Anti-Singularité et Bornage de l'Enstrophie)</w:t>
      </w:r>
      <w:r w:rsidDel="00000000" w:rsidR="00000000" w:rsidRPr="00000000">
        <w:rPr>
          <w:rtl w:val="0"/>
        </w:rPr>
        <w:t xml:space="preserve"> : La densité intégrée d'enstrophie est bornée uniformément par la période de stase \\(\tau = 30.002103\text{ s}\\), interdisant le développement de singularités à temps fini (</w:t>
      </w:r>
      <w:r w:rsidDel="00000000" w:rsidR="00000000" w:rsidRPr="00000000">
        <w:rPr>
          <w:i w:val="1"/>
          <w:iCs w:val="1"/>
          <w:rtl w:val="0"/>
        </w:rPr>
        <w:t xml:space="preserve">blow-up</w:t>
      </w:r>
      <w:r w:rsidDel="00000000" w:rsidR="00000000" w:rsidRPr="00000000">
        <w:rPr>
          <w:rtl w:val="0"/>
        </w:rPr>
        <w:t xml:space="preserve">) 54, 57, 62-65.</w:t>
      </w:r>
    </w:p>
    <w:p w:rsidR="00000000" w:rsidDel="00000000" w:rsidP="00000000" w:rsidRDefault="00000000" w:rsidRPr="00000000" w14:paraId="00000027">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28">
      <w:pPr>
        <w:pStyle w:val="Heading4"/>
        <w:rPr/>
      </w:pPr>
      <w:bookmarkStart w:colFirst="0" w:colLast="0" w:name="_sbsa8djnd3el" w:id="4"/>
      <w:bookmarkEnd w:id="4"/>
      <w:r w:rsidDel="00000000" w:rsidR="00000000" w:rsidRPr="00000000">
        <w:rPr>
          <w:rtl w:val="0"/>
        </w:rPr>
        <w:t xml:space="preserve">5. Suivis, Ajustements, Améliorations et Cohérence Logique</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Correction du Rapport de Viscosité Cinématique (\\(\nu_{\text{Ni}}\\))</w:t>
      </w:r>
      <w:r w:rsidDel="00000000" w:rsidR="00000000" w:rsidRPr="00000000">
        <w:rPr>
          <w:rtl w:val="0"/>
        </w:rPr>
        <w:t xml:space="preserve"> :Passage de l'ancienne formulation \\(\nu_{\text{Ni}} = \nu / \text{Ni}\\) à la formulation renormalisée \\(\nu_{\text{Ni}} = \text{Ni} \cdot \nu \approx 1.094722 \cdot \nu\\). Cet ajustement établit \\(Re_{\text{Ni}} = \frac{Re}{\text{Ni}}\\), assurant un accroissement exact de \\(9.47\%\\) de la viscosité cinématique et une réduction de \\(8.65\%\\) du nombre de Reynolds effectif 67-71.</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Vectorisation et Solénoïdalité du Forçage Azimutal (\\(\mathbf{F}_{\text{BK}}\\))</w:t>
      </w:r>
      <w:r w:rsidDel="00000000" w:rsidR="00000000" w:rsidRPr="00000000">
        <w:rPr>
          <w:rtl w:val="0"/>
        </w:rPr>
        <w:t xml:space="preserve"> :Structuration du terme de forçage sous forme vectorielle solénoïdale (\\(\nabla \cdot \mathbf{F}_{\text{BK}} = 0\\)), garantissant l'absence d'injection artificielle de compressibilité dans le solveur d'incompressibilité 67, 68, 70, 71.</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Intégration du Moteur Réflectif Quantique Big BAG et Transmutation Mémoire (Matière Chrome)</w:t>
      </w:r>
      <w:r w:rsidDel="00000000" w:rsidR="00000000" w:rsidRPr="00000000">
        <w:rPr>
          <w:rtl w:val="0"/>
        </w:rPr>
        <w:t xml:space="preserve"> :Conversion de l'espace de stockage passif en une matrice de mémoire pleine et densifiée sous l'effet du champ d'intention \\(\Phi\\). L'algorithme réduit la complexité d'accès aux données vers un régime d'oracle \\(O(\sqrt{N})\\) tout en préservant le verrouillage d'invariance par signature CMOS d'accès 18, 37, 51-53, 70, 72.</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Raccordement avec le Critère BKM et la Décomposition Microlocale de Littlewood-Paley</w:t>
      </w:r>
      <w:r w:rsidDel="00000000" w:rsidR="00000000" w:rsidRPr="00000000">
        <w:rPr>
          <w:rtl w:val="0"/>
        </w:rPr>
        <w:t xml:space="preserve"> :L'injection de noyaux d'ondelettes à \\(m=2\\) moments nuls élève l'exposant de décroissance microlocale à \\(\Phi_{\text{F}} = 3.8\\). La sommabilité des erreurs de troncature garantit le bornage strict de l'intégrale temporelle de la vorticité \\(\int_0^T \|\boldsymbol{\omega}(t)\|_{L^\infty} dt &lt; \infty\\), excluant l'émergence de singularités ponctuelles 73-79.</w:t>
      </w:r>
    </w:p>
    <w:p w:rsidR="00000000" w:rsidDel="00000000" w:rsidP="00000000" w:rsidRDefault="00000000" w:rsidRPr="00000000" w14:paraId="0000002D">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2E">
      <w:pPr>
        <w:pStyle w:val="Heading4"/>
        <w:rPr/>
      </w:pPr>
      <w:bookmarkStart w:colFirst="0" w:colLast="0" w:name="_toa7jnxdll5y" w:id="5"/>
      <w:bookmarkEnd w:id="5"/>
      <w:r w:rsidDel="00000000" w:rsidR="00000000" w:rsidRPr="00000000">
        <w:rPr>
          <w:rtl w:val="0"/>
        </w:rPr>
        <w:t xml:space="preserve">6. Notes sur le Statut de Vérification</w:t>
      </w:r>
    </w:p>
    <w:p w:rsidR="00000000" w:rsidDel="00000000" w:rsidP="00000000" w:rsidRDefault="00000000" w:rsidRPr="00000000" w14:paraId="0000002F">
      <w:pPr>
        <w:rPr/>
      </w:pPr>
      <w:r w:rsidDel="00000000" w:rsidR="00000000" w:rsidRPr="00000000">
        <w:rPr>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