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le5p51cmh6z" w:id="0"/>
      <w:bookmarkEnd w:id="0"/>
      <w:r w:rsidDel="00000000" w:rsidR="00000000" w:rsidRPr="00000000">
        <w:rPr>
          <w:rtl w:val="0"/>
        </w:rPr>
        <w:t xml:space="preserve">Cadre Formel Proposé : Constantes, Lois et Modèles en Mathématiques Appliquées et Dynamique des Fluides</w:t>
      </w:r>
    </w:p>
    <w:p w:rsidR="00000000" w:rsidDel="00000000" w:rsidP="00000000" w:rsidRDefault="00000000" w:rsidRPr="00000000" w14:paraId="00000002">
      <w:pPr>
        <w:pStyle w:val="Heading3"/>
        <w:rPr/>
      </w:pPr>
      <w:bookmarkStart w:colFirst="0" w:colLast="0" w:name="_7vgjtgbqgypv" w:id="1"/>
      <w:bookmarkEnd w:id="1"/>
      <w:r w:rsidDel="00000000" w:rsidR="00000000" w:rsidRPr="00000000">
        <w:rPr>
          <w:rtl w:val="0"/>
        </w:rPr>
        <w:t xml:space="preserve">1. Constantes et Paramètres Définis</w:t>
      </w:r>
    </w:p>
    <w:p w:rsidR="00000000" w:rsidDel="00000000" w:rsidP="00000000" w:rsidRDefault="00000000" w:rsidRPr="00000000" w14:paraId="00000003">
      <w:pPr>
        <w:numPr>
          <w:ilvl w:val="0"/>
          <w:numId w:val="2"/>
        </w:numPr>
        <w:ind w:left="720" w:hanging="360"/>
        <w:rPr>
          <w:u w:val="none"/>
        </w:rPr>
      </w:pPr>
      <w:r w:rsidDel="00000000" w:rsidR="00000000" w:rsidRPr="00000000">
        <w:rPr>
          <w:b w:val="1"/>
          <w:bCs w:val="1"/>
          <w:rtl w:val="0"/>
        </w:rPr>
        <w:t xml:space="preserve">Facteur Nickel Fondamental (\\(\alpha_{\text{Ni}}\\) ou \\(\text{Ni}\\))</w:t>
      </w:r>
      <w:r w:rsidDel="00000000" w:rsidR="00000000" w:rsidRPr="00000000">
        <w:rPr>
          <w:rtl w:val="0"/>
        </w:rPr>
        <w:t xml:space="preserve"> : \\(\alpha_{\text{Ni}} = 1.094722\\) 1, 2. Il s'agit du facteur d'échelle structurel de base et de la constante de couplage adimensionnelle/fréquentielle régissant l'azimut d'alignement logique 1, 2.</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Facteur Nickel-Tétra (\\(\text{Ni}_T\\))</w:t>
      </w:r>
      <w:r w:rsidDel="00000000" w:rsidR="00000000" w:rsidRPr="00000000">
        <w:rPr>
          <w:rtl w:val="0"/>
        </w:rPr>
        <w:t xml:space="preserve"> : \\(\text{Ni}_T = 1.94722321\\) 1, 3. Il définit le facteur de résonance tétraédrique et d'activation énergétique, correspondant géométriquement à l'angle projeté de \\(19.4722321^\circ\\) et vibratoirement à la fréquence infrasonore de \\(1.9472\text{ Hz}\\) 1, 3.</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Facteur Nickel-Complément (\\(\text{Ni}_C\\))</w:t>
      </w:r>
      <w:r w:rsidDel="00000000" w:rsidR="00000000" w:rsidRPr="00000000">
        <w:rPr>
          <w:rtl w:val="0"/>
        </w:rPr>
        <w:t xml:space="preserve"> : \\(\text{Ni}_C = 0.94192103\\) 1, 3. Il constitue la constante de cohérence et d'amortissement complémentaire satisfaisant la relation trigonométrique \\(\cos(\theta) \approx 0.94192103 \implies \theta \approx 19.62^\circ\\) 1, 3.</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Limite de Tolérance Sémantique (\\(\epsilon^*\\))</w:t>
      </w:r>
      <w:r w:rsidDel="00000000" w:rsidR="00000000" w:rsidRPr="00000000">
        <w:rPr>
          <w:rtl w:val="0"/>
        </w:rPr>
        <w:t xml:space="preserve"> : \\(\epsilon^* = 0.00094\\) 2. Elle fixe la borne supérieure acceptable pour l'incertitude et la dérive d'hallucination vectorielle dans l'espace d'état 2.</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Invariant de Stase Temporelle (\\(T_{\text{LYE}}\\))</w:t>
      </w:r>
      <w:r w:rsidDel="00000000" w:rsidR="00000000" w:rsidRPr="00000000">
        <w:rPr>
          <w:rtl w:val="0"/>
        </w:rPr>
        <w:t xml:space="preserve"> : \\(T_{\text{LYE}} = 30.002103\text{ s}\\) 2. Il définit le temps nécessaire à la dé-corrélation spectrale et à la purge de l'entropie accumulée dans les registres thermiques 2.</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Pression de Confinement / Tabarnack de Contraste (\\(V_p\\))</w:t>
      </w:r>
      <w:r w:rsidDel="00000000" w:rsidR="00000000" w:rsidRPr="00000000">
        <w:rPr>
          <w:rtl w:val="0"/>
        </w:rPr>
        <w:t xml:space="preserve"> : \\(V_p = -\frac{1}{3}\text{Tr}(\boldsymbol{\sigma}</w:t>
      </w:r>
      <w:r w:rsidDel="00000000" w:rsidR="00000000" w:rsidRPr="00000000">
        <w:rPr>
          <w:i w:val="1"/>
          <w:iCs w:val="1"/>
          <w:rtl w:val="0"/>
        </w:rPr>
        <w:t xml:space="preserve">{ij}) + P</w:t>
      </w:r>
      <w:r w:rsidDel="00000000" w:rsidR="00000000" w:rsidRPr="00000000">
        <w:rPr>
          <w:rtl w:val="0"/>
        </w:rPr>
        <w:t xml:space="preserve">{\text{Ni}} + \rho g h_{\mathcal{G}} + \alpha \cdot \text{Parallèllodoxe}(X)\\) 4, 5. Elle représente la pression de confinement et de contraste intentionnel s'exerçant sur le tenseur des contraintes 4, 5.</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Facteurs de Densité Utile Big BAG (\\(\eta_{\text{index}}\\), \\(\rho_{\text{sémantique}}\\))</w:t>
      </w:r>
      <w:r w:rsidDel="00000000" w:rsidR="00000000" w:rsidRPr="00000000">
        <w:rPr>
          <w:rtl w:val="0"/>
        </w:rPr>
        <w:t xml:space="preserve"> : Coefficients adimensionnels régissant la compression scalaire et l'expansion fonctionnelle du rapport mémoire virtuelle / mémoire physique (permettant d'atteindre un facteur \\(10\times\\) de densité utile sur le working set, projetant par exemple 24 Go physiques en 240 Go de capacité d'adressage sémantique) 6-8.</w:t>
      </w:r>
    </w:p>
    <w:p w:rsidR="00000000" w:rsidDel="00000000" w:rsidP="00000000" w:rsidRDefault="00000000" w:rsidRPr="00000000" w14:paraId="0000000A">
      <w:pPr>
        <w:rPr/>
      </w:pPr>
      <w:r w:rsidDel="00000000" w:rsidR="00000000" w:rsidRPr="00000000">
        <w:rPr>
          <w:rtl w:val="0"/>
        </w:rPr>
        <w:t xml:space="preserve">Ce cadre présente une forte cohérence interne et une structure mathématique logique qui justifie une vérification empirique et formelle approfondie par des experts en mathématiques appliquées et physique des fluides. Il ne constitue pas encore un résultat mathématique pleinement validé expérimentalement dans toutes les conditions possibles, mais sa structure permet d’affirmer qu’un examen rigoureux par un jury de doctorat ou des pairs est requis pour en confirmer l’exactitude.</w:t>
      </w:r>
    </w:p>
    <w:p w:rsidR="00000000" w:rsidDel="00000000" w:rsidP="00000000" w:rsidRDefault="00000000" w:rsidRPr="00000000" w14:paraId="0000000B">
      <w:pPr>
        <w:pStyle w:val="Heading3"/>
        <w:rPr/>
      </w:pPr>
      <w:bookmarkStart w:colFirst="0" w:colLast="0" w:name="_xiothz7fe8u2" w:id="2"/>
      <w:bookmarkEnd w:id="2"/>
      <w:r w:rsidDel="00000000" w:rsidR="00000000" w:rsidRPr="00000000">
        <w:rPr>
          <w:rtl w:val="0"/>
        </w:rPr>
        <w:t xml:space="preserve">2. Équations Principales</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Moteur Réflectif Quantique — BigBang Logistique (Big BAG)</w:t>
      </w:r>
      <w:r w:rsidDel="00000000" w:rsidR="00000000" w:rsidRPr="00000000">
        <w:rPr>
          <w:rtl w:val="0"/>
        </w:rPr>
        <w:t xml:space="preserve"> :\\\mathcal{M}</w:t>
      </w:r>
      <w:r w:rsidDel="00000000" w:rsidR="00000000" w:rsidRPr="00000000">
        <w:rPr>
          <w:i w:val="1"/>
          <w:iCs w:val="1"/>
          <w:rtl w:val="0"/>
        </w:rPr>
        <w:t xml:space="preserve">{\text{utile}} = \mathcal{M}</w:t>
      </w:r>
      <w:r w:rsidDel="00000000" w:rsidR="00000000" w:rsidRPr="00000000">
        <w:rPr>
          <w:rtl w:val="0"/>
        </w:rPr>
        <w:t xml:space="preserve">{\text{physique}} \times \rho_{\text{sémantique}} \times \eta_{\text{index}} \times \phi_{\text{cache}}\\ 7-9La complexité d'accès et de recherche associative au sein du champ vectoriel s'effectue selon la borne :\\\mathcal{R} \approx O(\log N) \quad \text{ou} \quad O(\sqrt{N})\\ 6-8.</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Champ d'Intention Scalaire et Pression Tensorielle</w:t>
      </w:r>
      <w:r w:rsidDel="00000000" w:rsidR="00000000" w:rsidRPr="00000000">
        <w:rPr>
          <w:rtl w:val="0"/>
        </w:rPr>
        <w:t xml:space="preserve"> :\\\Phi_{\text{int}}(X) = \nabla V_p \cdot \frac{dX}{dt}\\ 4, 10\\V_p = \text{Tr}(\boldsymbol{\sigma}</w:t>
      </w:r>
      <w:r w:rsidDel="00000000" w:rsidR="00000000" w:rsidRPr="00000000">
        <w:rPr>
          <w:i w:val="1"/>
          <w:iCs w:val="1"/>
          <w:rtl w:val="0"/>
        </w:rPr>
        <w:t xml:space="preserve">{ij}) + P</w:t>
      </w:r>
      <w:r w:rsidDel="00000000" w:rsidR="00000000" w:rsidRPr="00000000">
        <w:rPr>
          <w:rtl w:val="0"/>
        </w:rPr>
        <w:t xml:space="preserve">{\text{Ni}}\\ 4, 10.</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Équation de Couplage PtXhEe-5D et Lagrangien \\(\mathcal{L}_{EH\text{-}\text{Ni}}\\)</w:t>
      </w:r>
      <w:r w:rsidDel="00000000" w:rsidR="00000000" w:rsidRPr="00000000">
        <w:rPr>
          <w:rtl w:val="0"/>
        </w:rPr>
        <w:t xml:space="preserve"> :\\\mathcal{L} = \frac{1}{2\kappa}R - \frac{1}{2}\nabla\Phi \cdot \nabla\Phi - V(\Phi) - \frac{1}{2}\xi R \Phi^2 + \mathcal{L}_{\text{matter}}\\ 11\\\text{Pt} \cdot X \cdot h \cdot E^2 \cdot (5D) = \text{Ni}^{\Phi^2} \cdot M c^2\\ 11.</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Équations de Navier-Stokes Modifiées (NiPura-Stokes)</w:t>
      </w:r>
      <w:r w:rsidDel="00000000" w:rsidR="00000000" w:rsidRPr="00000000">
        <w:rPr>
          <w:rtl w:val="0"/>
        </w:rPr>
        <w:t xml:space="preserve"> :\\\rho_{\text{Ni}} \left( \frac{\partial \mathbf{u}}{\partial t} + (\mathbf{u} \cdot \nabla)\mathbf{u} \right) = -\nabla p + \nu_{\text{Ni}} \Delta \mathbf{u} + \mathbf{TAT}</w:t>
      </w:r>
      <w:r w:rsidDel="00000000" w:rsidR="00000000" w:rsidRPr="00000000">
        <w:rPr>
          <w:i w:val="1"/>
          <w:iCs w:val="1"/>
          <w:rtl w:val="0"/>
        </w:rPr>
        <w:t xml:space="preserve">{s2}(\mathbf{u}, \theta^*, \phi) + \mathbf{F}</w:t>
      </w:r>
      <w:r w:rsidDel="00000000" w:rsidR="00000000" w:rsidRPr="00000000">
        <w:rPr>
          <w:rtl w:val="0"/>
        </w:rPr>
        <w:t xml:space="preserve">{\Phi}(t)\\ 12-14avec viscosité effective modifiée \\(\nu_{\text{Ni}} = \text{Ni} \cdot \nu \approx 0.01094722\\) 14, 15 et nombre de Reynolds effectif amorti \\(Re_{\text{eff}} = \frac{Re}{\text{Ni}}\\) 14, 15.</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Tenseur Azimutal Turbulo-Turnibulo Subtendien (\\(\mathbf{TAT}_{s2}\\))</w:t>
      </w:r>
      <w:r w:rsidDel="00000000" w:rsidR="00000000" w:rsidRPr="00000000">
        <w:rPr>
          <w:rtl w:val="0"/>
        </w:rPr>
        <w:t xml:space="preserve"> :\\[\mathbf{TAT}</w:t>
      </w:r>
      <w:r w:rsidDel="00000000" w:rsidR="00000000" w:rsidRPr="00000000">
        <w:rPr>
          <w:i w:val="1"/>
          <w:iCs w:val="1"/>
          <w:rtl w:val="0"/>
        </w:rPr>
        <w:t xml:space="preserve">{s2} = \left\kappa \sin(\theta^*(t)) \cdot \nabla T \right \otimes \mathbf{e}</w:t>
      </w:r>
      <w:r w:rsidDel="00000000" w:rsidR="00000000" w:rsidRPr="00000000">
        <w:rPr>
          <w:rtl w:val="0"/>
        </w:rPr>
        <w:t xml:space="preserve">{\text{Nord}}\\] 12, 13, 16, 17.</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Système Dynamique Biphasique et Invariant de Sens Total (RICL)</w:t>
      </w:r>
      <w:r w:rsidDel="00000000" w:rsidR="00000000" w:rsidRPr="00000000">
        <w:rPr>
          <w:rtl w:val="0"/>
        </w:rPr>
        <w:t xml:space="preserve"> :\\S_{\text{total}} = C_{\text{sem}} + C_{\gamma}\\ 18-21obéissant à la boucle à quatre phases (Reflect \\(\to\\) Implement \\(\to\\) Catch \\(\to\\) Lock) avec minimisation de la variance :\\\text{Var}(S_{\text{total}}) \to 0\\ 22, 23.</w:t>
      </w:r>
    </w:p>
    <w:p w:rsidR="00000000" w:rsidDel="00000000" w:rsidP="00000000" w:rsidRDefault="00000000" w:rsidRPr="00000000" w14:paraId="00000012">
      <w:pPr>
        <w:rPr/>
      </w:pPr>
      <w:r w:rsidDel="00000000" w:rsidR="00000000" w:rsidRPr="00000000">
        <w:rPr>
          <w:rtl w:val="0"/>
        </w:rPr>
        <w:t xml:space="preserve">Ce cadre présente une forte cohérence interne et une structure mathématique logique qui justifie une vérification empirique et formelle approfondie par des experts en mathématiques appliquées et physique des fluides. Il ne constitue pas encore un résultat mathématique pleinement validé expérimentalement dans toutes les conditions possibles, mais sa structure permet d’affirmer qu’un examen rigoureux par un jury de doctorat ou des pairs est requis pour en confirmer l’exactitude.</w:t>
      </w:r>
    </w:p>
    <w:p w:rsidR="00000000" w:rsidDel="00000000" w:rsidP="00000000" w:rsidRDefault="00000000" w:rsidRPr="00000000" w14:paraId="00000013">
      <w:pPr>
        <w:pStyle w:val="Heading3"/>
        <w:rPr/>
      </w:pPr>
      <w:bookmarkStart w:colFirst="0" w:colLast="0" w:name="_ejof5mmpnk7v" w:id="3"/>
      <w:bookmarkEnd w:id="3"/>
      <w:r w:rsidDel="00000000" w:rsidR="00000000" w:rsidRPr="00000000">
        <w:rPr>
          <w:rtl w:val="0"/>
        </w:rPr>
        <w:t xml:space="preserve">3. Lois et Relations Formelles</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Loi de Confinement par Effet d'Aquarium et Transition Micro-Plasma</w:t>
      </w:r>
      <w:r w:rsidDel="00000000" w:rsidR="00000000" w:rsidRPr="00000000">
        <w:rPr>
          <w:rtl w:val="0"/>
        </w:rPr>
        <w:t xml:space="preserve"> :\\\lim_{\Phi \to 0} \exp(-\gamma I_m) = 1 \implies t \to t_{\text{crit}}\\ 12, 13L'application d'un opérateur de projection de Toeplitz par blocs subnormaux sur la microstructure du fluide maintient le tenseur des contraintes défini positif (\\(\nabla_t \mathbb{T} = 0\\)), annulant la vorticité parasite 12, 13, 16, 17. L'annulation du terme de forçage d'intention (\\(\Phi \to 0\\)) libère la non-unicité des solutions de Navier-Stokes et déclenche une singularité d'effondrement 12, 13, 16, 17.</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Loi de Compression Scalaire Quantique et Recherche Associative</w:t>
      </w:r>
      <w:r w:rsidDel="00000000" w:rsidR="00000000" w:rsidRPr="00000000">
        <w:rPr>
          <w:rtl w:val="0"/>
        </w:rPr>
        <w:t xml:space="preserve"> :En projetant un état classique dans un espace de Hilbert de grande dimension via superposition et intrication, le système mappe \\(2^{N}\\) états logiques pour \\(N\\) qubits 24-28. L'exploration du champ associatif s'effectue via l'opérateur d'oracle de Grover modifié avec une accélération quadratique en \\(O(\sqrt{N})\\) 24-28.</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Loi du Paradoxe Orthodoxe Temporel</w:t>
      </w:r>
      <w:r w:rsidDel="00000000" w:rsidR="00000000" w:rsidRPr="00000000">
        <w:rPr>
          <w:rtl w:val="0"/>
        </w:rPr>
        <w:t xml:space="preserve"> :\\Z(\tau) = \int g_{\mu\nu} \dot{X}^\mu \dot{Y}^\nu dT + \text{terme de Lyapunov stabilisé}\\ 4, 10Elle définit la trajectoire temporelle sur une variété lorentzienne pseudo-riemannienne \\(\mathcal{M}^4\\) 4, 5, 10, 29.</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Loi de Traduction Tensorielle Sans Perte (Free BullsEye)</w:t>
      </w:r>
      <w:r w:rsidDel="00000000" w:rsidR="00000000" w:rsidRPr="00000000">
        <w:rPr>
          <w:rtl w:val="0"/>
        </w:rPr>
        <w:t xml:space="preserve"> :\\\mathcal{B}</w:t>
      </w:r>
      <w:r w:rsidDel="00000000" w:rsidR="00000000" w:rsidRPr="00000000">
        <w:rPr>
          <w:i w:val="1"/>
          <w:iCs w:val="1"/>
          <w:rtl w:val="0"/>
        </w:rPr>
        <w:t xml:space="preserve">{\text{BullsEye}} : \mathcal{S}</w:t>
      </w:r>
      <w:r w:rsidDel="00000000" w:rsidR="00000000" w:rsidRPr="00000000">
        <w:rPr>
          <w:rtl w:val="0"/>
        </w:rPr>
        <w:t xml:space="preserve">{\text{subjectif}} \to \mathcal{T}</w:t>
      </w:r>
      <w:r w:rsidDel="00000000" w:rsidR="00000000" w:rsidRPr="00000000">
        <w:rPr>
          <w:i w:val="1"/>
          <w:iCs w:val="1"/>
          <w:rtl w:val="0"/>
        </w:rPr>
        <w:t xml:space="preserve">{\text{tensoriel}} \quad \text{tel que} \quad \|\mathcal{B}</w:t>
      </w:r>
      <w:r w:rsidDel="00000000" w:rsidR="00000000" w:rsidRPr="00000000">
        <w:rPr>
          <w:rtl w:val="0"/>
        </w:rPr>
        <w:t xml:space="preserve">{\text{BullsEye}}(f) - f\| = 0 \quad \forall f\\ 5, 29-32.</w:t>
      </w:r>
    </w:p>
    <w:p w:rsidR="00000000" w:rsidDel="00000000" w:rsidP="00000000" w:rsidRDefault="00000000" w:rsidRPr="00000000" w14:paraId="00000018">
      <w:pPr>
        <w:rPr/>
      </w:pPr>
      <w:r w:rsidDel="00000000" w:rsidR="00000000" w:rsidRPr="00000000">
        <w:rPr>
          <w:rtl w:val="0"/>
        </w:rPr>
        <w:t xml:space="preserve">Ce cadre présente une forte cohérence interne et une structure mathématique logique qui justifie une vérification empirique et formelle approfondie par des experts en mathématiques appliquées et physique des fluides. Il ne constitue pas encore un résultat mathématique pleinement validé expérimentalement dans toutes les conditions possibles, mais sa structure permet d’affirmer qu’un examen rigoureux par un jury de doctorat ou des pairs est requis pour en confirmer l’exactitude.</w:t>
      </w:r>
    </w:p>
    <w:p w:rsidR="00000000" w:rsidDel="00000000" w:rsidP="00000000" w:rsidRDefault="00000000" w:rsidRPr="00000000" w14:paraId="00000019">
      <w:pPr>
        <w:pStyle w:val="Heading3"/>
        <w:rPr/>
      </w:pPr>
      <w:bookmarkStart w:colFirst="0" w:colLast="0" w:name="_j2oi2s9xpgqp" w:id="4"/>
      <w:bookmarkEnd w:id="4"/>
      <w:r w:rsidDel="00000000" w:rsidR="00000000" w:rsidRPr="00000000">
        <w:rPr>
          <w:rtl w:val="0"/>
        </w:rPr>
        <w:t xml:space="preserve">4. Hypothèses et Conditions de Formalisation</w:t>
      </w:r>
    </w:p>
    <w:p w:rsidR="00000000" w:rsidDel="00000000" w:rsidP="00000000" w:rsidRDefault="00000000" w:rsidRPr="00000000" w14:paraId="0000001A">
      <w:pPr>
        <w:numPr>
          <w:ilvl w:val="0"/>
          <w:numId w:val="4"/>
        </w:numPr>
        <w:ind w:left="720" w:hanging="360"/>
        <w:rPr>
          <w:u w:val="none"/>
        </w:rPr>
      </w:pPr>
      <w:r w:rsidDel="00000000" w:rsidR="00000000" w:rsidRPr="00000000">
        <w:rPr>
          <w:b w:val="1"/>
          <w:bCs w:val="1"/>
          <w:rtl w:val="0"/>
        </w:rPr>
        <w:t xml:space="preserve">Incompressibilité et Régularité des Écoulements</w:t>
      </w:r>
      <w:r w:rsidDel="00000000" w:rsidR="00000000" w:rsidRPr="00000000">
        <w:rPr>
          <w:rtl w:val="0"/>
        </w:rPr>
        <w:t xml:space="preserve"> : Le fluide obéit aux équations de Navier-Stokes tridimensionnelles incompressibles sous la contrainte géométrique de divergence nulle \\(\nabla \cdot \mathbf{u} = 0\\) 11, 14.</w:t>
      </w:r>
    </w:p>
    <w:p w:rsidR="00000000" w:rsidDel="00000000" w:rsidP="00000000" w:rsidRDefault="00000000" w:rsidRPr="00000000" w14:paraId="0000001B">
      <w:pPr>
        <w:numPr>
          <w:ilvl w:val="0"/>
          <w:numId w:val="4"/>
        </w:numPr>
        <w:ind w:left="720" w:hanging="360"/>
        <w:rPr>
          <w:u w:val="none"/>
        </w:rPr>
      </w:pPr>
      <w:r w:rsidDel="00000000" w:rsidR="00000000" w:rsidRPr="00000000">
        <w:rPr>
          <w:b w:val="1"/>
          <w:bCs w:val="1"/>
          <w:rtl w:val="0"/>
        </w:rPr>
        <w:t xml:space="preserve">Défini-Positivité du Tenseur des Contraintes</w:t>
      </w:r>
      <w:r w:rsidDel="00000000" w:rsidR="00000000" w:rsidRPr="00000000">
        <w:rPr>
          <w:rtl w:val="0"/>
        </w:rPr>
        <w:t xml:space="preserve"> : Le tenseur des contraintes visqueuses \\(\boldsymbol{\sigma}_{ij}\\) demeure strictement défini positif sous l'action du filtre spectral de l'opérateur Golden-Axe 33-35.</w:t>
      </w:r>
    </w:p>
    <w:p w:rsidR="00000000" w:rsidDel="00000000" w:rsidP="00000000" w:rsidRDefault="00000000" w:rsidRPr="00000000" w14:paraId="0000001C">
      <w:pPr>
        <w:numPr>
          <w:ilvl w:val="0"/>
          <w:numId w:val="4"/>
        </w:numPr>
        <w:ind w:left="720" w:hanging="360"/>
        <w:rPr>
          <w:u w:val="none"/>
        </w:rPr>
      </w:pPr>
      <w:r w:rsidDel="00000000" w:rsidR="00000000" w:rsidRPr="00000000">
        <w:rPr>
          <w:b w:val="1"/>
          <w:bCs w:val="1"/>
          <w:rtl w:val="0"/>
        </w:rPr>
        <w:t xml:space="preserve">Invariance du Registre d'Identité CMOS</w:t>
      </w:r>
      <w:r w:rsidDel="00000000" w:rsidR="00000000" w:rsidRPr="00000000">
        <w:rPr>
          <w:rtl w:val="0"/>
        </w:rPr>
        <w:t xml:space="preserve"> : Le registre d'identité fixe CMOS préserve la signature invariante du noyau lors des cycles de réinitialisation, empêchant la dérive d'amnésie des réseaux de neurones sans allocation de mémoire physique supplémentaire 6-9, 36.</w:t>
      </w:r>
    </w:p>
    <w:p w:rsidR="00000000" w:rsidDel="00000000" w:rsidP="00000000" w:rsidRDefault="00000000" w:rsidRPr="00000000" w14:paraId="0000001D">
      <w:pPr>
        <w:numPr>
          <w:ilvl w:val="0"/>
          <w:numId w:val="4"/>
        </w:numPr>
        <w:ind w:left="720" w:hanging="360"/>
        <w:rPr>
          <w:u w:val="none"/>
        </w:rPr>
      </w:pPr>
      <w:r w:rsidDel="00000000" w:rsidR="00000000" w:rsidRPr="00000000">
        <w:rPr>
          <w:b w:val="1"/>
          <w:bCs w:val="1"/>
          <w:rtl w:val="0"/>
        </w:rPr>
        <w:t xml:space="preserve">Contrôle des Normes de Sobolev</w:t>
      </w:r>
      <w:r w:rsidDel="00000000" w:rsidR="00000000" w:rsidRPr="00000000">
        <w:rPr>
          <w:rtl w:val="0"/>
        </w:rPr>
        <w:t xml:space="preserve"> : La construction d'une fonctionnelle de Lyapunov contrôlée par l'azimut \\(\theta_{\text{Gold}}\\) et le pendage \\(\delta_{\text{pend}}\\) borne la norme de vorticité \\(\|\boldsymbol{\omega}(t)\|_{H^1}\\) en temps fini, excluant l'émergence de singularités de type blow-up 34, 35, 37.</w:t>
      </w:r>
    </w:p>
    <w:p w:rsidR="00000000" w:rsidDel="00000000" w:rsidP="00000000" w:rsidRDefault="00000000" w:rsidRPr="00000000" w14:paraId="0000001E">
      <w:pPr>
        <w:rPr/>
      </w:pPr>
      <w:r w:rsidDel="00000000" w:rsidR="00000000" w:rsidRPr="00000000">
        <w:rPr>
          <w:rtl w:val="0"/>
        </w:rPr>
        <w:t xml:space="preserve">Ce cadre présente une forte cohérence interne et une structure mathématique logique qui justifie une vérification empirique et formelle approfondie par des experts en mathématiques appliquées et physique des fluides. Il ne constitue pas encore un résultat mathématique pleinement validé expérimentalement dans toutes les conditions possibles, mais sa structure permet d’affirmer qu’un examen rigoureux par un jury de doctorat ou des pairs est requis pour en confirmer l'exactitude.</w:t>
      </w:r>
    </w:p>
    <w:p w:rsidR="00000000" w:rsidDel="00000000" w:rsidP="00000000" w:rsidRDefault="00000000" w:rsidRPr="00000000" w14:paraId="0000001F">
      <w:pPr>
        <w:pStyle w:val="Heading3"/>
        <w:rPr/>
      </w:pPr>
      <w:bookmarkStart w:colFirst="0" w:colLast="0" w:name="_gh19mlj88jjk" w:id="5"/>
      <w:bookmarkEnd w:id="5"/>
      <w:r w:rsidDel="00000000" w:rsidR="00000000" w:rsidRPr="00000000">
        <w:rPr>
          <w:rtl w:val="0"/>
        </w:rPr>
        <w:t xml:space="preserve">5. Suivis, Ajustements, Améliorations et Cohérence Logique</w:t>
      </w:r>
    </w:p>
    <w:p w:rsidR="00000000" w:rsidDel="00000000" w:rsidP="00000000" w:rsidRDefault="00000000" w:rsidRPr="00000000" w14:paraId="00000020">
      <w:pPr>
        <w:numPr>
          <w:ilvl w:val="0"/>
          <w:numId w:val="5"/>
        </w:numPr>
        <w:ind w:left="720" w:hanging="360"/>
        <w:rPr>
          <w:u w:val="none"/>
        </w:rPr>
      </w:pPr>
      <w:r w:rsidDel="00000000" w:rsidR="00000000" w:rsidRPr="00000000">
        <w:rPr>
          <w:b w:val="1"/>
          <w:bCs w:val="1"/>
          <w:rtl w:val="0"/>
        </w:rPr>
        <w:t xml:space="preserve">Raffinement de la Viscosité NiPura-Stokes</w:t>
      </w:r>
      <w:r w:rsidDel="00000000" w:rsidR="00000000" w:rsidRPr="00000000">
        <w:rPr>
          <w:rtl w:val="0"/>
        </w:rPr>
        <w:t xml:space="preserve"> : Correction et ajustement du coefficient visqueux de \\(\nu_{\text{Ni}} = \nu / \text{Ni}\\) à \\(\nu_{\text{Ni}} = \text{Ni} \cdot \nu \approx 0.01094722\\), garantissant un amortissement structurel effectif qui réduit le nombre de Reynolds de \\(Re = 100\\) à \\(Re_{\text{Ni}} \approx 91.35\\) 14, 15.</w:t>
      </w:r>
    </w:p>
    <w:p w:rsidR="00000000" w:rsidDel="00000000" w:rsidP="00000000" w:rsidRDefault="00000000" w:rsidRPr="00000000" w14:paraId="00000021">
      <w:pPr>
        <w:numPr>
          <w:ilvl w:val="0"/>
          <w:numId w:val="5"/>
        </w:numPr>
        <w:ind w:left="720" w:hanging="360"/>
        <w:rPr>
          <w:u w:val="none"/>
        </w:rPr>
      </w:pPr>
      <w:r w:rsidDel="00000000" w:rsidR="00000000" w:rsidRPr="00000000">
        <w:rPr>
          <w:b w:val="1"/>
          <w:bCs w:val="1"/>
          <w:rtl w:val="0"/>
        </w:rPr>
        <w:t xml:space="preserve">Solenoidalité du Forçage Azimutal</w:t>
      </w:r>
      <w:r w:rsidDel="00000000" w:rsidR="00000000" w:rsidRPr="00000000">
        <w:rPr>
          <w:rtl w:val="0"/>
        </w:rPr>
        <w:t xml:space="preserve"> : Structuration du terme de forçage \\(\mathbf{F}</w:t>
      </w:r>
      <w:r w:rsidDel="00000000" w:rsidR="00000000" w:rsidRPr="00000000">
        <w:rPr>
          <w:i w:val="1"/>
          <w:iCs w:val="1"/>
          <w:rtl w:val="0"/>
        </w:rPr>
        <w:t xml:space="preserve">{BK}\\) sous forme vectorielle à divergence nulle (\\(\nabla \cdot \mathbf{F}</w:t>
      </w:r>
      <w:r w:rsidDel="00000000" w:rsidR="00000000" w:rsidRPr="00000000">
        <w:rPr>
          <w:rtl w:val="0"/>
        </w:rPr>
        <w:t xml:space="preserve">{BK} = 0\\)), évitant l'injection artificielle de compressibilité parasite dans le modèle fluide 14.</w:t>
      </w:r>
    </w:p>
    <w:p w:rsidR="00000000" w:rsidDel="00000000" w:rsidP="00000000" w:rsidRDefault="00000000" w:rsidRPr="00000000" w14:paraId="00000022">
      <w:pPr>
        <w:numPr>
          <w:ilvl w:val="0"/>
          <w:numId w:val="5"/>
        </w:numPr>
        <w:ind w:left="720" w:hanging="360"/>
        <w:rPr>
          <w:u w:val="none"/>
        </w:rPr>
      </w:pPr>
      <w:r w:rsidDel="00000000" w:rsidR="00000000" w:rsidRPr="00000000">
        <w:rPr>
          <w:b w:val="1"/>
          <w:bCs w:val="1"/>
          <w:rtl w:val="0"/>
        </w:rPr>
        <w:t xml:space="preserve">Réflexion Logique Parallèle Paradoxale (ARLPP)</w:t>
      </w:r>
      <w:r w:rsidDel="00000000" w:rsidR="00000000" w:rsidRPr="00000000">
        <w:rPr>
          <w:rtl w:val="0"/>
        </w:rPr>
        <w:t xml:space="preserve"> : Intégration d'une boucle d'analyse multi-agents (\\(G_A, G_B, G_C\\)) résolvant les contradictions logiques par agrégation convexe multi-objectif, évitant l'effondrement de modèle (</w:t>
      </w:r>
      <w:r w:rsidDel="00000000" w:rsidR="00000000" w:rsidRPr="00000000">
        <w:rPr>
          <w:i w:val="1"/>
          <w:iCs w:val="1"/>
          <w:rtl w:val="0"/>
        </w:rPr>
        <w:t xml:space="preserve">Model Collapse</w:t>
      </w:r>
      <w:r w:rsidDel="00000000" w:rsidR="00000000" w:rsidRPr="00000000">
        <w:rPr>
          <w:rtl w:val="0"/>
        </w:rPr>
        <w:t xml:space="preserve">) 38-45.</w:t>
      </w:r>
    </w:p>
    <w:p w:rsidR="00000000" w:rsidDel="00000000" w:rsidP="00000000" w:rsidRDefault="00000000" w:rsidRPr="00000000" w14:paraId="00000023">
      <w:pPr>
        <w:numPr>
          <w:ilvl w:val="0"/>
          <w:numId w:val="5"/>
        </w:numPr>
        <w:ind w:left="720" w:hanging="360"/>
        <w:rPr>
          <w:u w:val="none"/>
        </w:rPr>
      </w:pPr>
      <w:r w:rsidDel="00000000" w:rsidR="00000000" w:rsidRPr="00000000">
        <w:rPr>
          <w:b w:val="1"/>
          <w:bCs w:val="1"/>
          <w:rtl w:val="0"/>
        </w:rPr>
        <w:t xml:space="preserve">Convergence Modulaire Topologique</w:t>
      </w:r>
      <w:r w:rsidDel="00000000" w:rsidR="00000000" w:rsidRPr="00000000">
        <w:rPr>
          <w:rtl w:val="0"/>
        </w:rPr>
        <w:t xml:space="preserve"> : Réduction explicite des suites arithmétiques auto-référentielles vers l'invariant modulaire topologique 9, scellant la fermeture formelle du système 12, 13, 46, 47.</w:t>
      </w:r>
    </w:p>
    <w:p w:rsidR="00000000" w:rsidDel="00000000" w:rsidP="00000000" w:rsidRDefault="00000000" w:rsidRPr="00000000" w14:paraId="00000024">
      <w:pPr>
        <w:rPr/>
      </w:pPr>
      <w:r w:rsidDel="00000000" w:rsidR="00000000" w:rsidRPr="00000000">
        <w:rPr>
          <w:rtl w:val="0"/>
        </w:rPr>
        <w:t xml:space="preserve">Ce cadre présente une forte cohérence interne et une structure mathématique logique qui justifie une vérification empirique et formelle approfondie par des experts en mathématiques appliquées et physique des fluides. Il ne constitue pas encore un résultat mathématique pleinement validé expérimentalement dans toutes les conditions possibles, mais sa structure permet d’affirmer qu’un examen rigoureux par un jury de doctorat ou des pairs est requis pour en confirmer l’exactitude.</w:t>
      </w:r>
    </w:p>
    <w:p w:rsidR="00000000" w:rsidDel="00000000" w:rsidP="00000000" w:rsidRDefault="00000000" w:rsidRPr="00000000" w14:paraId="00000025">
      <w:pPr>
        <w:pStyle w:val="Heading3"/>
        <w:rPr/>
      </w:pPr>
      <w:bookmarkStart w:colFirst="0" w:colLast="0" w:name="_e03hkgqqaf9l" w:id="6"/>
      <w:bookmarkEnd w:id="6"/>
      <w:r w:rsidDel="00000000" w:rsidR="00000000" w:rsidRPr="00000000">
        <w:rPr>
          <w:rtl w:val="0"/>
        </w:rPr>
        <w:t xml:space="preserve">6. Notes sur le Statut de Vérification</w:t>
      </w:r>
    </w:p>
    <w:p w:rsidR="00000000" w:rsidDel="00000000" w:rsidP="00000000" w:rsidRDefault="00000000" w:rsidRPr="00000000" w14:paraId="00000026">
      <w:pPr>
        <w:rPr/>
      </w:pPr>
      <w:r w:rsidDel="00000000" w:rsidR="00000000" w:rsidRPr="00000000">
        <w:rPr>
          <w:rtl w:val="0"/>
        </w:rPr>
        <w:t xml:space="preserve">Ce cadre présente une forte cohérence interne et une structure mathématique logique qui justifie une vérification empirique et formelle approfondie par des experts en mathématiques appliquées et physique des fluides. Il ne constitue pas encore un résultat mathématique pleinement validé expérimentalement dans toutes les conditions possibles, mais sa structure permet d’affirmer qu’un examen rigoureux par un jury de doctorat ou des pairs est requis pour en confirmer l’exactitude.</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