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E308A3" w:rsidP="00D30107">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Measuring Extremist Ideology across Ethnicity and Sex</w:t>
      </w:r>
    </w:p>
    <w:p w:rsidR="00D30107" w:rsidRPr="00D30107" w:rsidRDefault="00D30107" w:rsidP="00D30107">
      <w:pPr>
        <w:spacing w:line="360" w:lineRule="auto"/>
        <w:jc w:val="center"/>
        <w:rPr>
          <w:rFonts w:ascii="Times New Roman" w:eastAsia="Calibri" w:hAnsi="Times New Roman" w:cs="Times New Roman"/>
          <w:sz w:val="24"/>
          <w:szCs w:val="24"/>
        </w:rPr>
      </w:pPr>
      <w:r w:rsidRPr="00D30107">
        <w:rPr>
          <w:rFonts w:ascii="Times New Roman" w:eastAsia="Calibri" w:hAnsi="Times New Roman" w:cs="Times New Roman"/>
          <w:sz w:val="24"/>
          <w:szCs w:val="24"/>
        </w:rPr>
        <w:t>Nicholas Graziani</w:t>
      </w:r>
    </w:p>
    <w:p w:rsidR="00D30107" w:rsidRPr="00D30107" w:rsidRDefault="00D30107" w:rsidP="00D30107">
      <w:pPr>
        <w:spacing w:line="360" w:lineRule="auto"/>
        <w:jc w:val="center"/>
        <w:rPr>
          <w:rFonts w:ascii="Times New Roman" w:eastAsia="Calibri" w:hAnsi="Times New Roman" w:cs="Times New Roman"/>
          <w:sz w:val="24"/>
          <w:szCs w:val="24"/>
        </w:rPr>
      </w:pPr>
      <w:r w:rsidRPr="00D30107">
        <w:rPr>
          <w:rFonts w:ascii="Times New Roman" w:eastAsia="Calibri" w:hAnsi="Times New Roman" w:cs="Times New Roman"/>
          <w:sz w:val="24"/>
          <w:szCs w:val="24"/>
        </w:rPr>
        <w:t>S00285803</w:t>
      </w: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D30107" w:rsidRPr="00D30107" w:rsidRDefault="00D30107" w:rsidP="00D30107">
      <w:pPr>
        <w:spacing w:line="360" w:lineRule="auto"/>
        <w:rPr>
          <w:rFonts w:ascii="Times New Roman" w:eastAsia="Calibri" w:hAnsi="Times New Roman" w:cs="Times New Roman"/>
          <w:sz w:val="24"/>
          <w:szCs w:val="24"/>
        </w:rPr>
      </w:pPr>
    </w:p>
    <w:p w:rsidR="008337CB" w:rsidRPr="00D30107" w:rsidRDefault="00D30107" w:rsidP="00D30107">
      <w:pPr>
        <w:spacing w:line="360" w:lineRule="auto"/>
        <w:rPr>
          <w:rFonts w:ascii="Times New Roman" w:eastAsia="Calibri" w:hAnsi="Times New Roman" w:cs="Times New Roman"/>
          <w:sz w:val="24"/>
          <w:szCs w:val="24"/>
        </w:rPr>
      </w:pPr>
      <w:r w:rsidRPr="00D30107">
        <w:rPr>
          <w:rFonts w:ascii="Times New Roman" w:eastAsia="Calibri" w:hAnsi="Times New Roman" w:cs="Times New Roman"/>
          <w:sz w:val="24"/>
          <w:szCs w:val="24"/>
        </w:rPr>
        <w:t xml:space="preserve">Word count: </w:t>
      </w:r>
      <w:r w:rsidR="00EB35C9">
        <w:rPr>
          <w:rFonts w:ascii="Times New Roman" w:eastAsia="Calibri" w:hAnsi="Times New Roman" w:cs="Times New Roman"/>
          <w:sz w:val="24"/>
          <w:szCs w:val="24"/>
        </w:rPr>
        <w:t>1702</w:t>
      </w:r>
      <w:bookmarkStart w:id="0" w:name="_GoBack"/>
      <w:bookmarkEnd w:id="0"/>
    </w:p>
    <w:p w:rsidR="008337CB" w:rsidRDefault="008337CB">
      <w:r>
        <w:br w:type="page"/>
      </w:r>
    </w:p>
    <w:p w:rsidR="008337CB" w:rsidRPr="002B149A" w:rsidRDefault="002B149A" w:rsidP="002B149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8337CB" w:rsidRDefault="00191840" w:rsidP="003D08C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extremist ideology in modern times has often brought to mind Islamic extremism specifically, in large part due to 9/11 and the subsequent fallout, there has been a recent surge in Western far-right extremism. While previous research has investigated perceptions of extremist belief and action in followers of Islam and the effect that these stereotypes have had, there exists a gap in the research comparing the holding of such beliefs against white Westerners</w:t>
      </w:r>
      <w:r w:rsidR="00315BCF">
        <w:rPr>
          <w:rFonts w:ascii="Times New Roman" w:hAnsi="Times New Roman" w:cs="Times New Roman"/>
          <w:sz w:val="24"/>
          <w:szCs w:val="24"/>
        </w:rPr>
        <w:t>, who themselves are a demographic of growing concern</w:t>
      </w:r>
      <w:r>
        <w:rPr>
          <w:rFonts w:ascii="Times New Roman" w:hAnsi="Times New Roman" w:cs="Times New Roman"/>
          <w:sz w:val="24"/>
          <w:szCs w:val="24"/>
        </w:rPr>
        <w:t>. The current study aims to address this</w:t>
      </w:r>
      <w:r w:rsidR="00315BCF">
        <w:rPr>
          <w:rFonts w:ascii="Times New Roman" w:hAnsi="Times New Roman" w:cs="Times New Roman"/>
          <w:sz w:val="24"/>
          <w:szCs w:val="24"/>
        </w:rPr>
        <w:t xml:space="preserve"> gap,</w:t>
      </w:r>
      <w:r>
        <w:rPr>
          <w:rFonts w:ascii="Times New Roman" w:hAnsi="Times New Roman" w:cs="Times New Roman"/>
          <w:sz w:val="24"/>
          <w:szCs w:val="24"/>
        </w:rPr>
        <w:t xml:space="preserve"> and assess the </w:t>
      </w:r>
      <w:r w:rsidR="00315BCF">
        <w:rPr>
          <w:rFonts w:ascii="Times New Roman" w:hAnsi="Times New Roman" w:cs="Times New Roman"/>
          <w:sz w:val="24"/>
          <w:szCs w:val="24"/>
        </w:rPr>
        <w:t>rising</w:t>
      </w:r>
      <w:r>
        <w:rPr>
          <w:rFonts w:ascii="Times New Roman" w:hAnsi="Times New Roman" w:cs="Times New Roman"/>
          <w:sz w:val="24"/>
          <w:szCs w:val="24"/>
        </w:rPr>
        <w:t xml:space="preserve"> concern regarding Western far-right extremist ideology</w:t>
      </w:r>
      <w:r w:rsidR="00315BCF">
        <w:rPr>
          <w:rFonts w:ascii="Times New Roman" w:hAnsi="Times New Roman" w:cs="Times New Roman"/>
          <w:sz w:val="24"/>
          <w:szCs w:val="24"/>
        </w:rPr>
        <w:t xml:space="preserve">. </w:t>
      </w:r>
      <w:r w:rsidR="00E61003">
        <w:rPr>
          <w:rFonts w:ascii="Times New Roman" w:hAnsi="Times New Roman" w:cs="Times New Roman"/>
          <w:sz w:val="24"/>
          <w:szCs w:val="24"/>
        </w:rPr>
        <w:t xml:space="preserve">Seventy-eight participants of both White Australian and Muslim Australian backgrounds were thus recruited in order to </w:t>
      </w:r>
      <w:r w:rsidR="00315BCF">
        <w:rPr>
          <w:rFonts w:ascii="Times New Roman" w:hAnsi="Times New Roman" w:cs="Times New Roman"/>
          <w:sz w:val="24"/>
          <w:szCs w:val="24"/>
        </w:rPr>
        <w:t xml:space="preserve">measure sympathy for </w:t>
      </w:r>
      <w:r w:rsidR="00E61003">
        <w:rPr>
          <w:rFonts w:ascii="Times New Roman" w:hAnsi="Times New Roman" w:cs="Times New Roman"/>
          <w:sz w:val="24"/>
          <w:szCs w:val="24"/>
        </w:rPr>
        <w:t>radical violence</w:t>
      </w:r>
      <w:r w:rsidR="00315BCF">
        <w:rPr>
          <w:rFonts w:ascii="Times New Roman" w:hAnsi="Times New Roman" w:cs="Times New Roman"/>
          <w:sz w:val="24"/>
          <w:szCs w:val="24"/>
        </w:rPr>
        <w:t xml:space="preserve"> and their activism intention through a questionnaire. An independent samples t-test demonstrated that white Australians scored significantly higher in sympathy for radical violence than Muslim Australians. Additionally, a two-way between-subjects ANOVA revealed that participant sex had a significant main effect on activism intention. T</w:t>
      </w:r>
      <w:r w:rsidR="00383618">
        <w:rPr>
          <w:rFonts w:ascii="Times New Roman" w:hAnsi="Times New Roman" w:cs="Times New Roman"/>
          <w:sz w:val="24"/>
          <w:szCs w:val="24"/>
        </w:rPr>
        <w:t>he findings thus support the notion that Wester far-right ideology is a growing concern, and that stereotypes against Muslim people are further unjustified. Additionally, the findings highlight that sex could play a role in activism.</w:t>
      </w:r>
    </w:p>
    <w:p w:rsidR="008337CB" w:rsidRDefault="008337CB" w:rsidP="008337CB">
      <w:pPr>
        <w:spacing w:line="480" w:lineRule="auto"/>
        <w:rPr>
          <w:rFonts w:ascii="Times New Roman" w:hAnsi="Times New Roman" w:cs="Times New Roman"/>
          <w:sz w:val="24"/>
          <w:szCs w:val="24"/>
        </w:rPr>
      </w:pPr>
    </w:p>
    <w:p w:rsidR="008337CB" w:rsidRDefault="008337CB">
      <w:pPr>
        <w:rPr>
          <w:rFonts w:ascii="Times New Roman" w:hAnsi="Times New Roman" w:cs="Times New Roman"/>
          <w:sz w:val="24"/>
          <w:szCs w:val="24"/>
        </w:rPr>
      </w:pPr>
      <w:r>
        <w:rPr>
          <w:rFonts w:ascii="Times New Roman" w:hAnsi="Times New Roman" w:cs="Times New Roman"/>
          <w:sz w:val="24"/>
          <w:szCs w:val="24"/>
        </w:rPr>
        <w:br w:type="page"/>
      </w:r>
    </w:p>
    <w:p w:rsidR="002B149A" w:rsidRPr="00E308A3" w:rsidRDefault="002B149A" w:rsidP="002B149A">
      <w:pPr>
        <w:spacing w:line="360" w:lineRule="auto"/>
        <w:jc w:val="center"/>
        <w:rPr>
          <w:rFonts w:ascii="Times New Roman" w:eastAsia="Calibri" w:hAnsi="Times New Roman" w:cs="Times New Roman"/>
          <w:b/>
          <w:sz w:val="24"/>
          <w:szCs w:val="24"/>
        </w:rPr>
      </w:pPr>
      <w:r w:rsidRPr="00E308A3">
        <w:rPr>
          <w:rFonts w:ascii="Times New Roman" w:eastAsia="Calibri" w:hAnsi="Times New Roman" w:cs="Times New Roman"/>
          <w:b/>
          <w:sz w:val="24"/>
          <w:szCs w:val="24"/>
        </w:rPr>
        <w:lastRenderedPageBreak/>
        <w:t>Measuring Extremist Ideology across Ethnicity and Sex</w:t>
      </w:r>
    </w:p>
    <w:p w:rsidR="002B149A" w:rsidRDefault="002B149A" w:rsidP="002B149A">
      <w:pPr>
        <w:spacing w:line="480" w:lineRule="auto"/>
        <w:ind w:firstLine="720"/>
        <w:rPr>
          <w:rFonts w:ascii="Times New Roman" w:hAnsi="Times New Roman" w:cs="Times New Roman"/>
          <w:sz w:val="24"/>
          <w:szCs w:val="24"/>
        </w:rPr>
      </w:pPr>
      <w:r>
        <w:rPr>
          <w:rFonts w:ascii="Times New Roman" w:hAnsi="Times New Roman" w:cs="Times New Roman"/>
          <w:sz w:val="24"/>
          <w:szCs w:val="24"/>
        </w:rPr>
        <w:t>Extremist ideology refers to political beliefs which accept or advocate for ideals which are far removed</w:t>
      </w:r>
      <w:r w:rsidR="00951F2F">
        <w:rPr>
          <w:rFonts w:ascii="Times New Roman" w:hAnsi="Times New Roman" w:cs="Times New Roman"/>
          <w:sz w:val="24"/>
          <w:szCs w:val="24"/>
        </w:rPr>
        <w:t xml:space="preserve"> from</w:t>
      </w:r>
      <w:r>
        <w:rPr>
          <w:rFonts w:ascii="Times New Roman" w:hAnsi="Times New Roman" w:cs="Times New Roman"/>
          <w:sz w:val="24"/>
          <w:szCs w:val="24"/>
        </w:rPr>
        <w:t xml:space="preserve"> the </w:t>
      </w:r>
      <w:r w:rsidR="0070395A">
        <w:rPr>
          <w:rFonts w:ascii="Times New Roman" w:hAnsi="Times New Roman" w:cs="Times New Roman"/>
          <w:sz w:val="24"/>
          <w:szCs w:val="24"/>
        </w:rPr>
        <w:t>mainstream norm (</w:t>
      </w:r>
      <w:proofErr w:type="spellStart"/>
      <w:r w:rsidR="00DB6E17">
        <w:rPr>
          <w:rFonts w:ascii="Times New Roman" w:hAnsi="Times New Roman" w:cs="Times New Roman"/>
          <w:sz w:val="24"/>
          <w:szCs w:val="24"/>
        </w:rPr>
        <w:t>Schmid</w:t>
      </w:r>
      <w:proofErr w:type="spellEnd"/>
      <w:r w:rsidR="00DB6E17">
        <w:rPr>
          <w:rFonts w:ascii="Times New Roman" w:hAnsi="Times New Roman" w:cs="Times New Roman"/>
          <w:sz w:val="24"/>
          <w:szCs w:val="24"/>
        </w:rPr>
        <w:t>, 2016</w:t>
      </w:r>
      <w:r w:rsidR="0070395A">
        <w:rPr>
          <w:rFonts w:ascii="Times New Roman" w:hAnsi="Times New Roman" w:cs="Times New Roman"/>
          <w:sz w:val="24"/>
          <w:szCs w:val="24"/>
        </w:rPr>
        <w:t xml:space="preserve">). </w:t>
      </w:r>
      <w:r w:rsidR="007C23DA">
        <w:rPr>
          <w:rFonts w:ascii="Times New Roman" w:hAnsi="Times New Roman" w:cs="Times New Roman"/>
          <w:sz w:val="24"/>
          <w:szCs w:val="24"/>
        </w:rPr>
        <w:t>In modern times in the West, ideological extremism has been at the forefront in two main forms – one of which is Islamic extremism, particularly after the events of 9/11 and the aftermath in political discourse and the media (</w:t>
      </w:r>
      <w:proofErr w:type="spellStart"/>
      <w:r w:rsidR="000135BC" w:rsidRPr="000135BC">
        <w:rPr>
          <w:rFonts w:ascii="Times New Roman" w:hAnsi="Times New Roman" w:cs="Times New Roman"/>
          <w:sz w:val="24"/>
          <w:szCs w:val="24"/>
        </w:rPr>
        <w:t>Alsultany</w:t>
      </w:r>
      <w:proofErr w:type="spellEnd"/>
      <w:r w:rsidR="006409EE">
        <w:rPr>
          <w:rFonts w:ascii="Times New Roman" w:hAnsi="Times New Roman" w:cs="Times New Roman"/>
          <w:sz w:val="24"/>
          <w:szCs w:val="24"/>
        </w:rPr>
        <w:t>, 2013</w:t>
      </w:r>
      <w:r w:rsidR="007C23DA">
        <w:rPr>
          <w:rFonts w:ascii="Times New Roman" w:hAnsi="Times New Roman" w:cs="Times New Roman"/>
          <w:sz w:val="24"/>
          <w:szCs w:val="24"/>
        </w:rPr>
        <w:t xml:space="preserve">). </w:t>
      </w:r>
      <w:r w:rsidR="003D08CF">
        <w:rPr>
          <w:rFonts w:ascii="Times New Roman" w:hAnsi="Times New Roman" w:cs="Times New Roman"/>
          <w:sz w:val="24"/>
          <w:szCs w:val="24"/>
        </w:rPr>
        <w:t>However, m</w:t>
      </w:r>
      <w:r w:rsidR="007C23DA">
        <w:rPr>
          <w:rFonts w:ascii="Times New Roman" w:hAnsi="Times New Roman" w:cs="Times New Roman"/>
          <w:sz w:val="24"/>
          <w:szCs w:val="24"/>
        </w:rPr>
        <w:t>ore recently in the West, right-wing extremism</w:t>
      </w:r>
      <w:r w:rsidR="009272C9">
        <w:rPr>
          <w:rFonts w:ascii="Times New Roman" w:hAnsi="Times New Roman" w:cs="Times New Roman"/>
          <w:sz w:val="24"/>
          <w:szCs w:val="24"/>
        </w:rPr>
        <w:t xml:space="preserve"> has overtaken Islamic extremism as a talking point in these channe</w:t>
      </w:r>
      <w:r w:rsidR="00A31E17">
        <w:rPr>
          <w:rFonts w:ascii="Times New Roman" w:hAnsi="Times New Roman" w:cs="Times New Roman"/>
          <w:sz w:val="24"/>
          <w:szCs w:val="24"/>
        </w:rPr>
        <w:t>ls with a</w:t>
      </w:r>
      <w:r w:rsidR="009272C9">
        <w:rPr>
          <w:rFonts w:ascii="Times New Roman" w:hAnsi="Times New Roman" w:cs="Times New Roman"/>
          <w:sz w:val="24"/>
          <w:szCs w:val="24"/>
        </w:rPr>
        <w:t xml:space="preserve"> surge of </w:t>
      </w:r>
      <w:r w:rsidR="00273992">
        <w:rPr>
          <w:rFonts w:ascii="Times New Roman" w:hAnsi="Times New Roman" w:cs="Times New Roman"/>
          <w:sz w:val="24"/>
          <w:szCs w:val="24"/>
        </w:rPr>
        <w:t xml:space="preserve">radical far right </w:t>
      </w:r>
      <w:r w:rsidR="009272C9">
        <w:rPr>
          <w:rFonts w:ascii="Times New Roman" w:hAnsi="Times New Roman" w:cs="Times New Roman"/>
          <w:sz w:val="24"/>
          <w:szCs w:val="24"/>
        </w:rPr>
        <w:t>groups promoting the radicalisation of individuals (</w:t>
      </w:r>
      <w:r w:rsidR="00DB6E17">
        <w:rPr>
          <w:rFonts w:ascii="Times New Roman" w:hAnsi="Times New Roman" w:cs="Times New Roman"/>
          <w:sz w:val="24"/>
          <w:szCs w:val="24"/>
        </w:rPr>
        <w:t>Pantucci &amp; Ong, 2021</w:t>
      </w:r>
      <w:r w:rsidR="00ED1468">
        <w:rPr>
          <w:rFonts w:ascii="Times New Roman" w:hAnsi="Times New Roman" w:cs="Times New Roman"/>
          <w:sz w:val="24"/>
          <w:szCs w:val="24"/>
        </w:rPr>
        <w:t>).</w:t>
      </w:r>
    </w:p>
    <w:p w:rsidR="002A154F" w:rsidRDefault="00053C4A" w:rsidP="00221578">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the shift in focus to right-wing extremism, the prevalent focus on Islamic extremism was pervasive in Western media and particularly US politics</w:t>
      </w:r>
      <w:r w:rsidR="008054DB">
        <w:rPr>
          <w:rFonts w:ascii="Times New Roman" w:hAnsi="Times New Roman" w:cs="Times New Roman"/>
          <w:sz w:val="24"/>
          <w:szCs w:val="24"/>
        </w:rPr>
        <w:t xml:space="preserve"> </w:t>
      </w:r>
      <w:r w:rsidR="000135BC">
        <w:rPr>
          <w:rFonts w:ascii="Times New Roman" w:hAnsi="Times New Roman" w:cs="Times New Roman"/>
          <w:sz w:val="24"/>
          <w:szCs w:val="24"/>
        </w:rPr>
        <w:t>(</w:t>
      </w:r>
      <w:proofErr w:type="spellStart"/>
      <w:r w:rsidR="0019312F">
        <w:rPr>
          <w:rFonts w:ascii="Times New Roman" w:hAnsi="Times New Roman" w:cs="Times New Roman"/>
          <w:sz w:val="24"/>
          <w:szCs w:val="24"/>
        </w:rPr>
        <w:t>Chermak</w:t>
      </w:r>
      <w:proofErr w:type="spellEnd"/>
      <w:r w:rsidR="0019312F" w:rsidRPr="00535053">
        <w:rPr>
          <w:rFonts w:ascii="Times New Roman" w:hAnsi="Times New Roman" w:cs="Times New Roman"/>
          <w:sz w:val="24"/>
          <w:szCs w:val="24"/>
        </w:rPr>
        <w:t xml:space="preserve"> &amp; Gruenewald</w:t>
      </w:r>
      <w:r w:rsidR="0019312F">
        <w:rPr>
          <w:rFonts w:ascii="Times New Roman" w:hAnsi="Times New Roman" w:cs="Times New Roman"/>
          <w:sz w:val="24"/>
          <w:szCs w:val="24"/>
        </w:rPr>
        <w:t>, 2015</w:t>
      </w:r>
      <w:r w:rsidR="00A51CD7">
        <w:rPr>
          <w:rFonts w:ascii="Times New Roman" w:hAnsi="Times New Roman" w:cs="Times New Roman"/>
          <w:sz w:val="24"/>
          <w:szCs w:val="24"/>
        </w:rPr>
        <w:t>)</w:t>
      </w:r>
      <w:r>
        <w:rPr>
          <w:rFonts w:ascii="Times New Roman" w:hAnsi="Times New Roman" w:cs="Times New Roman"/>
          <w:sz w:val="24"/>
          <w:szCs w:val="24"/>
        </w:rPr>
        <w:t>,</w:t>
      </w:r>
      <w:r w:rsidR="00A51CD7">
        <w:rPr>
          <w:rFonts w:ascii="Times New Roman" w:hAnsi="Times New Roman" w:cs="Times New Roman"/>
          <w:sz w:val="24"/>
          <w:szCs w:val="24"/>
        </w:rPr>
        <w:t xml:space="preserve"> with the dramatic surge in US media in the years following 9</w:t>
      </w:r>
      <w:r w:rsidR="00A31E17">
        <w:rPr>
          <w:rFonts w:ascii="Times New Roman" w:hAnsi="Times New Roman" w:cs="Times New Roman"/>
          <w:sz w:val="24"/>
          <w:szCs w:val="24"/>
        </w:rPr>
        <w:t>/11 theoretically serving the</w:t>
      </w:r>
      <w:r w:rsidR="00A51CD7">
        <w:rPr>
          <w:rFonts w:ascii="Times New Roman" w:hAnsi="Times New Roman" w:cs="Times New Roman"/>
          <w:sz w:val="24"/>
          <w:szCs w:val="24"/>
        </w:rPr>
        <w:t xml:space="preserve"> propaganda to garner citizen support US military action in </w:t>
      </w:r>
      <w:r w:rsidR="00D43F58">
        <w:rPr>
          <w:rFonts w:ascii="Times New Roman" w:hAnsi="Times New Roman" w:cs="Times New Roman"/>
          <w:sz w:val="24"/>
          <w:szCs w:val="24"/>
        </w:rPr>
        <w:t>the Middle-East</w:t>
      </w:r>
      <w:r w:rsidR="00A51CD7">
        <w:rPr>
          <w:rFonts w:ascii="Times New Roman" w:hAnsi="Times New Roman" w:cs="Times New Roman"/>
          <w:sz w:val="24"/>
          <w:szCs w:val="24"/>
        </w:rPr>
        <w:t xml:space="preserve"> (</w:t>
      </w:r>
      <w:proofErr w:type="spellStart"/>
      <w:r w:rsidR="00E87217" w:rsidRPr="000135BC">
        <w:rPr>
          <w:rFonts w:ascii="Times New Roman" w:hAnsi="Times New Roman" w:cs="Times New Roman"/>
          <w:sz w:val="24"/>
          <w:szCs w:val="24"/>
        </w:rPr>
        <w:t>Alsultany</w:t>
      </w:r>
      <w:proofErr w:type="spellEnd"/>
      <w:r w:rsidR="00E87217">
        <w:rPr>
          <w:rFonts w:ascii="Times New Roman" w:hAnsi="Times New Roman" w:cs="Times New Roman"/>
          <w:sz w:val="24"/>
          <w:szCs w:val="24"/>
        </w:rPr>
        <w:t>, 2013</w:t>
      </w:r>
      <w:r w:rsidR="00A51CD7">
        <w:rPr>
          <w:rFonts w:ascii="Times New Roman" w:hAnsi="Times New Roman" w:cs="Times New Roman"/>
          <w:sz w:val="24"/>
          <w:szCs w:val="24"/>
        </w:rPr>
        <w:t xml:space="preserve">). </w:t>
      </w:r>
      <w:r w:rsidR="00F93ACD">
        <w:rPr>
          <w:rFonts w:ascii="Times New Roman" w:hAnsi="Times New Roman" w:cs="Times New Roman"/>
          <w:sz w:val="24"/>
          <w:szCs w:val="24"/>
        </w:rPr>
        <w:t>This in turn correlated with a surge in xenophobia towards Middle-Eastern and particularly followers of Islam in the West (</w:t>
      </w:r>
      <w:proofErr w:type="spellStart"/>
      <w:r w:rsidR="00E87217">
        <w:rPr>
          <w:rFonts w:ascii="Times New Roman" w:hAnsi="Times New Roman" w:cs="Times New Roman"/>
          <w:sz w:val="24"/>
          <w:szCs w:val="24"/>
        </w:rPr>
        <w:t>Bassioni</w:t>
      </w:r>
      <w:proofErr w:type="spellEnd"/>
      <w:r w:rsidR="00E87217" w:rsidRPr="00671ED9">
        <w:rPr>
          <w:rFonts w:ascii="Times New Roman" w:hAnsi="Times New Roman" w:cs="Times New Roman"/>
          <w:sz w:val="24"/>
          <w:szCs w:val="24"/>
        </w:rPr>
        <w:t xml:space="preserve"> &amp; </w:t>
      </w:r>
      <w:proofErr w:type="spellStart"/>
      <w:r w:rsidR="00E87217" w:rsidRPr="00671ED9">
        <w:rPr>
          <w:rFonts w:ascii="Times New Roman" w:hAnsi="Times New Roman" w:cs="Times New Roman"/>
          <w:sz w:val="24"/>
          <w:szCs w:val="24"/>
        </w:rPr>
        <w:t>Langrehr</w:t>
      </w:r>
      <w:proofErr w:type="spellEnd"/>
      <w:r w:rsidR="00E87217">
        <w:rPr>
          <w:rFonts w:ascii="Times New Roman" w:hAnsi="Times New Roman" w:cs="Times New Roman"/>
          <w:sz w:val="24"/>
          <w:szCs w:val="24"/>
        </w:rPr>
        <w:t>, 2021</w:t>
      </w:r>
      <w:r w:rsidR="00F93ACD">
        <w:rPr>
          <w:rFonts w:ascii="Times New Roman" w:hAnsi="Times New Roman" w:cs="Times New Roman"/>
          <w:sz w:val="24"/>
          <w:szCs w:val="24"/>
        </w:rPr>
        <w:t xml:space="preserve">). </w:t>
      </w:r>
      <w:r w:rsidR="00D43F58">
        <w:rPr>
          <w:rFonts w:ascii="Times New Roman" w:hAnsi="Times New Roman" w:cs="Times New Roman"/>
          <w:sz w:val="24"/>
          <w:szCs w:val="24"/>
        </w:rPr>
        <w:t>Although al-Qaeda – who claimed responsibility for the 9/11 attacks – is considered a far-right group of Sunni Islamic extremists</w:t>
      </w:r>
      <w:r w:rsidR="0086713D">
        <w:rPr>
          <w:rFonts w:ascii="Times New Roman" w:hAnsi="Times New Roman" w:cs="Times New Roman"/>
          <w:sz w:val="24"/>
          <w:szCs w:val="24"/>
        </w:rPr>
        <w:t>,</w:t>
      </w:r>
      <w:r w:rsidR="00D43F58">
        <w:rPr>
          <w:rFonts w:ascii="Times New Roman" w:hAnsi="Times New Roman" w:cs="Times New Roman"/>
          <w:sz w:val="24"/>
          <w:szCs w:val="24"/>
        </w:rPr>
        <w:t xml:space="preserve"> t</w:t>
      </w:r>
      <w:r w:rsidR="00C834E1">
        <w:rPr>
          <w:rFonts w:ascii="Times New Roman" w:hAnsi="Times New Roman" w:cs="Times New Roman"/>
          <w:sz w:val="24"/>
          <w:szCs w:val="24"/>
        </w:rPr>
        <w:t>he rece</w:t>
      </w:r>
      <w:r w:rsidR="00535053">
        <w:rPr>
          <w:rFonts w:ascii="Times New Roman" w:hAnsi="Times New Roman" w:cs="Times New Roman"/>
          <w:sz w:val="24"/>
          <w:szCs w:val="24"/>
        </w:rPr>
        <w:t xml:space="preserve">nt surge of Western far </w:t>
      </w:r>
      <w:r w:rsidR="00C834E1">
        <w:rPr>
          <w:rFonts w:ascii="Times New Roman" w:hAnsi="Times New Roman" w:cs="Times New Roman"/>
          <w:sz w:val="24"/>
          <w:szCs w:val="24"/>
        </w:rPr>
        <w:t>rig</w:t>
      </w:r>
      <w:r w:rsidR="0086713D">
        <w:rPr>
          <w:rFonts w:ascii="Times New Roman" w:hAnsi="Times New Roman" w:cs="Times New Roman"/>
          <w:sz w:val="24"/>
          <w:szCs w:val="24"/>
        </w:rPr>
        <w:t xml:space="preserve">ht extremist ideology, </w:t>
      </w:r>
      <w:r w:rsidR="00E87217">
        <w:rPr>
          <w:rFonts w:ascii="Times New Roman" w:hAnsi="Times New Roman" w:cs="Times New Roman"/>
          <w:sz w:val="24"/>
          <w:szCs w:val="24"/>
        </w:rPr>
        <w:t>has not</w:t>
      </w:r>
      <w:r w:rsidR="00C834E1">
        <w:rPr>
          <w:rFonts w:ascii="Times New Roman" w:hAnsi="Times New Roman" w:cs="Times New Roman"/>
          <w:sz w:val="24"/>
          <w:szCs w:val="24"/>
        </w:rPr>
        <w:t xml:space="preserve"> been met with the sa</w:t>
      </w:r>
      <w:r w:rsidR="00951F2F">
        <w:rPr>
          <w:rFonts w:ascii="Times New Roman" w:hAnsi="Times New Roman" w:cs="Times New Roman"/>
          <w:sz w:val="24"/>
          <w:szCs w:val="24"/>
        </w:rPr>
        <w:t>me level of perceived fear</w:t>
      </w:r>
      <w:r w:rsidR="00E87217">
        <w:rPr>
          <w:rFonts w:ascii="Times New Roman" w:hAnsi="Times New Roman" w:cs="Times New Roman"/>
          <w:sz w:val="24"/>
          <w:szCs w:val="24"/>
        </w:rPr>
        <w:t xml:space="preserve"> locally in the West (</w:t>
      </w:r>
      <w:proofErr w:type="spellStart"/>
      <w:r w:rsidR="00E87217">
        <w:rPr>
          <w:rFonts w:ascii="Times New Roman" w:hAnsi="Times New Roman" w:cs="Times New Roman"/>
          <w:sz w:val="24"/>
          <w:szCs w:val="24"/>
        </w:rPr>
        <w:t>Schmid</w:t>
      </w:r>
      <w:proofErr w:type="spellEnd"/>
      <w:r w:rsidR="00E87217">
        <w:rPr>
          <w:rFonts w:ascii="Times New Roman" w:hAnsi="Times New Roman" w:cs="Times New Roman"/>
          <w:sz w:val="24"/>
          <w:szCs w:val="24"/>
        </w:rPr>
        <w:t>, 2016</w:t>
      </w:r>
      <w:r w:rsidR="00951F2F">
        <w:rPr>
          <w:rFonts w:ascii="Times New Roman" w:hAnsi="Times New Roman" w:cs="Times New Roman"/>
          <w:sz w:val="24"/>
          <w:szCs w:val="24"/>
        </w:rPr>
        <w:t>)</w:t>
      </w:r>
      <w:r w:rsidR="00D43F58">
        <w:rPr>
          <w:rFonts w:ascii="Times New Roman" w:hAnsi="Times New Roman" w:cs="Times New Roman"/>
          <w:sz w:val="24"/>
          <w:szCs w:val="24"/>
        </w:rPr>
        <w:t>.</w:t>
      </w:r>
      <w:r w:rsidR="00951F2F">
        <w:rPr>
          <w:rFonts w:ascii="Times New Roman" w:hAnsi="Times New Roman" w:cs="Times New Roman"/>
          <w:sz w:val="24"/>
          <w:szCs w:val="24"/>
        </w:rPr>
        <w:t xml:space="preserve"> </w:t>
      </w:r>
      <w:r w:rsidR="0086713D">
        <w:rPr>
          <w:rFonts w:ascii="Times New Roman" w:hAnsi="Times New Roman" w:cs="Times New Roman"/>
          <w:sz w:val="24"/>
          <w:szCs w:val="24"/>
        </w:rPr>
        <w:t>This potentially indicates</w:t>
      </w:r>
      <w:r w:rsidR="00951F2F">
        <w:rPr>
          <w:rFonts w:ascii="Times New Roman" w:hAnsi="Times New Roman" w:cs="Times New Roman"/>
          <w:sz w:val="24"/>
          <w:szCs w:val="24"/>
        </w:rPr>
        <w:t xml:space="preserve"> that </w:t>
      </w:r>
      <w:r w:rsidR="0086713D">
        <w:rPr>
          <w:rFonts w:ascii="Times New Roman" w:hAnsi="Times New Roman" w:cs="Times New Roman"/>
          <w:sz w:val="24"/>
          <w:szCs w:val="24"/>
        </w:rPr>
        <w:t>Islamic extremism is perceived differently by Western individuals</w:t>
      </w:r>
      <w:r w:rsidR="00535053">
        <w:rPr>
          <w:rFonts w:ascii="Times New Roman" w:hAnsi="Times New Roman" w:cs="Times New Roman"/>
          <w:sz w:val="24"/>
          <w:szCs w:val="24"/>
        </w:rPr>
        <w:t>, e.g. that followers of Islam are more dangerous or suscept</w:t>
      </w:r>
      <w:r w:rsidR="002A154F">
        <w:rPr>
          <w:rFonts w:ascii="Times New Roman" w:hAnsi="Times New Roman" w:cs="Times New Roman"/>
          <w:sz w:val="24"/>
          <w:szCs w:val="24"/>
        </w:rPr>
        <w:t>ible to extremist beliefs than</w:t>
      </w:r>
      <w:r w:rsidR="00535053">
        <w:rPr>
          <w:rFonts w:ascii="Times New Roman" w:hAnsi="Times New Roman" w:cs="Times New Roman"/>
          <w:sz w:val="24"/>
          <w:szCs w:val="24"/>
        </w:rPr>
        <w:t xml:space="preserve"> white</w:t>
      </w:r>
      <w:r w:rsidR="002A154F">
        <w:rPr>
          <w:rFonts w:ascii="Times New Roman" w:hAnsi="Times New Roman" w:cs="Times New Roman"/>
          <w:sz w:val="24"/>
          <w:szCs w:val="24"/>
        </w:rPr>
        <w:t>,</w:t>
      </w:r>
      <w:r w:rsidR="00535053">
        <w:rPr>
          <w:rFonts w:ascii="Times New Roman" w:hAnsi="Times New Roman" w:cs="Times New Roman"/>
          <w:sz w:val="24"/>
          <w:szCs w:val="24"/>
        </w:rPr>
        <w:t xml:space="preserve"> Western individual</w:t>
      </w:r>
      <w:r w:rsidR="002A154F">
        <w:rPr>
          <w:rFonts w:ascii="Times New Roman" w:hAnsi="Times New Roman" w:cs="Times New Roman"/>
          <w:sz w:val="24"/>
          <w:szCs w:val="24"/>
        </w:rPr>
        <w:t>s</w:t>
      </w:r>
      <w:r w:rsidR="00535053">
        <w:rPr>
          <w:rFonts w:ascii="Times New Roman" w:hAnsi="Times New Roman" w:cs="Times New Roman"/>
          <w:sz w:val="24"/>
          <w:szCs w:val="24"/>
        </w:rPr>
        <w:t>.</w:t>
      </w:r>
      <w:r w:rsidR="00221578">
        <w:rPr>
          <w:rFonts w:ascii="Times New Roman" w:hAnsi="Times New Roman" w:cs="Times New Roman"/>
          <w:sz w:val="24"/>
          <w:szCs w:val="24"/>
        </w:rPr>
        <w:t xml:space="preserve"> </w:t>
      </w:r>
      <w:r w:rsidR="002A154F">
        <w:rPr>
          <w:rFonts w:ascii="Times New Roman" w:hAnsi="Times New Roman" w:cs="Times New Roman"/>
          <w:sz w:val="24"/>
          <w:szCs w:val="24"/>
        </w:rPr>
        <w:t xml:space="preserve">Additionally, </w:t>
      </w:r>
      <w:r w:rsidR="00221578">
        <w:rPr>
          <w:rFonts w:ascii="Times New Roman" w:hAnsi="Times New Roman" w:cs="Times New Roman"/>
          <w:sz w:val="24"/>
          <w:szCs w:val="24"/>
        </w:rPr>
        <w:t>there exists a perception historically whereby are viewed as less likely to take up radical or extremist action (</w:t>
      </w:r>
      <w:proofErr w:type="spellStart"/>
      <w:r w:rsidR="00221578">
        <w:rPr>
          <w:rFonts w:ascii="Times New Roman" w:hAnsi="Times New Roman" w:cs="Times New Roman"/>
          <w:sz w:val="24"/>
          <w:szCs w:val="24"/>
        </w:rPr>
        <w:t>Desan</w:t>
      </w:r>
      <w:proofErr w:type="spellEnd"/>
      <w:r w:rsidR="00221578">
        <w:rPr>
          <w:rFonts w:ascii="Times New Roman" w:hAnsi="Times New Roman" w:cs="Times New Roman"/>
          <w:sz w:val="24"/>
          <w:szCs w:val="24"/>
        </w:rPr>
        <w:t>, 2020</w:t>
      </w:r>
      <w:r w:rsidR="00244313">
        <w:rPr>
          <w:rFonts w:ascii="Times New Roman" w:hAnsi="Times New Roman" w:cs="Times New Roman"/>
          <w:sz w:val="24"/>
          <w:szCs w:val="24"/>
        </w:rPr>
        <w:t xml:space="preserve">; </w:t>
      </w:r>
      <w:proofErr w:type="spellStart"/>
      <w:r w:rsidR="00244313" w:rsidRPr="00D44B37">
        <w:rPr>
          <w:rFonts w:ascii="Times New Roman" w:hAnsi="Times New Roman" w:cs="Times New Roman"/>
          <w:sz w:val="24"/>
          <w:szCs w:val="24"/>
        </w:rPr>
        <w:t>Möller-Leimkühler</w:t>
      </w:r>
      <w:proofErr w:type="spellEnd"/>
      <w:r w:rsidR="00244313">
        <w:rPr>
          <w:rFonts w:ascii="Times New Roman" w:hAnsi="Times New Roman" w:cs="Times New Roman"/>
          <w:sz w:val="24"/>
          <w:szCs w:val="24"/>
        </w:rPr>
        <w:t>, 2018</w:t>
      </w:r>
      <w:r w:rsidR="00221578">
        <w:rPr>
          <w:rFonts w:ascii="Times New Roman" w:hAnsi="Times New Roman" w:cs="Times New Roman"/>
          <w:sz w:val="24"/>
          <w:szCs w:val="24"/>
        </w:rPr>
        <w:t xml:space="preserve">) – yet despite this, both Muslim men and women report </w:t>
      </w:r>
      <w:r w:rsidR="00671ED9">
        <w:rPr>
          <w:rFonts w:ascii="Times New Roman" w:hAnsi="Times New Roman" w:cs="Times New Roman"/>
          <w:sz w:val="24"/>
          <w:szCs w:val="24"/>
        </w:rPr>
        <w:t>discrimination and fear for their safety in their day-to-day lives in the US (</w:t>
      </w:r>
      <w:proofErr w:type="spellStart"/>
      <w:r w:rsidR="00671ED9">
        <w:rPr>
          <w:rFonts w:ascii="Times New Roman" w:hAnsi="Times New Roman" w:cs="Times New Roman"/>
          <w:sz w:val="24"/>
          <w:szCs w:val="24"/>
        </w:rPr>
        <w:t>Bassioni</w:t>
      </w:r>
      <w:proofErr w:type="spellEnd"/>
      <w:r w:rsidR="00671ED9" w:rsidRPr="00671ED9">
        <w:rPr>
          <w:rFonts w:ascii="Times New Roman" w:hAnsi="Times New Roman" w:cs="Times New Roman"/>
          <w:sz w:val="24"/>
          <w:szCs w:val="24"/>
        </w:rPr>
        <w:t xml:space="preserve"> &amp; </w:t>
      </w:r>
      <w:proofErr w:type="spellStart"/>
      <w:r w:rsidR="00671ED9" w:rsidRPr="00671ED9">
        <w:rPr>
          <w:rFonts w:ascii="Times New Roman" w:hAnsi="Times New Roman" w:cs="Times New Roman"/>
          <w:sz w:val="24"/>
          <w:szCs w:val="24"/>
        </w:rPr>
        <w:t>Langrehr</w:t>
      </w:r>
      <w:proofErr w:type="spellEnd"/>
      <w:r w:rsidR="00671ED9">
        <w:rPr>
          <w:rFonts w:ascii="Times New Roman" w:hAnsi="Times New Roman" w:cs="Times New Roman"/>
          <w:sz w:val="24"/>
          <w:szCs w:val="24"/>
        </w:rPr>
        <w:t>, 2021).</w:t>
      </w:r>
    </w:p>
    <w:p w:rsidR="008337CB" w:rsidRDefault="00283091" w:rsidP="00DB6E1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 these circumstances, there appears to be a surprising lack of literature directly comparing the presence of</w:t>
      </w:r>
      <w:r w:rsidR="00D23E18">
        <w:rPr>
          <w:rFonts w:ascii="Times New Roman" w:hAnsi="Times New Roman" w:cs="Times New Roman"/>
          <w:sz w:val="24"/>
          <w:szCs w:val="24"/>
        </w:rPr>
        <w:t xml:space="preserve"> </w:t>
      </w:r>
      <w:r>
        <w:rPr>
          <w:rFonts w:ascii="Times New Roman" w:hAnsi="Times New Roman" w:cs="Times New Roman"/>
          <w:sz w:val="24"/>
          <w:szCs w:val="24"/>
        </w:rPr>
        <w:t xml:space="preserve">extremist ideologies between Western Muslim Individuals and white Western individuals. Furthermore, men and women </w:t>
      </w:r>
      <w:r w:rsidR="008054DB">
        <w:rPr>
          <w:rFonts w:ascii="Times New Roman" w:hAnsi="Times New Roman" w:cs="Times New Roman"/>
          <w:sz w:val="24"/>
          <w:szCs w:val="24"/>
        </w:rPr>
        <w:t xml:space="preserve">have not yet been measured against each other regarding predisposition towards radical action. </w:t>
      </w:r>
      <w:r w:rsidR="00D44B37">
        <w:rPr>
          <w:rFonts w:ascii="Times New Roman" w:hAnsi="Times New Roman" w:cs="Times New Roman"/>
          <w:sz w:val="24"/>
          <w:szCs w:val="24"/>
        </w:rPr>
        <w:t xml:space="preserve">The current study therefore aims to address this </w:t>
      </w:r>
      <w:r w:rsidR="00297D7E">
        <w:rPr>
          <w:rFonts w:ascii="Times New Roman" w:hAnsi="Times New Roman" w:cs="Times New Roman"/>
          <w:sz w:val="24"/>
          <w:szCs w:val="24"/>
        </w:rPr>
        <w:t>by measuring</w:t>
      </w:r>
      <w:r w:rsidR="00414A21">
        <w:rPr>
          <w:rFonts w:ascii="Times New Roman" w:hAnsi="Times New Roman" w:cs="Times New Roman"/>
          <w:sz w:val="24"/>
          <w:szCs w:val="24"/>
        </w:rPr>
        <w:t xml:space="preserve"> and comparing sympathy for extremist ideologies in Muslim Australians and white Australians, as well measuring and comparing activism intention between men and women. It is hypothesised that there will be no significant d</w:t>
      </w:r>
      <w:r w:rsidR="00A82F37">
        <w:rPr>
          <w:rFonts w:ascii="Times New Roman" w:hAnsi="Times New Roman" w:cs="Times New Roman"/>
          <w:sz w:val="24"/>
          <w:szCs w:val="24"/>
        </w:rPr>
        <w:t>ifference in sympathy for violent r</w:t>
      </w:r>
      <w:r w:rsidR="00414A21">
        <w:rPr>
          <w:rFonts w:ascii="Times New Roman" w:hAnsi="Times New Roman" w:cs="Times New Roman"/>
          <w:sz w:val="24"/>
          <w:szCs w:val="24"/>
        </w:rPr>
        <w:t>adicalisation</w:t>
      </w:r>
      <w:r w:rsidR="00A82F37">
        <w:rPr>
          <w:rFonts w:ascii="Times New Roman" w:hAnsi="Times New Roman" w:cs="Times New Roman"/>
          <w:sz w:val="24"/>
          <w:szCs w:val="24"/>
        </w:rPr>
        <w:t xml:space="preserve"> scores</w:t>
      </w:r>
      <w:r w:rsidR="00414A21">
        <w:rPr>
          <w:rFonts w:ascii="Times New Roman" w:hAnsi="Times New Roman" w:cs="Times New Roman"/>
          <w:sz w:val="24"/>
          <w:szCs w:val="24"/>
        </w:rPr>
        <w:t xml:space="preserve"> between </w:t>
      </w:r>
      <w:r w:rsidR="00A82F37">
        <w:rPr>
          <w:rFonts w:ascii="Times New Roman" w:hAnsi="Times New Roman" w:cs="Times New Roman"/>
          <w:sz w:val="24"/>
          <w:szCs w:val="24"/>
        </w:rPr>
        <w:t>White Australians and Muslim Australians</w:t>
      </w:r>
      <w:r w:rsidR="00BA2EDF">
        <w:rPr>
          <w:rFonts w:ascii="Times New Roman" w:hAnsi="Times New Roman" w:cs="Times New Roman"/>
          <w:sz w:val="24"/>
          <w:szCs w:val="24"/>
        </w:rPr>
        <w:t>. Additionally, it is hypothesised</w:t>
      </w:r>
      <w:r w:rsidR="00414A21">
        <w:rPr>
          <w:rFonts w:ascii="Times New Roman" w:hAnsi="Times New Roman" w:cs="Times New Roman"/>
          <w:sz w:val="24"/>
          <w:szCs w:val="24"/>
        </w:rPr>
        <w:t xml:space="preserve"> </w:t>
      </w:r>
      <w:r w:rsidR="004F55BE">
        <w:rPr>
          <w:rFonts w:ascii="Times New Roman" w:hAnsi="Times New Roman" w:cs="Times New Roman"/>
          <w:sz w:val="24"/>
          <w:szCs w:val="24"/>
        </w:rPr>
        <w:t xml:space="preserve">that </w:t>
      </w:r>
      <w:r w:rsidR="00BA2EDF">
        <w:rPr>
          <w:rFonts w:ascii="Times New Roman" w:hAnsi="Times New Roman" w:cs="Times New Roman"/>
          <w:sz w:val="24"/>
          <w:szCs w:val="24"/>
        </w:rPr>
        <w:t>sex will have a</w:t>
      </w:r>
      <w:r w:rsidR="00536401">
        <w:rPr>
          <w:rFonts w:ascii="Times New Roman" w:hAnsi="Times New Roman" w:cs="Times New Roman"/>
          <w:sz w:val="24"/>
          <w:szCs w:val="24"/>
        </w:rPr>
        <w:t xml:space="preserve"> significant effect when measuring</w:t>
      </w:r>
      <w:r w:rsidR="00A82F37">
        <w:rPr>
          <w:rFonts w:ascii="Times New Roman" w:hAnsi="Times New Roman" w:cs="Times New Roman"/>
          <w:sz w:val="24"/>
          <w:szCs w:val="24"/>
        </w:rPr>
        <w:t xml:space="preserve"> a</w:t>
      </w:r>
      <w:r w:rsidR="004F55BE">
        <w:rPr>
          <w:rFonts w:ascii="Times New Roman" w:hAnsi="Times New Roman" w:cs="Times New Roman"/>
          <w:sz w:val="24"/>
          <w:szCs w:val="24"/>
        </w:rPr>
        <w:t xml:space="preserve">ctivism </w:t>
      </w:r>
      <w:r w:rsidR="00A82F37">
        <w:rPr>
          <w:rFonts w:ascii="Times New Roman" w:hAnsi="Times New Roman" w:cs="Times New Roman"/>
          <w:sz w:val="24"/>
          <w:szCs w:val="24"/>
        </w:rPr>
        <w:t>i</w:t>
      </w:r>
      <w:r w:rsidR="00BA2EDF">
        <w:rPr>
          <w:rFonts w:ascii="Times New Roman" w:hAnsi="Times New Roman" w:cs="Times New Roman"/>
          <w:sz w:val="24"/>
          <w:szCs w:val="24"/>
        </w:rPr>
        <w:t>ntention, but not ethnicity (whether the participant was White Australian or Muslim Australian), and that there would be no significant interaction between ethnicity and sex.</w:t>
      </w:r>
    </w:p>
    <w:p w:rsidR="008337CB" w:rsidRDefault="009A7D4F" w:rsidP="009A7D4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w:t>
      </w:r>
    </w:p>
    <w:p w:rsidR="009A7D4F" w:rsidRDefault="009A7D4F" w:rsidP="009A7D4F">
      <w:pPr>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rsidR="009A7D4F" w:rsidRPr="00591088" w:rsidRDefault="00591088" w:rsidP="008C4AA6">
      <w:pPr>
        <w:spacing w:line="480" w:lineRule="auto"/>
        <w:ind w:firstLine="720"/>
        <w:rPr>
          <w:rFonts w:ascii="Times New Roman" w:hAnsi="Times New Roman" w:cs="Times New Roman"/>
          <w:sz w:val="24"/>
          <w:szCs w:val="24"/>
        </w:rPr>
      </w:pPr>
      <w:r w:rsidRPr="00591088">
        <w:rPr>
          <w:rFonts w:ascii="Times New Roman" w:hAnsi="Times New Roman" w:cs="Times New Roman"/>
          <w:sz w:val="24"/>
          <w:szCs w:val="24"/>
        </w:rPr>
        <w:t>Seventy-eight white Australian or Muslim Australian participants were recruited through Prolific, a website that allows researchers to recruit verified individuals as participants. Participant ages ranged between 18 and 71 (M = 37.7, SD = 12.7). Of the 78 participants recruited, 63 (80.1%) were white Australian and 16 (19.9%) were Muslim Australian.</w:t>
      </w:r>
      <w:r w:rsidR="00424C8E">
        <w:rPr>
          <w:rFonts w:ascii="Times New Roman" w:hAnsi="Times New Roman" w:cs="Times New Roman"/>
          <w:sz w:val="24"/>
          <w:szCs w:val="24"/>
        </w:rPr>
        <w:t xml:space="preserve"> The white Australian sample consisted of 27 male and </w:t>
      </w:r>
      <w:r w:rsidR="008C4AA6">
        <w:rPr>
          <w:rFonts w:ascii="Times New Roman" w:hAnsi="Times New Roman" w:cs="Times New Roman"/>
          <w:sz w:val="24"/>
          <w:szCs w:val="24"/>
        </w:rPr>
        <w:t xml:space="preserve">36 female participants, while the Muslim Australian sample consisted of 4 male and 12 female participants. </w:t>
      </w:r>
      <w:r w:rsidRPr="00591088">
        <w:rPr>
          <w:rFonts w:ascii="Times New Roman" w:hAnsi="Times New Roman" w:cs="Times New Roman"/>
          <w:sz w:val="24"/>
          <w:szCs w:val="24"/>
        </w:rPr>
        <w:t>Participants were paid $5 for their participation through Prolific.</w:t>
      </w:r>
    </w:p>
    <w:p w:rsidR="009A7D4F" w:rsidRDefault="009A7D4F" w:rsidP="009A7D4F">
      <w:pPr>
        <w:spacing w:line="480" w:lineRule="auto"/>
        <w:rPr>
          <w:rFonts w:ascii="Times New Roman" w:hAnsi="Times New Roman" w:cs="Times New Roman"/>
          <w:b/>
          <w:sz w:val="24"/>
          <w:szCs w:val="24"/>
        </w:rPr>
      </w:pPr>
      <w:r>
        <w:rPr>
          <w:rFonts w:ascii="Times New Roman" w:hAnsi="Times New Roman" w:cs="Times New Roman"/>
          <w:b/>
          <w:sz w:val="24"/>
          <w:szCs w:val="24"/>
        </w:rPr>
        <w:t>Materials</w:t>
      </w:r>
    </w:p>
    <w:p w:rsidR="009A7D4F" w:rsidRPr="008C4AA6" w:rsidRDefault="00D314B2" w:rsidP="009A7D4F">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 measures were employed and presented to parti</w:t>
      </w:r>
      <w:r w:rsidR="001A73EA">
        <w:rPr>
          <w:rFonts w:ascii="Times New Roman" w:hAnsi="Times New Roman" w:cs="Times New Roman"/>
          <w:sz w:val="24"/>
          <w:szCs w:val="24"/>
        </w:rPr>
        <w:t xml:space="preserve">cipants through questionnaire on Prolific. The first of these </w:t>
      </w:r>
      <w:r>
        <w:rPr>
          <w:rFonts w:ascii="Times New Roman" w:hAnsi="Times New Roman" w:cs="Times New Roman"/>
          <w:sz w:val="24"/>
          <w:szCs w:val="24"/>
        </w:rPr>
        <w:t xml:space="preserve">measures </w:t>
      </w:r>
      <w:r w:rsidR="001A73EA">
        <w:rPr>
          <w:rFonts w:ascii="Times New Roman" w:hAnsi="Times New Roman" w:cs="Times New Roman"/>
          <w:sz w:val="24"/>
          <w:szCs w:val="24"/>
        </w:rPr>
        <w:t>was</w:t>
      </w:r>
      <w:r>
        <w:rPr>
          <w:rFonts w:ascii="Times New Roman" w:hAnsi="Times New Roman" w:cs="Times New Roman"/>
          <w:sz w:val="24"/>
          <w:szCs w:val="24"/>
        </w:rPr>
        <w:t xml:space="preserve"> the Activism Intention Scale (Moskalenko &amp; </w:t>
      </w:r>
      <w:r>
        <w:rPr>
          <w:rFonts w:ascii="Times New Roman" w:hAnsi="Times New Roman" w:cs="Times New Roman"/>
          <w:sz w:val="24"/>
          <w:szCs w:val="24"/>
        </w:rPr>
        <w:lastRenderedPageBreak/>
        <w:t xml:space="preserve">McCauley, 2009), </w:t>
      </w:r>
      <w:r w:rsidR="001A73EA">
        <w:rPr>
          <w:rFonts w:ascii="Times New Roman" w:hAnsi="Times New Roman" w:cs="Times New Roman"/>
          <w:sz w:val="24"/>
          <w:szCs w:val="24"/>
        </w:rPr>
        <w:t>which includes a seven-point Likert scale ranging from 1 (Strongly disagree) to 7 (Strongly agree)</w:t>
      </w:r>
      <w:r w:rsidR="00E41EA1">
        <w:rPr>
          <w:rFonts w:ascii="Times New Roman" w:hAnsi="Times New Roman" w:cs="Times New Roman"/>
          <w:sz w:val="24"/>
          <w:szCs w:val="24"/>
        </w:rPr>
        <w:t>, in order to measure participant’s predisposition towards action</w:t>
      </w:r>
      <w:r w:rsidR="001A73EA">
        <w:rPr>
          <w:rFonts w:ascii="Times New Roman" w:hAnsi="Times New Roman" w:cs="Times New Roman"/>
          <w:sz w:val="24"/>
          <w:szCs w:val="24"/>
        </w:rPr>
        <w:t xml:space="preserve">. The other primary measure used was the </w:t>
      </w:r>
      <w:r>
        <w:rPr>
          <w:rFonts w:ascii="Times New Roman" w:hAnsi="Times New Roman" w:cs="Times New Roman"/>
          <w:sz w:val="24"/>
          <w:szCs w:val="24"/>
        </w:rPr>
        <w:t>Sympathy for Violent Radicalisation Scale (</w:t>
      </w:r>
      <w:proofErr w:type="spellStart"/>
      <w:r>
        <w:rPr>
          <w:rFonts w:ascii="Times New Roman" w:hAnsi="Times New Roman" w:cs="Times New Roman"/>
          <w:sz w:val="24"/>
          <w:szCs w:val="24"/>
        </w:rPr>
        <w:t>Frounfelker</w:t>
      </w:r>
      <w:proofErr w:type="spellEnd"/>
      <w:r>
        <w:rPr>
          <w:rFonts w:ascii="Times New Roman" w:hAnsi="Times New Roman" w:cs="Times New Roman"/>
          <w:sz w:val="24"/>
          <w:szCs w:val="24"/>
        </w:rPr>
        <w:t xml:space="preserve"> et al., 2021)</w:t>
      </w:r>
      <w:r w:rsidR="001A73EA">
        <w:rPr>
          <w:rFonts w:ascii="Times New Roman" w:hAnsi="Times New Roman" w:cs="Times New Roman"/>
          <w:sz w:val="24"/>
          <w:szCs w:val="24"/>
        </w:rPr>
        <w:t>, which included another seven-point Likert scale ranging from 1 (Strongly disapprove) to 7 (Strongly approve)</w:t>
      </w:r>
      <w:r w:rsidR="00E41EA1">
        <w:rPr>
          <w:rFonts w:ascii="Times New Roman" w:hAnsi="Times New Roman" w:cs="Times New Roman"/>
          <w:sz w:val="24"/>
          <w:szCs w:val="24"/>
        </w:rPr>
        <w:t>, and was used to measure sympathy for extremist beliefs</w:t>
      </w:r>
      <w:r w:rsidR="001A73EA">
        <w:rPr>
          <w:rFonts w:ascii="Times New Roman" w:hAnsi="Times New Roman" w:cs="Times New Roman"/>
          <w:sz w:val="24"/>
          <w:szCs w:val="24"/>
        </w:rPr>
        <w:t>. The questionnaire also contained queries pertaining to the participant’s demographical information and cultural identity.</w:t>
      </w:r>
    </w:p>
    <w:p w:rsidR="009A7D4F" w:rsidRDefault="009A7D4F" w:rsidP="00591088">
      <w:pPr>
        <w:spacing w:line="480" w:lineRule="auto"/>
        <w:rPr>
          <w:rFonts w:ascii="Times New Roman" w:hAnsi="Times New Roman" w:cs="Times New Roman"/>
          <w:b/>
          <w:sz w:val="24"/>
          <w:szCs w:val="24"/>
        </w:rPr>
      </w:pPr>
      <w:r>
        <w:rPr>
          <w:rFonts w:ascii="Times New Roman" w:hAnsi="Times New Roman" w:cs="Times New Roman"/>
          <w:b/>
          <w:sz w:val="24"/>
          <w:szCs w:val="24"/>
        </w:rPr>
        <w:t>Procedure</w:t>
      </w:r>
    </w:p>
    <w:p w:rsidR="008C4AA6" w:rsidRDefault="008C4AA6" w:rsidP="008C4AA6">
      <w:pPr>
        <w:spacing w:line="480" w:lineRule="auto"/>
        <w:ind w:firstLine="720"/>
        <w:rPr>
          <w:rFonts w:ascii="Times New Roman" w:hAnsi="Times New Roman" w:cs="Times New Roman"/>
          <w:sz w:val="24"/>
          <w:szCs w:val="24"/>
        </w:rPr>
      </w:pPr>
      <w:r w:rsidRPr="008C4AA6">
        <w:rPr>
          <w:rFonts w:ascii="Times New Roman" w:hAnsi="Times New Roman" w:cs="Times New Roman"/>
          <w:sz w:val="24"/>
          <w:szCs w:val="24"/>
        </w:rPr>
        <w:t>Participants</w:t>
      </w:r>
      <w:r>
        <w:rPr>
          <w:rFonts w:ascii="Times New Roman" w:hAnsi="Times New Roman" w:cs="Times New Roman"/>
          <w:sz w:val="24"/>
          <w:szCs w:val="24"/>
        </w:rPr>
        <w:t xml:space="preserve"> underwent the study online through Prolific. When beginning the study, participants were informed that the study is part of a larger project.</w:t>
      </w:r>
    </w:p>
    <w:p w:rsidR="008C4AA6" w:rsidRDefault="008C4AA6" w:rsidP="008C4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participants were then asked a series of identification so that participants who did not meet the required criteria were filtered out, and were instead brought to the end of the study prematurely. Participants who made it past this stage were given questions specific to their relevant ethnic identity. </w:t>
      </w:r>
      <w:r w:rsidR="00C1152F">
        <w:rPr>
          <w:rFonts w:ascii="Times New Roman" w:hAnsi="Times New Roman" w:cs="Times New Roman"/>
          <w:sz w:val="24"/>
          <w:szCs w:val="24"/>
        </w:rPr>
        <w:t>The participants then answered the questionnaires, which also comprised of the Activism Intention Scale and Sympathy for Violent Radicalisation Scale. The survey concluded with tasking participants to give their demographical information. A second survey was then presented to community participants where they were given the opportunity to enter their details to go into the draw for a gift voucher. The study took on average 20 minutes to complete.</w:t>
      </w:r>
    </w:p>
    <w:p w:rsidR="00E41EA1" w:rsidRPr="00134C42" w:rsidRDefault="00134C42" w:rsidP="00134C4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rsidR="00FB105E" w:rsidRDefault="00F11AF1" w:rsidP="008C4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independent samples t-test was conducted on the results of the Sympathy for Violent Radicalisation between the White Australian</w:t>
      </w:r>
      <w:r w:rsidR="00501B0B">
        <w:rPr>
          <w:rFonts w:ascii="Times New Roman" w:hAnsi="Times New Roman" w:cs="Times New Roman"/>
          <w:sz w:val="24"/>
          <w:szCs w:val="24"/>
        </w:rPr>
        <w:t xml:space="preserve"> (</w:t>
      </w:r>
      <w:r w:rsidR="00501B0B">
        <w:rPr>
          <w:rFonts w:ascii="Times New Roman" w:hAnsi="Times New Roman" w:cs="Times New Roman"/>
          <w:i/>
          <w:sz w:val="24"/>
          <w:szCs w:val="24"/>
        </w:rPr>
        <w:t xml:space="preserve">M </w:t>
      </w:r>
      <w:r w:rsidR="00501B0B">
        <w:rPr>
          <w:rFonts w:ascii="Times New Roman" w:hAnsi="Times New Roman" w:cs="Times New Roman"/>
          <w:sz w:val="24"/>
          <w:szCs w:val="24"/>
        </w:rPr>
        <w:t xml:space="preserve">= 2.6, </w:t>
      </w:r>
      <w:r w:rsidR="00501B0B">
        <w:rPr>
          <w:rFonts w:ascii="Times New Roman" w:hAnsi="Times New Roman" w:cs="Times New Roman"/>
          <w:i/>
          <w:sz w:val="24"/>
          <w:szCs w:val="24"/>
        </w:rPr>
        <w:t>SD</w:t>
      </w:r>
      <w:r w:rsidR="00501B0B">
        <w:rPr>
          <w:rFonts w:ascii="Times New Roman" w:hAnsi="Times New Roman" w:cs="Times New Roman"/>
          <w:sz w:val="24"/>
          <w:szCs w:val="24"/>
        </w:rPr>
        <w:t xml:space="preserve"> = 1.0)</w:t>
      </w:r>
      <w:r>
        <w:rPr>
          <w:rFonts w:ascii="Times New Roman" w:hAnsi="Times New Roman" w:cs="Times New Roman"/>
          <w:sz w:val="24"/>
          <w:szCs w:val="24"/>
        </w:rPr>
        <w:t xml:space="preserve"> and the Muslim Australian </w:t>
      </w:r>
      <w:r w:rsidR="00501B0B">
        <w:rPr>
          <w:rFonts w:ascii="Times New Roman" w:hAnsi="Times New Roman" w:cs="Times New Roman"/>
          <w:sz w:val="24"/>
          <w:szCs w:val="24"/>
        </w:rPr>
        <w:t>(</w:t>
      </w:r>
      <w:r w:rsidR="00501B0B">
        <w:rPr>
          <w:rFonts w:ascii="Times New Roman" w:hAnsi="Times New Roman" w:cs="Times New Roman"/>
          <w:i/>
          <w:sz w:val="24"/>
          <w:szCs w:val="24"/>
        </w:rPr>
        <w:t xml:space="preserve">M </w:t>
      </w:r>
      <w:r w:rsidR="00501B0B">
        <w:rPr>
          <w:rFonts w:ascii="Times New Roman" w:hAnsi="Times New Roman" w:cs="Times New Roman"/>
          <w:sz w:val="24"/>
          <w:szCs w:val="24"/>
        </w:rPr>
        <w:t xml:space="preserve">= 1.7, </w:t>
      </w:r>
      <w:r w:rsidR="00501B0B">
        <w:rPr>
          <w:rFonts w:ascii="Times New Roman" w:hAnsi="Times New Roman" w:cs="Times New Roman"/>
          <w:i/>
          <w:sz w:val="24"/>
          <w:szCs w:val="24"/>
        </w:rPr>
        <w:t xml:space="preserve">SD </w:t>
      </w:r>
      <w:r w:rsidR="00501B0B">
        <w:rPr>
          <w:rFonts w:ascii="Times New Roman" w:hAnsi="Times New Roman" w:cs="Times New Roman"/>
          <w:sz w:val="24"/>
          <w:szCs w:val="24"/>
        </w:rPr>
        <w:t xml:space="preserve">= 0.6) </w:t>
      </w:r>
      <w:r w:rsidRPr="00501B0B">
        <w:rPr>
          <w:rFonts w:ascii="Times New Roman" w:hAnsi="Times New Roman" w:cs="Times New Roman"/>
          <w:sz w:val="24"/>
          <w:szCs w:val="24"/>
        </w:rPr>
        <w:t>groups</w:t>
      </w:r>
      <w:r w:rsidR="00941A96">
        <w:rPr>
          <w:rFonts w:ascii="Times New Roman" w:hAnsi="Times New Roman" w:cs="Times New Roman"/>
          <w:sz w:val="24"/>
          <w:szCs w:val="24"/>
        </w:rPr>
        <w:t xml:space="preserve">, along with a Levene’s test for </w:t>
      </w:r>
      <w:r w:rsidR="00665415">
        <w:rPr>
          <w:rFonts w:ascii="Times New Roman" w:hAnsi="Times New Roman" w:cs="Times New Roman"/>
          <w:sz w:val="24"/>
          <w:szCs w:val="24"/>
        </w:rPr>
        <w:t>e</w:t>
      </w:r>
      <w:r w:rsidR="00941A96">
        <w:rPr>
          <w:rFonts w:ascii="Times New Roman" w:hAnsi="Times New Roman" w:cs="Times New Roman"/>
          <w:sz w:val="24"/>
          <w:szCs w:val="24"/>
        </w:rPr>
        <w:t xml:space="preserve">quality of variances which expressed that the equality of variances was not met, </w:t>
      </w:r>
      <w:r w:rsidR="00941A96">
        <w:rPr>
          <w:rFonts w:ascii="Times New Roman" w:hAnsi="Times New Roman" w:cs="Times New Roman"/>
          <w:i/>
          <w:sz w:val="24"/>
          <w:szCs w:val="24"/>
        </w:rPr>
        <w:t xml:space="preserve">F </w:t>
      </w:r>
      <w:r w:rsidR="00941A96">
        <w:rPr>
          <w:rFonts w:ascii="Times New Roman" w:hAnsi="Times New Roman" w:cs="Times New Roman"/>
          <w:sz w:val="24"/>
          <w:szCs w:val="24"/>
        </w:rPr>
        <w:t xml:space="preserve">= </w:t>
      </w:r>
      <w:r w:rsidR="001A34C2">
        <w:rPr>
          <w:rFonts w:ascii="Times New Roman" w:hAnsi="Times New Roman" w:cs="Times New Roman"/>
          <w:sz w:val="24"/>
          <w:szCs w:val="24"/>
        </w:rPr>
        <w:t xml:space="preserve">9.63, </w:t>
      </w:r>
      <w:r w:rsidR="001A34C2">
        <w:rPr>
          <w:rFonts w:ascii="Times New Roman" w:hAnsi="Times New Roman" w:cs="Times New Roman"/>
          <w:i/>
          <w:sz w:val="24"/>
          <w:szCs w:val="24"/>
        </w:rPr>
        <w:t xml:space="preserve">p </w:t>
      </w:r>
      <w:r w:rsidR="001A34C2">
        <w:rPr>
          <w:rFonts w:ascii="Times New Roman" w:hAnsi="Times New Roman" w:cs="Times New Roman"/>
          <w:sz w:val="24"/>
          <w:szCs w:val="24"/>
        </w:rPr>
        <w:t>= .003</w:t>
      </w:r>
      <w:r>
        <w:rPr>
          <w:rFonts w:ascii="Times New Roman" w:hAnsi="Times New Roman" w:cs="Times New Roman"/>
          <w:sz w:val="24"/>
          <w:szCs w:val="24"/>
        </w:rPr>
        <w:t>.</w:t>
      </w:r>
    </w:p>
    <w:p w:rsidR="00670F86" w:rsidRDefault="00742C8E" w:rsidP="008C4AA6">
      <w:pPr>
        <w:spacing w:line="480" w:lineRule="auto"/>
        <w:ind w:firstLine="720"/>
        <w:rPr>
          <w:rFonts w:ascii="Times New Roman" w:eastAsia="Calibri" w:hAnsi="Times New Roman" w:cs="Times New Roman"/>
        </w:rPr>
      </w:pPr>
      <w:r>
        <w:rPr>
          <w:rFonts w:ascii="Times New Roman" w:hAnsi="Times New Roman" w:cs="Times New Roman"/>
          <w:sz w:val="24"/>
          <w:szCs w:val="24"/>
        </w:rPr>
        <w:lastRenderedPageBreak/>
        <w:t>The assumption of normality was met by the total sample size.</w:t>
      </w:r>
      <w:r w:rsidR="00F11AF1">
        <w:rPr>
          <w:rFonts w:ascii="Times New Roman" w:hAnsi="Times New Roman" w:cs="Times New Roman"/>
          <w:sz w:val="24"/>
          <w:szCs w:val="24"/>
        </w:rPr>
        <w:t xml:space="preserve"> The t-test revealed </w:t>
      </w:r>
      <w:r w:rsidR="002767B3">
        <w:rPr>
          <w:rFonts w:ascii="Times New Roman" w:hAnsi="Times New Roman" w:cs="Times New Roman"/>
          <w:sz w:val="24"/>
          <w:szCs w:val="24"/>
        </w:rPr>
        <w:t>a</w:t>
      </w:r>
      <w:r w:rsidR="00F11AF1">
        <w:rPr>
          <w:rFonts w:ascii="Times New Roman" w:hAnsi="Times New Roman" w:cs="Times New Roman"/>
          <w:sz w:val="24"/>
          <w:szCs w:val="24"/>
        </w:rPr>
        <w:t xml:space="preserve"> significant difference between the groups, </w:t>
      </w:r>
      <w:proofErr w:type="gramStart"/>
      <w:r w:rsidR="00F11AF1">
        <w:rPr>
          <w:rFonts w:ascii="Times New Roman" w:hAnsi="Times New Roman" w:cs="Times New Roman"/>
          <w:i/>
          <w:sz w:val="24"/>
          <w:szCs w:val="24"/>
        </w:rPr>
        <w:t>t</w:t>
      </w:r>
      <w:r w:rsidR="002767B3">
        <w:rPr>
          <w:rFonts w:ascii="Times New Roman" w:hAnsi="Times New Roman" w:cs="Times New Roman"/>
          <w:sz w:val="24"/>
          <w:szCs w:val="24"/>
        </w:rPr>
        <w:t>(</w:t>
      </w:r>
      <w:proofErr w:type="gramEnd"/>
      <w:r w:rsidR="002767B3">
        <w:rPr>
          <w:rFonts w:ascii="Times New Roman" w:hAnsi="Times New Roman" w:cs="Times New Roman"/>
          <w:sz w:val="24"/>
          <w:szCs w:val="24"/>
        </w:rPr>
        <w:t>41.58)</w:t>
      </w:r>
      <w:r w:rsidR="00F11AF1">
        <w:rPr>
          <w:rFonts w:ascii="Times New Roman" w:hAnsi="Times New Roman" w:cs="Times New Roman"/>
          <w:i/>
          <w:sz w:val="24"/>
          <w:szCs w:val="24"/>
        </w:rPr>
        <w:t xml:space="preserve"> </w:t>
      </w:r>
      <w:r w:rsidR="00F11AF1">
        <w:rPr>
          <w:rFonts w:ascii="Times New Roman" w:hAnsi="Times New Roman" w:cs="Times New Roman"/>
          <w:sz w:val="24"/>
          <w:szCs w:val="24"/>
        </w:rPr>
        <w:t xml:space="preserve">= </w:t>
      </w:r>
      <w:r w:rsidR="002767B3">
        <w:rPr>
          <w:rFonts w:ascii="Times New Roman" w:hAnsi="Times New Roman" w:cs="Times New Roman"/>
          <w:sz w:val="24"/>
          <w:szCs w:val="24"/>
        </w:rPr>
        <w:t xml:space="preserve">4.65, </w:t>
      </w:r>
      <w:r w:rsidR="002767B3">
        <w:rPr>
          <w:rFonts w:ascii="Times New Roman" w:hAnsi="Times New Roman" w:cs="Times New Roman"/>
          <w:i/>
          <w:sz w:val="24"/>
          <w:szCs w:val="24"/>
        </w:rPr>
        <w:t xml:space="preserve">p </w:t>
      </w:r>
      <w:r w:rsidR="002767B3" w:rsidRPr="002767B3">
        <w:rPr>
          <w:rFonts w:ascii="Times New Roman" w:hAnsi="Times New Roman" w:cs="Times New Roman"/>
          <w:sz w:val="24"/>
          <w:szCs w:val="24"/>
        </w:rPr>
        <w:t>&lt; .001</w:t>
      </w:r>
      <w:r w:rsidR="00230546">
        <w:rPr>
          <w:rFonts w:ascii="Times New Roman" w:hAnsi="Times New Roman" w:cs="Times New Roman"/>
          <w:sz w:val="24"/>
          <w:szCs w:val="24"/>
        </w:rPr>
        <w:t xml:space="preserve">, </w:t>
      </w:r>
      <w:r w:rsidR="00230546">
        <w:rPr>
          <w:rFonts w:ascii="Times New Roman" w:eastAsia="Calibri" w:hAnsi="Times New Roman" w:cs="Times New Roman"/>
        </w:rPr>
        <w:t>CI [0.53, 1.35].</w:t>
      </w:r>
    </w:p>
    <w:p w:rsidR="00501B0B" w:rsidRDefault="00501B0B" w:rsidP="00501B0B">
      <w:pPr>
        <w:spacing w:line="480" w:lineRule="auto"/>
        <w:ind w:firstLine="720"/>
        <w:rPr>
          <w:rFonts w:ascii="Times New Roman" w:hAnsi="Times New Roman" w:cs="Times New Roman"/>
          <w:sz w:val="24"/>
          <w:szCs w:val="24"/>
        </w:rPr>
      </w:pPr>
      <w:r w:rsidRPr="00134C42">
        <w:rPr>
          <w:rFonts w:ascii="Times New Roman" w:hAnsi="Times New Roman" w:cs="Times New Roman"/>
          <w:sz w:val="24"/>
          <w:szCs w:val="24"/>
        </w:rPr>
        <w:t>Table 1 displays the means, standard devia</w:t>
      </w:r>
      <w:r>
        <w:rPr>
          <w:rFonts w:ascii="Times New Roman" w:hAnsi="Times New Roman" w:cs="Times New Roman"/>
          <w:sz w:val="24"/>
          <w:szCs w:val="24"/>
        </w:rPr>
        <w:t>tions, and sizes of each sex in activism intention.</w:t>
      </w:r>
    </w:p>
    <w:p w:rsidR="00501B0B" w:rsidRPr="00501B0B" w:rsidRDefault="00501B0B" w:rsidP="00501B0B">
      <w:pPr>
        <w:spacing w:line="240" w:lineRule="auto"/>
        <w:rPr>
          <w:rFonts w:ascii="Times New Roman" w:hAnsi="Times New Roman" w:cs="Times New Roman"/>
          <w:b/>
          <w:sz w:val="24"/>
          <w:szCs w:val="24"/>
        </w:rPr>
      </w:pPr>
      <w:r w:rsidRPr="00501B0B">
        <w:rPr>
          <w:rFonts w:ascii="Times New Roman" w:hAnsi="Times New Roman" w:cs="Times New Roman"/>
          <w:b/>
          <w:sz w:val="24"/>
          <w:szCs w:val="24"/>
        </w:rPr>
        <w:t>Table 1</w:t>
      </w:r>
    </w:p>
    <w:p w:rsidR="00501B0B" w:rsidRDefault="00501B0B" w:rsidP="00501B0B">
      <w:pPr>
        <w:spacing w:line="240" w:lineRule="auto"/>
        <w:rPr>
          <w:rFonts w:ascii="Times New Roman" w:hAnsi="Times New Roman" w:cs="Times New Roman"/>
          <w:i/>
          <w:sz w:val="24"/>
          <w:szCs w:val="24"/>
        </w:rPr>
      </w:pPr>
      <w:r w:rsidRPr="00501B0B">
        <w:rPr>
          <w:rFonts w:ascii="Times New Roman" w:hAnsi="Times New Roman" w:cs="Times New Roman"/>
          <w:i/>
          <w:sz w:val="24"/>
          <w:szCs w:val="24"/>
        </w:rPr>
        <w:t>Means, standard de</w:t>
      </w:r>
      <w:r w:rsidR="00DC5D0A">
        <w:rPr>
          <w:rFonts w:ascii="Times New Roman" w:hAnsi="Times New Roman" w:cs="Times New Roman"/>
          <w:i/>
          <w:sz w:val="24"/>
          <w:szCs w:val="24"/>
        </w:rPr>
        <w:t>viations, and sample sizes for</w:t>
      </w:r>
      <w:r>
        <w:rPr>
          <w:rFonts w:ascii="Times New Roman" w:hAnsi="Times New Roman" w:cs="Times New Roman"/>
          <w:i/>
          <w:sz w:val="24"/>
          <w:szCs w:val="24"/>
        </w:rPr>
        <w:t xml:space="preserve"> sympathy for</w:t>
      </w:r>
      <w:r w:rsidRPr="00501B0B">
        <w:rPr>
          <w:rFonts w:ascii="Times New Roman" w:hAnsi="Times New Roman" w:cs="Times New Roman"/>
          <w:i/>
          <w:sz w:val="24"/>
          <w:szCs w:val="24"/>
        </w:rPr>
        <w:t xml:space="preserve"> activism intention (AI).</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261"/>
        <w:gridCol w:w="1984"/>
        <w:gridCol w:w="1985"/>
        <w:gridCol w:w="1754"/>
      </w:tblGrid>
      <w:tr w:rsidR="00501B0B" w:rsidTr="00B82017">
        <w:trPr>
          <w:trHeight w:val="478"/>
        </w:trPr>
        <w:tc>
          <w:tcPr>
            <w:tcW w:w="3261" w:type="dxa"/>
            <w:tcBorders>
              <w:bottom w:val="single" w:sz="4" w:space="0" w:color="auto"/>
            </w:tcBorders>
          </w:tcPr>
          <w:p w:rsidR="00501B0B" w:rsidRDefault="00501B0B" w:rsidP="00B82017">
            <w:pPr>
              <w:rPr>
                <w:rFonts w:ascii="Times New Roman" w:hAnsi="Times New Roman" w:cs="Times New Roman"/>
                <w:sz w:val="24"/>
                <w:szCs w:val="24"/>
              </w:rPr>
            </w:pPr>
            <w:r>
              <w:rPr>
                <w:rFonts w:ascii="Times New Roman" w:hAnsi="Times New Roman" w:cs="Times New Roman"/>
                <w:sz w:val="24"/>
                <w:szCs w:val="24"/>
              </w:rPr>
              <w:t>Variable</w:t>
            </w:r>
          </w:p>
        </w:tc>
        <w:tc>
          <w:tcPr>
            <w:tcW w:w="1984" w:type="dxa"/>
            <w:tcBorders>
              <w:bottom w:val="single" w:sz="4" w:space="0" w:color="auto"/>
            </w:tcBorders>
          </w:tcPr>
          <w:p w:rsidR="00501B0B" w:rsidRPr="00FE05DD" w:rsidRDefault="00501B0B" w:rsidP="00B82017">
            <w:pPr>
              <w:jc w:val="center"/>
              <w:rPr>
                <w:rFonts w:ascii="Times New Roman" w:hAnsi="Times New Roman" w:cs="Times New Roman"/>
                <w:i/>
                <w:sz w:val="24"/>
                <w:szCs w:val="24"/>
              </w:rPr>
            </w:pPr>
            <w:r>
              <w:rPr>
                <w:rFonts w:ascii="Times New Roman" w:hAnsi="Times New Roman" w:cs="Times New Roman"/>
                <w:i/>
                <w:sz w:val="24"/>
                <w:szCs w:val="24"/>
              </w:rPr>
              <w:t>M</w:t>
            </w:r>
          </w:p>
        </w:tc>
        <w:tc>
          <w:tcPr>
            <w:tcW w:w="1985" w:type="dxa"/>
            <w:tcBorders>
              <w:bottom w:val="single" w:sz="4" w:space="0" w:color="auto"/>
            </w:tcBorders>
          </w:tcPr>
          <w:p w:rsidR="00501B0B" w:rsidRPr="00FE05DD" w:rsidRDefault="00501B0B" w:rsidP="00B82017">
            <w:pPr>
              <w:jc w:val="center"/>
              <w:rPr>
                <w:rFonts w:ascii="Times New Roman" w:hAnsi="Times New Roman" w:cs="Times New Roman"/>
                <w:i/>
                <w:sz w:val="24"/>
                <w:szCs w:val="24"/>
              </w:rPr>
            </w:pPr>
            <w:r>
              <w:rPr>
                <w:rFonts w:ascii="Times New Roman" w:hAnsi="Times New Roman" w:cs="Times New Roman"/>
                <w:i/>
                <w:sz w:val="24"/>
                <w:szCs w:val="24"/>
              </w:rPr>
              <w:t>SD</w:t>
            </w:r>
          </w:p>
        </w:tc>
        <w:tc>
          <w:tcPr>
            <w:tcW w:w="1754" w:type="dxa"/>
            <w:tcBorders>
              <w:bottom w:val="single" w:sz="4" w:space="0" w:color="auto"/>
            </w:tcBorders>
          </w:tcPr>
          <w:p w:rsidR="00501B0B" w:rsidRPr="00FE05DD" w:rsidRDefault="00501B0B" w:rsidP="00B82017">
            <w:pPr>
              <w:jc w:val="center"/>
              <w:rPr>
                <w:rFonts w:ascii="Times New Roman" w:hAnsi="Times New Roman" w:cs="Times New Roman"/>
                <w:i/>
                <w:sz w:val="24"/>
                <w:szCs w:val="24"/>
              </w:rPr>
            </w:pPr>
            <w:r>
              <w:rPr>
                <w:rFonts w:ascii="Times New Roman" w:hAnsi="Times New Roman" w:cs="Times New Roman"/>
                <w:i/>
                <w:sz w:val="24"/>
                <w:szCs w:val="24"/>
              </w:rPr>
              <w:t>n</w:t>
            </w:r>
          </w:p>
        </w:tc>
      </w:tr>
      <w:tr w:rsidR="00501B0B" w:rsidTr="00B82017">
        <w:trPr>
          <w:trHeight w:val="478"/>
        </w:trPr>
        <w:tc>
          <w:tcPr>
            <w:tcW w:w="3261" w:type="dxa"/>
            <w:tcBorders>
              <w:top w:val="nil"/>
              <w:bottom w:val="nil"/>
            </w:tcBorders>
          </w:tcPr>
          <w:p w:rsidR="00501B0B" w:rsidRDefault="00501B0B" w:rsidP="00B82017">
            <w:pPr>
              <w:rPr>
                <w:rFonts w:ascii="Times New Roman" w:hAnsi="Times New Roman" w:cs="Times New Roman"/>
                <w:sz w:val="24"/>
                <w:szCs w:val="24"/>
              </w:rPr>
            </w:pPr>
            <w:r>
              <w:rPr>
                <w:rFonts w:ascii="Times New Roman" w:hAnsi="Times New Roman" w:cs="Times New Roman"/>
                <w:sz w:val="24"/>
                <w:szCs w:val="24"/>
              </w:rPr>
              <w:t>AI Men</w:t>
            </w:r>
          </w:p>
        </w:tc>
        <w:tc>
          <w:tcPr>
            <w:tcW w:w="1984" w:type="dxa"/>
            <w:tcBorders>
              <w:top w:val="nil"/>
              <w:bottom w:val="nil"/>
            </w:tcBorders>
          </w:tcPr>
          <w:p w:rsidR="00501B0B" w:rsidRDefault="00501B0B" w:rsidP="00B82017">
            <w:pPr>
              <w:jc w:val="center"/>
              <w:rPr>
                <w:rFonts w:ascii="Times New Roman" w:hAnsi="Times New Roman" w:cs="Times New Roman"/>
                <w:sz w:val="24"/>
                <w:szCs w:val="24"/>
              </w:rPr>
            </w:pPr>
            <w:r>
              <w:rPr>
                <w:rFonts w:ascii="Times New Roman" w:hAnsi="Times New Roman" w:cs="Times New Roman"/>
                <w:sz w:val="24"/>
                <w:szCs w:val="24"/>
              </w:rPr>
              <w:t>3.4</w:t>
            </w:r>
          </w:p>
        </w:tc>
        <w:tc>
          <w:tcPr>
            <w:tcW w:w="1985" w:type="dxa"/>
            <w:tcBorders>
              <w:top w:val="nil"/>
              <w:bottom w:val="nil"/>
            </w:tcBorders>
          </w:tcPr>
          <w:p w:rsidR="00501B0B" w:rsidRDefault="00501B0B" w:rsidP="00B82017">
            <w:pPr>
              <w:jc w:val="center"/>
              <w:rPr>
                <w:rFonts w:ascii="Times New Roman" w:hAnsi="Times New Roman" w:cs="Times New Roman"/>
                <w:sz w:val="24"/>
                <w:szCs w:val="24"/>
              </w:rPr>
            </w:pPr>
            <w:r>
              <w:rPr>
                <w:rFonts w:ascii="Times New Roman" w:hAnsi="Times New Roman" w:cs="Times New Roman"/>
                <w:sz w:val="24"/>
                <w:szCs w:val="24"/>
              </w:rPr>
              <w:t>1.0</w:t>
            </w:r>
          </w:p>
        </w:tc>
        <w:tc>
          <w:tcPr>
            <w:tcW w:w="1754" w:type="dxa"/>
            <w:tcBorders>
              <w:top w:val="nil"/>
              <w:bottom w:val="nil"/>
            </w:tcBorders>
          </w:tcPr>
          <w:p w:rsidR="00501B0B" w:rsidRDefault="00501B0B" w:rsidP="00B82017">
            <w:pPr>
              <w:jc w:val="center"/>
              <w:rPr>
                <w:rFonts w:ascii="Times New Roman" w:hAnsi="Times New Roman" w:cs="Times New Roman"/>
                <w:sz w:val="24"/>
                <w:szCs w:val="24"/>
              </w:rPr>
            </w:pPr>
            <w:r>
              <w:rPr>
                <w:rFonts w:ascii="Times New Roman" w:hAnsi="Times New Roman" w:cs="Times New Roman"/>
                <w:sz w:val="24"/>
                <w:szCs w:val="24"/>
              </w:rPr>
              <w:t>31</w:t>
            </w:r>
          </w:p>
        </w:tc>
      </w:tr>
      <w:tr w:rsidR="00501B0B" w:rsidTr="00B82017">
        <w:trPr>
          <w:trHeight w:val="478"/>
        </w:trPr>
        <w:tc>
          <w:tcPr>
            <w:tcW w:w="3261" w:type="dxa"/>
            <w:tcBorders>
              <w:top w:val="nil"/>
            </w:tcBorders>
          </w:tcPr>
          <w:p w:rsidR="00501B0B" w:rsidRDefault="00501B0B" w:rsidP="00B82017">
            <w:pPr>
              <w:rPr>
                <w:rFonts w:ascii="Times New Roman" w:hAnsi="Times New Roman" w:cs="Times New Roman"/>
                <w:sz w:val="24"/>
                <w:szCs w:val="24"/>
              </w:rPr>
            </w:pPr>
            <w:r>
              <w:rPr>
                <w:rFonts w:ascii="Times New Roman" w:hAnsi="Times New Roman" w:cs="Times New Roman"/>
                <w:sz w:val="24"/>
                <w:szCs w:val="24"/>
              </w:rPr>
              <w:t>AI Women</w:t>
            </w:r>
          </w:p>
        </w:tc>
        <w:tc>
          <w:tcPr>
            <w:tcW w:w="1984" w:type="dxa"/>
            <w:tcBorders>
              <w:top w:val="nil"/>
            </w:tcBorders>
          </w:tcPr>
          <w:p w:rsidR="00501B0B" w:rsidRDefault="00501B0B" w:rsidP="00B82017">
            <w:pPr>
              <w:jc w:val="center"/>
              <w:rPr>
                <w:rFonts w:ascii="Times New Roman" w:hAnsi="Times New Roman" w:cs="Times New Roman"/>
                <w:sz w:val="24"/>
                <w:szCs w:val="24"/>
              </w:rPr>
            </w:pPr>
            <w:r>
              <w:rPr>
                <w:rFonts w:ascii="Times New Roman" w:hAnsi="Times New Roman" w:cs="Times New Roman"/>
                <w:sz w:val="24"/>
                <w:szCs w:val="24"/>
              </w:rPr>
              <w:t>3.6</w:t>
            </w:r>
          </w:p>
        </w:tc>
        <w:tc>
          <w:tcPr>
            <w:tcW w:w="1985" w:type="dxa"/>
            <w:tcBorders>
              <w:top w:val="nil"/>
            </w:tcBorders>
          </w:tcPr>
          <w:p w:rsidR="00501B0B" w:rsidRDefault="00501B0B" w:rsidP="00B82017">
            <w:pPr>
              <w:jc w:val="center"/>
              <w:rPr>
                <w:rFonts w:ascii="Times New Roman" w:hAnsi="Times New Roman" w:cs="Times New Roman"/>
                <w:sz w:val="24"/>
                <w:szCs w:val="24"/>
              </w:rPr>
            </w:pPr>
            <w:r>
              <w:rPr>
                <w:rFonts w:ascii="Times New Roman" w:hAnsi="Times New Roman" w:cs="Times New Roman"/>
                <w:sz w:val="24"/>
                <w:szCs w:val="24"/>
              </w:rPr>
              <w:t>1.0</w:t>
            </w:r>
          </w:p>
        </w:tc>
        <w:tc>
          <w:tcPr>
            <w:tcW w:w="1754" w:type="dxa"/>
            <w:tcBorders>
              <w:top w:val="nil"/>
            </w:tcBorders>
          </w:tcPr>
          <w:p w:rsidR="00501B0B" w:rsidRDefault="00501B0B" w:rsidP="00B82017">
            <w:pPr>
              <w:jc w:val="center"/>
              <w:rPr>
                <w:rFonts w:ascii="Times New Roman" w:hAnsi="Times New Roman" w:cs="Times New Roman"/>
                <w:sz w:val="24"/>
                <w:szCs w:val="24"/>
              </w:rPr>
            </w:pPr>
            <w:r>
              <w:rPr>
                <w:rFonts w:ascii="Times New Roman" w:hAnsi="Times New Roman" w:cs="Times New Roman"/>
                <w:sz w:val="24"/>
                <w:szCs w:val="24"/>
              </w:rPr>
              <w:t>48</w:t>
            </w:r>
          </w:p>
        </w:tc>
      </w:tr>
    </w:tbl>
    <w:p w:rsidR="00501B0B" w:rsidRDefault="00501B0B" w:rsidP="00501B0B">
      <w:pPr>
        <w:spacing w:line="480" w:lineRule="auto"/>
        <w:rPr>
          <w:rFonts w:ascii="Times New Roman" w:hAnsi="Times New Roman" w:cs="Times New Roman"/>
          <w:sz w:val="24"/>
          <w:szCs w:val="24"/>
        </w:rPr>
      </w:pPr>
    </w:p>
    <w:p w:rsidR="00FB105E" w:rsidRDefault="00ED1468" w:rsidP="00BA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two-way </w:t>
      </w:r>
      <w:r w:rsidR="002A5F9B">
        <w:rPr>
          <w:rFonts w:ascii="Times New Roman" w:hAnsi="Times New Roman" w:cs="Times New Roman"/>
          <w:sz w:val="24"/>
          <w:szCs w:val="24"/>
        </w:rPr>
        <w:t>between-subjects</w:t>
      </w:r>
      <w:r>
        <w:rPr>
          <w:rFonts w:ascii="Times New Roman" w:hAnsi="Times New Roman" w:cs="Times New Roman"/>
          <w:sz w:val="24"/>
          <w:szCs w:val="24"/>
        </w:rPr>
        <w:t xml:space="preserve"> ANOVA was conducted </w:t>
      </w:r>
      <w:r w:rsidR="002A5F9B">
        <w:rPr>
          <w:rFonts w:ascii="Times New Roman" w:hAnsi="Times New Roman" w:cs="Times New Roman"/>
          <w:sz w:val="24"/>
          <w:szCs w:val="24"/>
        </w:rPr>
        <w:t>to compare the main effects of sex</w:t>
      </w:r>
      <w:r w:rsidR="00C001CB">
        <w:rPr>
          <w:rFonts w:ascii="Times New Roman" w:hAnsi="Times New Roman" w:cs="Times New Roman"/>
          <w:sz w:val="24"/>
          <w:szCs w:val="24"/>
        </w:rPr>
        <w:t xml:space="preserve"> </w:t>
      </w:r>
      <w:r w:rsidR="00297283">
        <w:rPr>
          <w:rFonts w:ascii="Times New Roman" w:hAnsi="Times New Roman" w:cs="Times New Roman"/>
          <w:sz w:val="24"/>
          <w:szCs w:val="24"/>
        </w:rPr>
        <w:t xml:space="preserve">and </w:t>
      </w:r>
      <w:r w:rsidR="00A92DC5">
        <w:rPr>
          <w:rFonts w:ascii="Times New Roman" w:hAnsi="Times New Roman" w:cs="Times New Roman"/>
          <w:sz w:val="24"/>
          <w:szCs w:val="24"/>
        </w:rPr>
        <w:t xml:space="preserve">ethnicity on activism intention, as well as </w:t>
      </w:r>
      <w:r w:rsidR="00297283">
        <w:rPr>
          <w:rFonts w:ascii="Times New Roman" w:hAnsi="Times New Roman" w:cs="Times New Roman"/>
          <w:sz w:val="24"/>
          <w:szCs w:val="24"/>
        </w:rPr>
        <w:t>t</w:t>
      </w:r>
      <w:r w:rsidR="00536401">
        <w:rPr>
          <w:rFonts w:ascii="Times New Roman" w:hAnsi="Times New Roman" w:cs="Times New Roman"/>
          <w:sz w:val="24"/>
          <w:szCs w:val="24"/>
        </w:rPr>
        <w:t>he interaction effect between sex</w:t>
      </w:r>
      <w:r w:rsidR="00A92DC5">
        <w:rPr>
          <w:rFonts w:ascii="Times New Roman" w:hAnsi="Times New Roman" w:cs="Times New Roman"/>
          <w:sz w:val="24"/>
          <w:szCs w:val="24"/>
        </w:rPr>
        <w:t xml:space="preserve"> ethnicity</w:t>
      </w:r>
      <w:r w:rsidR="00297283">
        <w:rPr>
          <w:rFonts w:ascii="Times New Roman" w:hAnsi="Times New Roman" w:cs="Times New Roman"/>
          <w:sz w:val="24"/>
          <w:szCs w:val="24"/>
        </w:rPr>
        <w:t xml:space="preserve"> on</w:t>
      </w:r>
      <w:r w:rsidR="00C001CB">
        <w:rPr>
          <w:rFonts w:ascii="Times New Roman" w:hAnsi="Times New Roman" w:cs="Times New Roman"/>
          <w:sz w:val="24"/>
          <w:szCs w:val="24"/>
        </w:rPr>
        <w:t xml:space="preserve"> Activism Intention</w:t>
      </w:r>
      <w:r>
        <w:rPr>
          <w:rFonts w:ascii="Times New Roman" w:hAnsi="Times New Roman" w:cs="Times New Roman"/>
          <w:sz w:val="24"/>
          <w:szCs w:val="24"/>
        </w:rPr>
        <w:t>. The assumption of normality was met bas</w:t>
      </w:r>
      <w:r w:rsidR="006E7950">
        <w:rPr>
          <w:rFonts w:ascii="Times New Roman" w:hAnsi="Times New Roman" w:cs="Times New Roman"/>
          <w:sz w:val="24"/>
          <w:szCs w:val="24"/>
        </w:rPr>
        <w:t>ed on the total sample size</w:t>
      </w:r>
      <w:r w:rsidR="00A82F37">
        <w:rPr>
          <w:rFonts w:ascii="Times New Roman" w:hAnsi="Times New Roman" w:cs="Times New Roman"/>
          <w:sz w:val="24"/>
          <w:szCs w:val="24"/>
        </w:rPr>
        <w:t xml:space="preserve"> being robust (</w:t>
      </w:r>
      <w:r w:rsidR="00A82F37">
        <w:rPr>
          <w:rFonts w:ascii="Times New Roman" w:hAnsi="Times New Roman" w:cs="Times New Roman"/>
          <w:i/>
          <w:sz w:val="24"/>
          <w:szCs w:val="24"/>
        </w:rPr>
        <w:t>N &gt; 30</w:t>
      </w:r>
      <w:r w:rsidR="00A82F37">
        <w:rPr>
          <w:rFonts w:ascii="Times New Roman" w:hAnsi="Times New Roman" w:cs="Times New Roman"/>
          <w:sz w:val="24"/>
          <w:szCs w:val="24"/>
        </w:rPr>
        <w:t>)</w:t>
      </w:r>
      <w:r w:rsidR="006E7950">
        <w:rPr>
          <w:rFonts w:ascii="Times New Roman" w:hAnsi="Times New Roman" w:cs="Times New Roman"/>
          <w:sz w:val="24"/>
          <w:szCs w:val="24"/>
        </w:rPr>
        <w:t>. T</w:t>
      </w:r>
      <w:r>
        <w:rPr>
          <w:rFonts w:ascii="Times New Roman" w:hAnsi="Times New Roman" w:cs="Times New Roman"/>
          <w:sz w:val="24"/>
          <w:szCs w:val="24"/>
        </w:rPr>
        <w:t>he assumption of independence and con</w:t>
      </w:r>
      <w:r w:rsidR="006E7950">
        <w:rPr>
          <w:rFonts w:ascii="Times New Roman" w:hAnsi="Times New Roman" w:cs="Times New Roman"/>
          <w:sz w:val="24"/>
          <w:szCs w:val="24"/>
        </w:rPr>
        <w:t>tinuous data were each met by the design of the study.</w:t>
      </w:r>
    </w:p>
    <w:p w:rsidR="00665415" w:rsidRPr="00995F42" w:rsidRDefault="002A5F9B" w:rsidP="00BA6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ANOVA revealed a significant difference in </w:t>
      </w:r>
      <w:r w:rsidR="00536401">
        <w:rPr>
          <w:rFonts w:ascii="Times New Roman" w:hAnsi="Times New Roman" w:cs="Times New Roman"/>
          <w:sz w:val="24"/>
          <w:szCs w:val="24"/>
        </w:rPr>
        <w:t>a</w:t>
      </w:r>
      <w:r>
        <w:rPr>
          <w:rFonts w:ascii="Times New Roman" w:hAnsi="Times New Roman" w:cs="Times New Roman"/>
          <w:sz w:val="24"/>
          <w:szCs w:val="24"/>
        </w:rPr>
        <w:t xml:space="preserve">ctivism </w:t>
      </w:r>
      <w:r w:rsidR="00536401">
        <w:rPr>
          <w:rFonts w:ascii="Times New Roman" w:hAnsi="Times New Roman" w:cs="Times New Roman"/>
          <w:sz w:val="24"/>
          <w:szCs w:val="24"/>
        </w:rPr>
        <w:t>i</w:t>
      </w:r>
      <w:r w:rsidR="00501B0B">
        <w:rPr>
          <w:rFonts w:ascii="Times New Roman" w:hAnsi="Times New Roman" w:cs="Times New Roman"/>
          <w:sz w:val="24"/>
          <w:szCs w:val="24"/>
        </w:rPr>
        <w:t xml:space="preserve">ntention across sex, </w:t>
      </w:r>
      <w:proofErr w:type="gramStart"/>
      <w:r w:rsidRPr="0058420F">
        <w:rPr>
          <w:rFonts w:ascii="Times New Roman" w:hAnsi="Times New Roman" w:cs="Times New Roman"/>
          <w:i/>
          <w:sz w:val="24"/>
          <w:szCs w:val="24"/>
        </w:rPr>
        <w:t>F</w:t>
      </w:r>
      <w:r w:rsidR="00C001CB">
        <w:rPr>
          <w:rFonts w:ascii="Times New Roman" w:hAnsi="Times New Roman" w:cs="Times New Roman"/>
          <w:sz w:val="24"/>
          <w:szCs w:val="24"/>
        </w:rPr>
        <w:t>(</w:t>
      </w:r>
      <w:proofErr w:type="gramEnd"/>
      <w:r w:rsidR="00C001CB">
        <w:rPr>
          <w:rFonts w:ascii="Times New Roman" w:hAnsi="Times New Roman" w:cs="Times New Roman"/>
          <w:sz w:val="24"/>
          <w:szCs w:val="24"/>
        </w:rPr>
        <w:t>1, 75</w:t>
      </w:r>
      <w:r>
        <w:rPr>
          <w:rFonts w:ascii="Times New Roman" w:hAnsi="Times New Roman" w:cs="Times New Roman"/>
          <w:sz w:val="24"/>
          <w:szCs w:val="24"/>
        </w:rPr>
        <w:t xml:space="preserve">) = </w:t>
      </w:r>
      <w:r w:rsidR="00A92DC5">
        <w:rPr>
          <w:rFonts w:ascii="Times New Roman" w:hAnsi="Times New Roman" w:cs="Times New Roman"/>
          <w:sz w:val="24"/>
          <w:szCs w:val="24"/>
        </w:rPr>
        <w:t>6.13</w:t>
      </w:r>
      <w:r>
        <w:rPr>
          <w:rFonts w:ascii="Times New Roman" w:hAnsi="Times New Roman" w:cs="Times New Roman"/>
          <w:sz w:val="24"/>
          <w:szCs w:val="24"/>
        </w:rPr>
        <w:t xml:space="preserve">, </w:t>
      </w:r>
      <w:r w:rsidRPr="00875358">
        <w:rPr>
          <w:rFonts w:ascii="Times New Roman" w:hAnsi="Times New Roman" w:cs="Times New Roman"/>
          <w:i/>
          <w:sz w:val="24"/>
          <w:szCs w:val="24"/>
        </w:rPr>
        <w:t>p</w:t>
      </w:r>
      <w:r>
        <w:rPr>
          <w:rFonts w:ascii="Times New Roman" w:hAnsi="Times New Roman" w:cs="Times New Roman"/>
          <w:sz w:val="24"/>
          <w:szCs w:val="24"/>
        </w:rPr>
        <w:t xml:space="preserve"> = .016, partial η</w:t>
      </w:r>
      <w:r w:rsidRPr="008603A9">
        <w:rPr>
          <w:rFonts w:ascii="Times New Roman" w:hAnsi="Times New Roman" w:cs="Times New Roman"/>
          <w:bCs/>
          <w:sz w:val="24"/>
          <w:szCs w:val="24"/>
        </w:rPr>
        <w:t>²</w:t>
      </w:r>
      <w:r w:rsidR="00A92DC5">
        <w:rPr>
          <w:rFonts w:ascii="Times New Roman" w:hAnsi="Times New Roman" w:cs="Times New Roman"/>
          <w:sz w:val="24"/>
          <w:szCs w:val="24"/>
        </w:rPr>
        <w:t xml:space="preserve"> = .08, as well as </w:t>
      </w:r>
      <w:r w:rsidR="00995F42">
        <w:rPr>
          <w:rFonts w:ascii="Times New Roman" w:hAnsi="Times New Roman" w:cs="Times New Roman"/>
          <w:sz w:val="24"/>
          <w:szCs w:val="24"/>
        </w:rPr>
        <w:t>across</w:t>
      </w:r>
      <w:r w:rsidR="00A92DC5">
        <w:rPr>
          <w:rFonts w:ascii="Times New Roman" w:hAnsi="Times New Roman" w:cs="Times New Roman"/>
          <w:sz w:val="24"/>
          <w:szCs w:val="24"/>
        </w:rPr>
        <w:t xml:space="preserve"> ethnicity, </w:t>
      </w:r>
      <w:r w:rsidR="00A92DC5" w:rsidRPr="0058420F">
        <w:rPr>
          <w:rFonts w:ascii="Times New Roman" w:hAnsi="Times New Roman" w:cs="Times New Roman"/>
          <w:i/>
          <w:sz w:val="24"/>
          <w:szCs w:val="24"/>
        </w:rPr>
        <w:t>F</w:t>
      </w:r>
      <w:r w:rsidR="00A92DC5">
        <w:rPr>
          <w:rFonts w:ascii="Times New Roman" w:hAnsi="Times New Roman" w:cs="Times New Roman"/>
          <w:sz w:val="24"/>
          <w:szCs w:val="24"/>
        </w:rPr>
        <w:t xml:space="preserve">(1, 75) = 21.85, </w:t>
      </w:r>
      <w:r w:rsidR="00A92DC5" w:rsidRPr="00875358">
        <w:rPr>
          <w:rFonts w:ascii="Times New Roman" w:hAnsi="Times New Roman" w:cs="Times New Roman"/>
          <w:i/>
          <w:sz w:val="24"/>
          <w:szCs w:val="24"/>
        </w:rPr>
        <w:t>p</w:t>
      </w:r>
      <w:r w:rsidR="00A92DC5">
        <w:rPr>
          <w:rFonts w:ascii="Times New Roman" w:hAnsi="Times New Roman" w:cs="Times New Roman"/>
          <w:sz w:val="24"/>
          <w:szCs w:val="24"/>
        </w:rPr>
        <w:t xml:space="preserve"> &lt; .001, partial η</w:t>
      </w:r>
      <w:r w:rsidR="00A92DC5" w:rsidRPr="008603A9">
        <w:rPr>
          <w:rFonts w:ascii="Times New Roman" w:hAnsi="Times New Roman" w:cs="Times New Roman"/>
          <w:bCs/>
          <w:sz w:val="24"/>
          <w:szCs w:val="24"/>
        </w:rPr>
        <w:t>²</w:t>
      </w:r>
      <w:r w:rsidR="00A92DC5">
        <w:rPr>
          <w:rFonts w:ascii="Times New Roman" w:hAnsi="Times New Roman" w:cs="Times New Roman"/>
          <w:sz w:val="24"/>
          <w:szCs w:val="24"/>
        </w:rPr>
        <w:t xml:space="preserve"> = .23.</w:t>
      </w:r>
      <w:r w:rsidR="00995F42">
        <w:rPr>
          <w:rFonts w:ascii="Times New Roman" w:hAnsi="Times New Roman" w:cs="Times New Roman"/>
          <w:sz w:val="24"/>
          <w:szCs w:val="24"/>
        </w:rPr>
        <w:t xml:space="preserve"> There was no significant interaction between ethnicity and sex, </w:t>
      </w:r>
      <w:proofErr w:type="gramStart"/>
      <w:r w:rsidR="00995F42" w:rsidRPr="00995F42">
        <w:rPr>
          <w:rFonts w:ascii="Times New Roman" w:hAnsi="Times New Roman" w:cs="Times New Roman"/>
          <w:sz w:val="24"/>
          <w:szCs w:val="24"/>
        </w:rPr>
        <w:t>F</w:t>
      </w:r>
      <w:r w:rsidR="00995F42">
        <w:rPr>
          <w:rFonts w:ascii="Times New Roman" w:hAnsi="Times New Roman" w:cs="Times New Roman"/>
          <w:sz w:val="24"/>
          <w:szCs w:val="24"/>
        </w:rPr>
        <w:t>(</w:t>
      </w:r>
      <w:proofErr w:type="gramEnd"/>
      <w:r w:rsidR="00995F42" w:rsidRPr="00995F42">
        <w:rPr>
          <w:rFonts w:ascii="Times New Roman" w:hAnsi="Times New Roman" w:cs="Times New Roman"/>
          <w:sz w:val="24"/>
          <w:szCs w:val="24"/>
        </w:rPr>
        <w:t>1</w:t>
      </w:r>
      <w:r w:rsidR="00995F42">
        <w:rPr>
          <w:rFonts w:ascii="Times New Roman" w:hAnsi="Times New Roman" w:cs="Times New Roman"/>
          <w:sz w:val="24"/>
          <w:szCs w:val="24"/>
        </w:rPr>
        <w:t xml:space="preserve">, 75) = 3.90, </w:t>
      </w:r>
      <w:r w:rsidR="00995F42" w:rsidRPr="00875358">
        <w:rPr>
          <w:rFonts w:ascii="Times New Roman" w:hAnsi="Times New Roman" w:cs="Times New Roman"/>
          <w:i/>
          <w:sz w:val="24"/>
          <w:szCs w:val="24"/>
        </w:rPr>
        <w:t>p</w:t>
      </w:r>
      <w:r w:rsidR="00995F42">
        <w:rPr>
          <w:rFonts w:ascii="Times New Roman" w:hAnsi="Times New Roman" w:cs="Times New Roman"/>
          <w:sz w:val="24"/>
          <w:szCs w:val="24"/>
        </w:rPr>
        <w:t xml:space="preserve"> = .052, partial η</w:t>
      </w:r>
      <w:r w:rsidR="00995F42" w:rsidRPr="008603A9">
        <w:rPr>
          <w:rFonts w:ascii="Times New Roman" w:hAnsi="Times New Roman" w:cs="Times New Roman"/>
          <w:bCs/>
          <w:sz w:val="24"/>
          <w:szCs w:val="24"/>
        </w:rPr>
        <w:t>²</w:t>
      </w:r>
      <w:r w:rsidR="00995F42">
        <w:rPr>
          <w:rFonts w:ascii="Times New Roman" w:hAnsi="Times New Roman" w:cs="Times New Roman"/>
          <w:sz w:val="24"/>
          <w:szCs w:val="24"/>
        </w:rPr>
        <w:t xml:space="preserve"> = </w:t>
      </w:r>
      <w:r w:rsidR="00E814F2">
        <w:rPr>
          <w:rFonts w:ascii="Times New Roman" w:hAnsi="Times New Roman" w:cs="Times New Roman"/>
          <w:sz w:val="24"/>
          <w:szCs w:val="24"/>
        </w:rPr>
        <w:t>.05</w:t>
      </w:r>
      <w:r w:rsidR="00230546">
        <w:rPr>
          <w:rFonts w:ascii="Times New Roman" w:hAnsi="Times New Roman" w:cs="Times New Roman"/>
          <w:sz w:val="24"/>
          <w:szCs w:val="24"/>
        </w:rPr>
        <w:t>.</w:t>
      </w:r>
    </w:p>
    <w:p w:rsidR="00C001CB" w:rsidRPr="00C001CB" w:rsidRDefault="00C001CB" w:rsidP="00C001CB">
      <w:pPr>
        <w:spacing w:line="480" w:lineRule="auto"/>
        <w:jc w:val="center"/>
        <w:rPr>
          <w:rFonts w:ascii="Times New Roman" w:hAnsi="Times New Roman" w:cs="Times New Roman"/>
          <w:b/>
          <w:sz w:val="24"/>
          <w:szCs w:val="24"/>
        </w:rPr>
      </w:pPr>
      <w:r w:rsidRPr="00C001CB">
        <w:rPr>
          <w:rFonts w:ascii="Times New Roman" w:hAnsi="Times New Roman" w:cs="Times New Roman"/>
          <w:b/>
          <w:sz w:val="24"/>
          <w:szCs w:val="24"/>
        </w:rPr>
        <w:t>Discussion</w:t>
      </w:r>
    </w:p>
    <w:p w:rsidR="00C001CB" w:rsidRDefault="00A82F37" w:rsidP="008C4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independent samples t-test found no supporting evidence for the hypothesis that there would be no significant difference in sympathy for violent radicalisation between White Australians and Muslim A</w:t>
      </w:r>
      <w:r w:rsidR="009922AD">
        <w:rPr>
          <w:rFonts w:ascii="Times New Roman" w:hAnsi="Times New Roman" w:cs="Times New Roman"/>
          <w:sz w:val="24"/>
          <w:szCs w:val="24"/>
        </w:rPr>
        <w:t>ustralians. The study instead revealed significantly higher scores in the White Australian group than the Muslim Australian group.</w:t>
      </w:r>
    </w:p>
    <w:p w:rsidR="00A82F37" w:rsidRDefault="00A82F37" w:rsidP="008C4AA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Performing the two-way between-subjects ANOVA </w:t>
      </w:r>
      <w:r w:rsidR="00536401">
        <w:rPr>
          <w:rFonts w:ascii="Times New Roman" w:hAnsi="Times New Roman" w:cs="Times New Roman"/>
          <w:sz w:val="24"/>
          <w:szCs w:val="24"/>
        </w:rPr>
        <w:t>demonstrated supporting evidence for the h</w:t>
      </w:r>
      <w:r w:rsidR="00BA2EDF">
        <w:rPr>
          <w:rFonts w:ascii="Times New Roman" w:hAnsi="Times New Roman" w:cs="Times New Roman"/>
          <w:sz w:val="24"/>
          <w:szCs w:val="24"/>
        </w:rPr>
        <w:t>ypothesis that sex would have a</w:t>
      </w:r>
      <w:r w:rsidR="00536401">
        <w:rPr>
          <w:rFonts w:ascii="Times New Roman" w:hAnsi="Times New Roman" w:cs="Times New Roman"/>
          <w:sz w:val="24"/>
          <w:szCs w:val="24"/>
        </w:rPr>
        <w:t xml:space="preserve"> main effect on activism intention</w:t>
      </w:r>
      <w:r w:rsidR="00175F4E">
        <w:rPr>
          <w:rFonts w:ascii="Times New Roman" w:hAnsi="Times New Roman" w:cs="Times New Roman"/>
          <w:sz w:val="24"/>
          <w:szCs w:val="24"/>
        </w:rPr>
        <w:t>, and for the notion that there would be no significant interaction between ethnicity and sex</w:t>
      </w:r>
      <w:r w:rsidR="00536401">
        <w:rPr>
          <w:rFonts w:ascii="Times New Roman" w:hAnsi="Times New Roman" w:cs="Times New Roman"/>
          <w:sz w:val="24"/>
          <w:szCs w:val="24"/>
        </w:rPr>
        <w:t>.</w:t>
      </w:r>
      <w:r w:rsidR="00175F4E">
        <w:rPr>
          <w:rFonts w:ascii="Times New Roman" w:hAnsi="Times New Roman" w:cs="Times New Roman"/>
          <w:sz w:val="24"/>
          <w:szCs w:val="24"/>
        </w:rPr>
        <w:t xml:space="preserve"> However, ethnicity had a significant main effect on activism intention, which was not congruent with </w:t>
      </w:r>
      <w:r w:rsidR="002C5F4E">
        <w:rPr>
          <w:rFonts w:ascii="Times New Roman" w:hAnsi="Times New Roman" w:cs="Times New Roman"/>
          <w:sz w:val="24"/>
          <w:szCs w:val="24"/>
        </w:rPr>
        <w:t>what was hypothesised.</w:t>
      </w:r>
    </w:p>
    <w:p w:rsidR="00535053" w:rsidRDefault="009922AD" w:rsidP="0090500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implications of the current study’s findings support research indicating that Western far-right extremist ideologies are becoming more prevalent (Hutchinson, 2021). These findings also indicate that increased intelligence and domestic security resources targeting Western right-wing extremism would be a justified and intelligent course of action in order to combat what has already been demonstrated and recognised by the Australian Security Intelligence Organisation (ASIO) to be a rising threat (Pantucci &amp; Ong, 2021).</w:t>
      </w:r>
      <w:r w:rsidR="006764E8">
        <w:rPr>
          <w:rFonts w:ascii="Times New Roman" w:hAnsi="Times New Roman" w:cs="Times New Roman"/>
          <w:sz w:val="24"/>
          <w:szCs w:val="24"/>
        </w:rPr>
        <w:t xml:space="preserve"> The findings of the current study also further highlight the concern that males in particular may be more susceptible to extremist ideologies (</w:t>
      </w:r>
      <w:proofErr w:type="spellStart"/>
      <w:r w:rsidR="006764E8" w:rsidRPr="00D44B37">
        <w:rPr>
          <w:rFonts w:ascii="Times New Roman" w:hAnsi="Times New Roman" w:cs="Times New Roman"/>
          <w:sz w:val="24"/>
          <w:szCs w:val="24"/>
        </w:rPr>
        <w:t>Möller-Leimkühler</w:t>
      </w:r>
      <w:proofErr w:type="spellEnd"/>
      <w:r w:rsidR="006764E8">
        <w:rPr>
          <w:rFonts w:ascii="Times New Roman" w:hAnsi="Times New Roman" w:cs="Times New Roman"/>
          <w:sz w:val="24"/>
          <w:szCs w:val="24"/>
        </w:rPr>
        <w:t>, 2018)</w:t>
      </w:r>
      <w:r w:rsidR="00410248">
        <w:rPr>
          <w:rFonts w:ascii="Times New Roman" w:hAnsi="Times New Roman" w:cs="Times New Roman"/>
          <w:sz w:val="24"/>
          <w:szCs w:val="24"/>
        </w:rPr>
        <w:t>. A post-hoc test in a future study determining the direction of difference between sexes could</w:t>
      </w:r>
      <w:r w:rsidR="006764E8">
        <w:rPr>
          <w:rFonts w:ascii="Times New Roman" w:hAnsi="Times New Roman" w:cs="Times New Roman"/>
          <w:sz w:val="24"/>
          <w:szCs w:val="24"/>
        </w:rPr>
        <w:t xml:space="preserve"> </w:t>
      </w:r>
      <w:r w:rsidR="00410248">
        <w:rPr>
          <w:rFonts w:ascii="Times New Roman" w:hAnsi="Times New Roman" w:cs="Times New Roman"/>
          <w:sz w:val="24"/>
          <w:szCs w:val="24"/>
        </w:rPr>
        <w:t>provide</w:t>
      </w:r>
      <w:r w:rsidR="006764E8">
        <w:rPr>
          <w:rFonts w:ascii="Times New Roman" w:hAnsi="Times New Roman" w:cs="Times New Roman"/>
          <w:sz w:val="24"/>
          <w:szCs w:val="24"/>
        </w:rPr>
        <w:t xml:space="preserve"> additional clarity on why males are often targeted for radicalisation (</w:t>
      </w:r>
      <w:proofErr w:type="spellStart"/>
      <w:r w:rsidR="006764E8">
        <w:rPr>
          <w:rFonts w:ascii="Times New Roman" w:hAnsi="Times New Roman" w:cs="Times New Roman"/>
          <w:sz w:val="24"/>
          <w:szCs w:val="24"/>
        </w:rPr>
        <w:t>Pantucci</w:t>
      </w:r>
      <w:proofErr w:type="spellEnd"/>
      <w:r w:rsidR="006764E8">
        <w:rPr>
          <w:rFonts w:ascii="Times New Roman" w:hAnsi="Times New Roman" w:cs="Times New Roman"/>
          <w:sz w:val="24"/>
          <w:szCs w:val="24"/>
        </w:rPr>
        <w:t xml:space="preserve"> &amp; Ong, 2021; </w:t>
      </w:r>
      <w:proofErr w:type="spellStart"/>
      <w:r w:rsidR="006764E8">
        <w:rPr>
          <w:rFonts w:ascii="Times New Roman" w:hAnsi="Times New Roman" w:cs="Times New Roman"/>
          <w:sz w:val="24"/>
          <w:szCs w:val="24"/>
        </w:rPr>
        <w:t>Schmid</w:t>
      </w:r>
      <w:proofErr w:type="spellEnd"/>
      <w:r w:rsidR="006764E8">
        <w:rPr>
          <w:rFonts w:ascii="Times New Roman" w:hAnsi="Times New Roman" w:cs="Times New Roman"/>
          <w:sz w:val="24"/>
          <w:szCs w:val="24"/>
        </w:rPr>
        <w:t>, 2016).</w:t>
      </w:r>
    </w:p>
    <w:p w:rsidR="00535053" w:rsidRDefault="003143CA" w:rsidP="00EF79E3">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were some key limitations to the study. While the total sample size for the study was fairly robust, only 16 (19.9%) of the 78 participants were Muslim Australian. This makes it a potentially inadequate sample for representing an entire ethnic background due to size alone. This concern is made worse when considering that, of the 16 Muslim Australian participants, only four were male. This is of particularly key concern when considering that it is often Muslim men who are stereotyped to be more radical and aggressive than their female counterparts (</w:t>
      </w:r>
      <w:proofErr w:type="spellStart"/>
      <w:r>
        <w:rPr>
          <w:rFonts w:ascii="Times New Roman" w:hAnsi="Times New Roman" w:cs="Times New Roman"/>
          <w:sz w:val="24"/>
          <w:szCs w:val="24"/>
        </w:rPr>
        <w:t>Bassioni</w:t>
      </w:r>
      <w:proofErr w:type="spellEnd"/>
      <w:r w:rsidRPr="00671ED9">
        <w:rPr>
          <w:rFonts w:ascii="Times New Roman" w:hAnsi="Times New Roman" w:cs="Times New Roman"/>
          <w:sz w:val="24"/>
          <w:szCs w:val="24"/>
        </w:rPr>
        <w:t xml:space="preserve"> &amp; </w:t>
      </w:r>
      <w:proofErr w:type="spellStart"/>
      <w:r w:rsidRPr="00671ED9">
        <w:rPr>
          <w:rFonts w:ascii="Times New Roman" w:hAnsi="Times New Roman" w:cs="Times New Roman"/>
          <w:sz w:val="24"/>
          <w:szCs w:val="24"/>
        </w:rPr>
        <w:t>Langrehr</w:t>
      </w:r>
      <w:proofErr w:type="spellEnd"/>
      <w:r>
        <w:rPr>
          <w:rFonts w:ascii="Times New Roman" w:hAnsi="Times New Roman" w:cs="Times New Roman"/>
          <w:sz w:val="24"/>
          <w:szCs w:val="24"/>
        </w:rPr>
        <w:t>, 2021)</w:t>
      </w:r>
      <w:r w:rsidR="008753F2">
        <w:rPr>
          <w:rFonts w:ascii="Times New Roman" w:hAnsi="Times New Roman" w:cs="Times New Roman"/>
          <w:sz w:val="24"/>
          <w:szCs w:val="24"/>
        </w:rPr>
        <w:t>. Additionally, given the purported regularity with which Muslim individuals residing in the West have to deal suspicion about their political alignment (</w:t>
      </w:r>
      <w:proofErr w:type="spellStart"/>
      <w:r w:rsidR="0019312F">
        <w:rPr>
          <w:rFonts w:ascii="Times New Roman" w:hAnsi="Times New Roman" w:cs="Times New Roman"/>
          <w:sz w:val="24"/>
          <w:szCs w:val="24"/>
        </w:rPr>
        <w:t>Chermak</w:t>
      </w:r>
      <w:proofErr w:type="spellEnd"/>
      <w:r w:rsidR="008753F2" w:rsidRPr="00535053">
        <w:rPr>
          <w:rFonts w:ascii="Times New Roman" w:hAnsi="Times New Roman" w:cs="Times New Roman"/>
          <w:sz w:val="24"/>
          <w:szCs w:val="24"/>
        </w:rPr>
        <w:t xml:space="preserve"> &amp; Gruenewald</w:t>
      </w:r>
      <w:r w:rsidR="008753F2">
        <w:rPr>
          <w:rFonts w:ascii="Times New Roman" w:hAnsi="Times New Roman" w:cs="Times New Roman"/>
          <w:sz w:val="24"/>
          <w:szCs w:val="24"/>
        </w:rPr>
        <w:t xml:space="preserve">, 2015; </w:t>
      </w:r>
      <w:proofErr w:type="spellStart"/>
      <w:r w:rsidR="008753F2">
        <w:rPr>
          <w:rFonts w:ascii="Times New Roman" w:hAnsi="Times New Roman" w:cs="Times New Roman"/>
          <w:sz w:val="24"/>
          <w:szCs w:val="24"/>
        </w:rPr>
        <w:t>Bassioni</w:t>
      </w:r>
      <w:proofErr w:type="spellEnd"/>
      <w:r w:rsidR="008753F2" w:rsidRPr="00671ED9">
        <w:rPr>
          <w:rFonts w:ascii="Times New Roman" w:hAnsi="Times New Roman" w:cs="Times New Roman"/>
          <w:sz w:val="24"/>
          <w:szCs w:val="24"/>
        </w:rPr>
        <w:t xml:space="preserve"> &amp; </w:t>
      </w:r>
      <w:proofErr w:type="spellStart"/>
      <w:r w:rsidR="008753F2" w:rsidRPr="00671ED9">
        <w:rPr>
          <w:rFonts w:ascii="Times New Roman" w:hAnsi="Times New Roman" w:cs="Times New Roman"/>
          <w:sz w:val="24"/>
          <w:szCs w:val="24"/>
        </w:rPr>
        <w:lastRenderedPageBreak/>
        <w:t>Langrehr</w:t>
      </w:r>
      <w:proofErr w:type="spellEnd"/>
      <w:r w:rsidR="008753F2">
        <w:rPr>
          <w:rFonts w:ascii="Times New Roman" w:hAnsi="Times New Roman" w:cs="Times New Roman"/>
          <w:sz w:val="24"/>
          <w:szCs w:val="24"/>
        </w:rPr>
        <w:t>, 2021), the Muslim Australian participants may have answered the questionnaire more cautiously, thus potentially confounding the results.</w:t>
      </w:r>
      <w:r w:rsidR="00362D8C">
        <w:rPr>
          <w:rFonts w:ascii="Times New Roman" w:hAnsi="Times New Roman" w:cs="Times New Roman"/>
          <w:sz w:val="24"/>
          <w:szCs w:val="24"/>
        </w:rPr>
        <w:t xml:space="preserve"> Future research should aim to ensure a large sample size for each demographic measured, whilst also endeavouring to determine the direction of the effect sex has on activism</w:t>
      </w:r>
    </w:p>
    <w:p w:rsidR="006764E8" w:rsidRDefault="006764E8" w:rsidP="00EF79E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the results of the current study, while not all congruent with the original hypotheses, indicate that sympathy and potential activism for extremist ideologies is more prevalent in White A</w:t>
      </w:r>
      <w:r w:rsidR="00EC338C">
        <w:rPr>
          <w:rFonts w:ascii="Times New Roman" w:hAnsi="Times New Roman" w:cs="Times New Roman"/>
          <w:sz w:val="24"/>
          <w:szCs w:val="24"/>
        </w:rPr>
        <w:t>ustralians than Muslim Australians, which supports the growing concerns from ASIO (</w:t>
      </w:r>
      <w:proofErr w:type="spellStart"/>
      <w:r w:rsidR="00EC338C">
        <w:rPr>
          <w:rFonts w:ascii="Times New Roman" w:hAnsi="Times New Roman" w:cs="Times New Roman"/>
          <w:sz w:val="24"/>
          <w:szCs w:val="24"/>
        </w:rPr>
        <w:t>Pantucci</w:t>
      </w:r>
      <w:proofErr w:type="spellEnd"/>
      <w:r w:rsidR="00EC338C">
        <w:rPr>
          <w:rFonts w:ascii="Times New Roman" w:hAnsi="Times New Roman" w:cs="Times New Roman"/>
          <w:sz w:val="24"/>
          <w:szCs w:val="24"/>
        </w:rPr>
        <w:t xml:space="preserve"> &amp; Ong, 2021). </w:t>
      </w:r>
      <w:r w:rsidR="00410248">
        <w:rPr>
          <w:rFonts w:ascii="Times New Roman" w:hAnsi="Times New Roman" w:cs="Times New Roman"/>
          <w:sz w:val="24"/>
          <w:szCs w:val="24"/>
        </w:rPr>
        <w:t xml:space="preserve">Additionally, the current study also </w:t>
      </w:r>
      <w:r w:rsidR="00362D8C">
        <w:rPr>
          <w:rFonts w:ascii="Times New Roman" w:hAnsi="Times New Roman" w:cs="Times New Roman"/>
          <w:sz w:val="24"/>
          <w:szCs w:val="24"/>
        </w:rPr>
        <w:t>indicates that sex has a significant effect on activism intention. Future studies should seek to uncover the direction of this effect and acquire a larger sample size for each demographic.</w:t>
      </w:r>
    </w:p>
    <w:p w:rsidR="00535053" w:rsidRDefault="00535053">
      <w:pPr>
        <w:rPr>
          <w:rFonts w:ascii="Times New Roman" w:hAnsi="Times New Roman" w:cs="Times New Roman"/>
          <w:sz w:val="24"/>
          <w:szCs w:val="24"/>
        </w:rPr>
      </w:pPr>
      <w:r>
        <w:rPr>
          <w:rFonts w:ascii="Times New Roman" w:hAnsi="Times New Roman" w:cs="Times New Roman"/>
          <w:sz w:val="24"/>
          <w:szCs w:val="24"/>
        </w:rPr>
        <w:br w:type="page"/>
      </w:r>
    </w:p>
    <w:p w:rsidR="000135BC" w:rsidRPr="000135BC" w:rsidRDefault="00535053" w:rsidP="000135BC">
      <w:pPr>
        <w:spacing w:line="480" w:lineRule="auto"/>
        <w:jc w:val="center"/>
        <w:rPr>
          <w:rFonts w:ascii="Times New Roman" w:hAnsi="Times New Roman" w:cs="Times New Roman"/>
          <w:b/>
          <w:sz w:val="24"/>
          <w:szCs w:val="24"/>
        </w:rPr>
      </w:pPr>
      <w:r w:rsidRPr="00535053">
        <w:rPr>
          <w:rFonts w:ascii="Times New Roman" w:hAnsi="Times New Roman" w:cs="Times New Roman"/>
          <w:b/>
          <w:sz w:val="24"/>
          <w:szCs w:val="24"/>
        </w:rPr>
        <w:lastRenderedPageBreak/>
        <w:t>References</w:t>
      </w:r>
    </w:p>
    <w:p w:rsidR="00671ED9" w:rsidRPr="00671ED9" w:rsidRDefault="000135BC" w:rsidP="00671ED9">
      <w:pPr>
        <w:spacing w:line="480" w:lineRule="auto"/>
        <w:ind w:left="720" w:hanging="720"/>
        <w:rPr>
          <w:rFonts w:ascii="Times New Roman" w:hAnsi="Times New Roman" w:cs="Times New Roman"/>
          <w:sz w:val="24"/>
          <w:szCs w:val="24"/>
        </w:rPr>
      </w:pPr>
      <w:proofErr w:type="spellStart"/>
      <w:r w:rsidRPr="000135BC">
        <w:rPr>
          <w:rFonts w:ascii="Times New Roman" w:hAnsi="Times New Roman" w:cs="Times New Roman"/>
          <w:sz w:val="24"/>
          <w:szCs w:val="24"/>
        </w:rPr>
        <w:t>Alsultany</w:t>
      </w:r>
      <w:proofErr w:type="spellEnd"/>
      <w:r w:rsidRPr="000135BC">
        <w:rPr>
          <w:rFonts w:ascii="Times New Roman" w:hAnsi="Times New Roman" w:cs="Times New Roman"/>
          <w:sz w:val="24"/>
          <w:szCs w:val="24"/>
        </w:rPr>
        <w:t xml:space="preserve">, E. (2013). Arabs and Muslims in the Media after 9/11: Representational Strategies for a “Postrace” Era. </w:t>
      </w:r>
      <w:r w:rsidRPr="000135BC">
        <w:rPr>
          <w:rFonts w:ascii="Times New Roman" w:hAnsi="Times New Roman" w:cs="Times New Roman"/>
          <w:i/>
          <w:sz w:val="24"/>
          <w:szCs w:val="24"/>
        </w:rPr>
        <w:t>American Quarterly, 65</w:t>
      </w:r>
      <w:r w:rsidRPr="000135BC">
        <w:rPr>
          <w:rFonts w:ascii="Times New Roman" w:hAnsi="Times New Roman" w:cs="Times New Roman"/>
          <w:sz w:val="24"/>
          <w:szCs w:val="24"/>
        </w:rPr>
        <w:t xml:space="preserve">(1), 161–169. </w:t>
      </w:r>
      <w:hyperlink r:id="rId6" w:history="1">
        <w:r w:rsidRPr="001B1A22">
          <w:rPr>
            <w:rStyle w:val="Hyperlink"/>
            <w:rFonts w:ascii="Times New Roman" w:hAnsi="Times New Roman" w:cs="Times New Roman"/>
            <w:sz w:val="24"/>
            <w:szCs w:val="24"/>
          </w:rPr>
          <w:t>https://doi.org/10.1353/aq.2013.0008</w:t>
        </w:r>
      </w:hyperlink>
      <w:r>
        <w:rPr>
          <w:rFonts w:ascii="Times New Roman" w:hAnsi="Times New Roman" w:cs="Times New Roman"/>
          <w:sz w:val="24"/>
          <w:szCs w:val="24"/>
        </w:rPr>
        <w:t xml:space="preserve"> </w:t>
      </w:r>
    </w:p>
    <w:p w:rsidR="00671ED9" w:rsidRDefault="00671ED9" w:rsidP="00671ED9">
      <w:pPr>
        <w:spacing w:line="480" w:lineRule="auto"/>
        <w:ind w:left="720" w:hanging="720"/>
        <w:rPr>
          <w:rFonts w:ascii="Times New Roman" w:hAnsi="Times New Roman" w:cs="Times New Roman"/>
          <w:sz w:val="24"/>
          <w:szCs w:val="24"/>
        </w:rPr>
      </w:pPr>
      <w:proofErr w:type="spellStart"/>
      <w:r w:rsidRPr="00671ED9">
        <w:rPr>
          <w:rFonts w:ascii="Times New Roman" w:hAnsi="Times New Roman" w:cs="Times New Roman"/>
          <w:sz w:val="24"/>
          <w:szCs w:val="24"/>
        </w:rPr>
        <w:t>Bassioni</w:t>
      </w:r>
      <w:proofErr w:type="spellEnd"/>
      <w:r w:rsidRPr="00671ED9">
        <w:rPr>
          <w:rFonts w:ascii="Times New Roman" w:hAnsi="Times New Roman" w:cs="Times New Roman"/>
          <w:sz w:val="24"/>
          <w:szCs w:val="24"/>
        </w:rPr>
        <w:t xml:space="preserve">, R., &amp; </w:t>
      </w:r>
      <w:proofErr w:type="spellStart"/>
      <w:r w:rsidRPr="00671ED9">
        <w:rPr>
          <w:rFonts w:ascii="Times New Roman" w:hAnsi="Times New Roman" w:cs="Times New Roman"/>
          <w:sz w:val="24"/>
          <w:szCs w:val="24"/>
        </w:rPr>
        <w:t>Langrehr</w:t>
      </w:r>
      <w:proofErr w:type="spellEnd"/>
      <w:r w:rsidRPr="00671ED9">
        <w:rPr>
          <w:rFonts w:ascii="Times New Roman" w:hAnsi="Times New Roman" w:cs="Times New Roman"/>
          <w:sz w:val="24"/>
          <w:szCs w:val="24"/>
        </w:rPr>
        <w:t xml:space="preserve">, K. (2021). Effects of Religious Discrimination and Fear for Safety on Life Satisfaction for Muslim Americans. </w:t>
      </w:r>
      <w:r w:rsidRPr="00671ED9">
        <w:rPr>
          <w:rFonts w:ascii="Times New Roman" w:hAnsi="Times New Roman" w:cs="Times New Roman"/>
          <w:i/>
          <w:sz w:val="24"/>
          <w:szCs w:val="24"/>
        </w:rPr>
        <w:t>The Journal of Muslim Mental Health, 15</w:t>
      </w:r>
      <w:r w:rsidRPr="00671ED9">
        <w:rPr>
          <w:rFonts w:ascii="Times New Roman" w:hAnsi="Times New Roman" w:cs="Times New Roman"/>
          <w:sz w:val="24"/>
          <w:szCs w:val="24"/>
        </w:rPr>
        <w:t xml:space="preserve">(1). </w:t>
      </w:r>
      <w:hyperlink r:id="rId7" w:history="1">
        <w:r w:rsidRPr="001B1A22">
          <w:rPr>
            <w:rStyle w:val="Hyperlink"/>
            <w:rFonts w:ascii="Times New Roman" w:hAnsi="Times New Roman" w:cs="Times New Roman"/>
            <w:sz w:val="24"/>
            <w:szCs w:val="24"/>
          </w:rPr>
          <w:t>https://doi.org/10.3998/jmmh.133</w:t>
        </w:r>
      </w:hyperlink>
      <w:r>
        <w:rPr>
          <w:rFonts w:ascii="Times New Roman" w:hAnsi="Times New Roman" w:cs="Times New Roman"/>
          <w:sz w:val="24"/>
          <w:szCs w:val="24"/>
        </w:rPr>
        <w:t xml:space="preserve"> </w:t>
      </w:r>
    </w:p>
    <w:p w:rsidR="00221578" w:rsidRPr="00221578" w:rsidRDefault="00535053" w:rsidP="00221578">
      <w:pPr>
        <w:spacing w:line="480" w:lineRule="auto"/>
        <w:ind w:left="720" w:hanging="720"/>
        <w:rPr>
          <w:rFonts w:ascii="Times New Roman" w:hAnsi="Times New Roman" w:cs="Times New Roman"/>
          <w:sz w:val="24"/>
          <w:szCs w:val="24"/>
        </w:rPr>
      </w:pPr>
      <w:proofErr w:type="spellStart"/>
      <w:r w:rsidRPr="00535053">
        <w:rPr>
          <w:rFonts w:ascii="Times New Roman" w:hAnsi="Times New Roman" w:cs="Times New Roman"/>
          <w:sz w:val="24"/>
          <w:szCs w:val="24"/>
        </w:rPr>
        <w:t>Chermak</w:t>
      </w:r>
      <w:proofErr w:type="spellEnd"/>
      <w:r w:rsidRPr="00535053">
        <w:rPr>
          <w:rFonts w:ascii="Times New Roman" w:hAnsi="Times New Roman" w:cs="Times New Roman"/>
          <w:sz w:val="24"/>
          <w:szCs w:val="24"/>
        </w:rPr>
        <w:t xml:space="preserve">, S., &amp; Gruenewald, J. A. (2015). Laying a foundation for the criminological examination of right-wing, left-wing, and Al Qaeda-inspired extremism in the United States. </w:t>
      </w:r>
      <w:r w:rsidRPr="00535053">
        <w:rPr>
          <w:rFonts w:ascii="Times New Roman" w:hAnsi="Times New Roman" w:cs="Times New Roman"/>
          <w:i/>
          <w:iCs/>
          <w:sz w:val="24"/>
          <w:szCs w:val="24"/>
        </w:rPr>
        <w:t>Terrorism and Political Violence, 27</w:t>
      </w:r>
      <w:r w:rsidRPr="00535053">
        <w:rPr>
          <w:rFonts w:ascii="Times New Roman" w:hAnsi="Times New Roman" w:cs="Times New Roman"/>
          <w:sz w:val="24"/>
          <w:szCs w:val="24"/>
        </w:rPr>
        <w:t xml:space="preserve">(1), 133-159. </w:t>
      </w:r>
      <w:hyperlink r:id="rId8" w:history="1">
        <w:r w:rsidR="00E7349A" w:rsidRPr="001B1A22">
          <w:rPr>
            <w:rStyle w:val="Hyperlink"/>
            <w:rFonts w:ascii="Times New Roman" w:hAnsi="Times New Roman" w:cs="Times New Roman"/>
            <w:sz w:val="24"/>
            <w:szCs w:val="24"/>
          </w:rPr>
          <w:t>https://doi.org/10.1080/09546553.2014.975646</w:t>
        </w:r>
      </w:hyperlink>
      <w:r w:rsidR="00E7349A">
        <w:rPr>
          <w:rFonts w:ascii="Times New Roman" w:hAnsi="Times New Roman" w:cs="Times New Roman"/>
          <w:sz w:val="24"/>
          <w:szCs w:val="24"/>
        </w:rPr>
        <w:t xml:space="preserve"> </w:t>
      </w:r>
    </w:p>
    <w:p w:rsidR="00D44B37" w:rsidRDefault="00221578" w:rsidP="00D44B37">
      <w:pPr>
        <w:spacing w:line="480" w:lineRule="auto"/>
        <w:ind w:left="720" w:hanging="720"/>
        <w:rPr>
          <w:rFonts w:ascii="Times New Roman" w:hAnsi="Times New Roman" w:cs="Times New Roman"/>
          <w:sz w:val="24"/>
          <w:szCs w:val="24"/>
        </w:rPr>
      </w:pPr>
      <w:proofErr w:type="spellStart"/>
      <w:r w:rsidRPr="00221578">
        <w:rPr>
          <w:rFonts w:ascii="Times New Roman" w:hAnsi="Times New Roman" w:cs="Times New Roman"/>
          <w:sz w:val="24"/>
          <w:szCs w:val="24"/>
        </w:rPr>
        <w:t>Desan</w:t>
      </w:r>
      <w:proofErr w:type="spellEnd"/>
      <w:r w:rsidRPr="00221578">
        <w:rPr>
          <w:rFonts w:ascii="Times New Roman" w:hAnsi="Times New Roman" w:cs="Times New Roman"/>
          <w:sz w:val="24"/>
          <w:szCs w:val="24"/>
        </w:rPr>
        <w:t xml:space="preserve">, S. (2020). Gender, Radicalization, and the October Days: Occupying the National Assembly. </w:t>
      </w:r>
      <w:r w:rsidRPr="00221578">
        <w:rPr>
          <w:rFonts w:ascii="Times New Roman" w:hAnsi="Times New Roman" w:cs="Times New Roman"/>
          <w:i/>
          <w:sz w:val="24"/>
          <w:szCs w:val="24"/>
        </w:rPr>
        <w:t>French Historical Studies, 43</w:t>
      </w:r>
      <w:r w:rsidRPr="00221578">
        <w:rPr>
          <w:rFonts w:ascii="Times New Roman" w:hAnsi="Times New Roman" w:cs="Times New Roman"/>
          <w:sz w:val="24"/>
          <w:szCs w:val="24"/>
        </w:rPr>
        <w:t xml:space="preserve">(3), 359–390. </w:t>
      </w:r>
      <w:hyperlink r:id="rId9" w:history="1">
        <w:r w:rsidRPr="001B1A22">
          <w:rPr>
            <w:rStyle w:val="Hyperlink"/>
            <w:rFonts w:ascii="Times New Roman" w:hAnsi="Times New Roman" w:cs="Times New Roman"/>
            <w:sz w:val="24"/>
            <w:szCs w:val="24"/>
          </w:rPr>
          <w:t>https://doi.org/10.1215/00161071-8278435</w:t>
        </w:r>
      </w:hyperlink>
      <w:r>
        <w:rPr>
          <w:rFonts w:ascii="Times New Roman" w:hAnsi="Times New Roman" w:cs="Times New Roman"/>
          <w:sz w:val="24"/>
          <w:szCs w:val="24"/>
        </w:rPr>
        <w:t xml:space="preserve"> </w:t>
      </w:r>
    </w:p>
    <w:p w:rsidR="00320808" w:rsidRPr="00320808" w:rsidRDefault="00320808" w:rsidP="00D44B37">
      <w:pPr>
        <w:spacing w:line="480" w:lineRule="auto"/>
        <w:ind w:left="720" w:hanging="720"/>
        <w:rPr>
          <w:rFonts w:ascii="Times New Roman" w:hAnsi="Times New Roman" w:cs="Times New Roman"/>
          <w:sz w:val="24"/>
          <w:szCs w:val="24"/>
        </w:rPr>
      </w:pPr>
      <w:proofErr w:type="spellStart"/>
      <w:r w:rsidRPr="00320808">
        <w:rPr>
          <w:rFonts w:ascii="Times New Roman" w:hAnsi="Times New Roman" w:cs="Times New Roman"/>
          <w:sz w:val="24"/>
          <w:szCs w:val="24"/>
        </w:rPr>
        <w:t>Frounfelker</w:t>
      </w:r>
      <w:proofErr w:type="spellEnd"/>
      <w:r w:rsidRPr="00320808">
        <w:rPr>
          <w:rFonts w:ascii="Times New Roman" w:hAnsi="Times New Roman" w:cs="Times New Roman"/>
          <w:sz w:val="24"/>
          <w:szCs w:val="24"/>
        </w:rPr>
        <w:t xml:space="preserve">, R. L., </w:t>
      </w:r>
      <w:proofErr w:type="spellStart"/>
      <w:r w:rsidRPr="00320808">
        <w:rPr>
          <w:rFonts w:ascii="Times New Roman" w:hAnsi="Times New Roman" w:cs="Times New Roman"/>
          <w:sz w:val="24"/>
          <w:szCs w:val="24"/>
        </w:rPr>
        <w:t>Frissen</w:t>
      </w:r>
      <w:proofErr w:type="spellEnd"/>
      <w:r w:rsidRPr="00320808">
        <w:rPr>
          <w:rFonts w:ascii="Times New Roman" w:hAnsi="Times New Roman" w:cs="Times New Roman"/>
          <w:sz w:val="24"/>
          <w:szCs w:val="24"/>
        </w:rPr>
        <w:t xml:space="preserve">, T., </w:t>
      </w:r>
      <w:proofErr w:type="spellStart"/>
      <w:r w:rsidRPr="00320808">
        <w:rPr>
          <w:rFonts w:ascii="Times New Roman" w:hAnsi="Times New Roman" w:cs="Times New Roman"/>
          <w:sz w:val="24"/>
          <w:szCs w:val="24"/>
        </w:rPr>
        <w:t>Miconi</w:t>
      </w:r>
      <w:proofErr w:type="spellEnd"/>
      <w:r w:rsidRPr="00320808">
        <w:rPr>
          <w:rFonts w:ascii="Times New Roman" w:hAnsi="Times New Roman" w:cs="Times New Roman"/>
          <w:sz w:val="24"/>
          <w:szCs w:val="24"/>
        </w:rPr>
        <w:t xml:space="preserve">, D., Lawson, J., Brennan, R. T., </w:t>
      </w:r>
      <w:proofErr w:type="spellStart"/>
      <w:r w:rsidRPr="00320808">
        <w:rPr>
          <w:rFonts w:ascii="Times New Roman" w:hAnsi="Times New Roman" w:cs="Times New Roman"/>
          <w:sz w:val="24"/>
          <w:szCs w:val="24"/>
        </w:rPr>
        <w:t>d’Haenens</w:t>
      </w:r>
      <w:proofErr w:type="spellEnd"/>
      <w:r w:rsidRPr="00320808">
        <w:rPr>
          <w:rFonts w:ascii="Times New Roman" w:hAnsi="Times New Roman" w:cs="Times New Roman"/>
          <w:sz w:val="24"/>
          <w:szCs w:val="24"/>
        </w:rPr>
        <w:t xml:space="preserve">, L., &amp; Rousseau, C. (2021). Transnational evaluation of the Sympathy for Violent Radicalization Scale: Measuring population attitudes toward violent radicalization in two countries. </w:t>
      </w:r>
      <w:r w:rsidRPr="00320808">
        <w:rPr>
          <w:rFonts w:ascii="Times New Roman" w:hAnsi="Times New Roman" w:cs="Times New Roman"/>
          <w:i/>
          <w:iCs/>
          <w:sz w:val="24"/>
          <w:szCs w:val="24"/>
        </w:rPr>
        <w:t>Transcultural Psychiatry</w:t>
      </w:r>
      <w:r w:rsidRPr="00320808">
        <w:rPr>
          <w:rFonts w:ascii="Times New Roman" w:hAnsi="Times New Roman" w:cs="Times New Roman"/>
          <w:sz w:val="24"/>
          <w:szCs w:val="24"/>
        </w:rPr>
        <w:t xml:space="preserve">, </w:t>
      </w:r>
      <w:r w:rsidRPr="00320808">
        <w:rPr>
          <w:rFonts w:ascii="Times New Roman" w:hAnsi="Times New Roman" w:cs="Times New Roman"/>
          <w:i/>
          <w:iCs/>
          <w:sz w:val="24"/>
          <w:szCs w:val="24"/>
        </w:rPr>
        <w:t>58</w:t>
      </w:r>
      <w:r w:rsidRPr="00320808">
        <w:rPr>
          <w:rFonts w:ascii="Times New Roman" w:hAnsi="Times New Roman" w:cs="Times New Roman"/>
          <w:sz w:val="24"/>
          <w:szCs w:val="24"/>
        </w:rPr>
        <w:t xml:space="preserve">(5), 669–682. </w:t>
      </w:r>
      <w:hyperlink r:id="rId10" w:history="1">
        <w:r w:rsidRPr="001B1A22">
          <w:rPr>
            <w:rStyle w:val="Hyperlink"/>
            <w:rFonts w:ascii="Times New Roman" w:hAnsi="Times New Roman" w:cs="Times New Roman"/>
            <w:sz w:val="24"/>
            <w:szCs w:val="24"/>
          </w:rPr>
          <w:t>https://doi.org/10.1177/13634615211000550</w:t>
        </w:r>
      </w:hyperlink>
      <w:r>
        <w:rPr>
          <w:rFonts w:ascii="Times New Roman" w:hAnsi="Times New Roman" w:cs="Times New Roman"/>
          <w:color w:val="006ACC"/>
          <w:sz w:val="24"/>
          <w:szCs w:val="24"/>
        </w:rPr>
        <w:t xml:space="preserve"> </w:t>
      </w:r>
    </w:p>
    <w:p w:rsidR="002C5F4E" w:rsidRPr="002C5F4E" w:rsidRDefault="002C5F4E" w:rsidP="00D44B37">
      <w:pPr>
        <w:spacing w:line="480" w:lineRule="auto"/>
        <w:ind w:left="720" w:hanging="720"/>
        <w:rPr>
          <w:rFonts w:ascii="Times New Roman" w:hAnsi="Times New Roman" w:cs="Times New Roman"/>
          <w:sz w:val="24"/>
          <w:szCs w:val="24"/>
        </w:rPr>
      </w:pPr>
      <w:r w:rsidRPr="002C5F4E">
        <w:rPr>
          <w:rFonts w:ascii="Times New Roman" w:hAnsi="Times New Roman" w:cs="Times New Roman"/>
          <w:sz w:val="24"/>
          <w:szCs w:val="24"/>
        </w:rPr>
        <w:t xml:space="preserve">Hutchinson, J. (2021). The new-far-right movement in Australia. </w:t>
      </w:r>
      <w:r w:rsidRPr="002C5F4E">
        <w:rPr>
          <w:rFonts w:ascii="Times New Roman" w:hAnsi="Times New Roman" w:cs="Times New Roman"/>
          <w:i/>
          <w:iCs/>
          <w:sz w:val="24"/>
          <w:szCs w:val="24"/>
        </w:rPr>
        <w:t>Terrorism and Political Violence, 33</w:t>
      </w:r>
      <w:r w:rsidRPr="002C5F4E">
        <w:rPr>
          <w:rFonts w:ascii="Times New Roman" w:hAnsi="Times New Roman" w:cs="Times New Roman"/>
          <w:sz w:val="24"/>
          <w:szCs w:val="24"/>
        </w:rPr>
        <w:t xml:space="preserve">(7), 1424-1446. </w:t>
      </w:r>
      <w:hyperlink r:id="rId11" w:history="1">
        <w:r w:rsidRPr="001B1A22">
          <w:rPr>
            <w:rStyle w:val="Hyperlink"/>
            <w:rFonts w:ascii="Times New Roman" w:hAnsi="Times New Roman" w:cs="Times New Roman"/>
            <w:sz w:val="24"/>
            <w:szCs w:val="24"/>
          </w:rPr>
          <w:t>https://doi.org/10.1080/09546553.2019.1629909</w:t>
        </w:r>
      </w:hyperlink>
      <w:r>
        <w:rPr>
          <w:rFonts w:ascii="Times New Roman" w:hAnsi="Times New Roman" w:cs="Times New Roman"/>
          <w:color w:val="0462C1"/>
          <w:sz w:val="24"/>
          <w:szCs w:val="24"/>
        </w:rPr>
        <w:t xml:space="preserve"> </w:t>
      </w:r>
    </w:p>
    <w:p w:rsidR="00D44B37" w:rsidRDefault="00D44B37" w:rsidP="00D44B37">
      <w:pPr>
        <w:spacing w:line="480" w:lineRule="auto"/>
        <w:ind w:left="720" w:hanging="720"/>
        <w:rPr>
          <w:rFonts w:ascii="Times New Roman" w:hAnsi="Times New Roman" w:cs="Times New Roman"/>
          <w:sz w:val="24"/>
          <w:szCs w:val="24"/>
        </w:rPr>
      </w:pPr>
      <w:proofErr w:type="spellStart"/>
      <w:r w:rsidRPr="00D44B37">
        <w:rPr>
          <w:rFonts w:ascii="Times New Roman" w:hAnsi="Times New Roman" w:cs="Times New Roman"/>
          <w:sz w:val="24"/>
          <w:szCs w:val="24"/>
        </w:rPr>
        <w:t>Möller-Leimkühler</w:t>
      </w:r>
      <w:proofErr w:type="spellEnd"/>
      <w:r w:rsidRPr="00D44B37">
        <w:rPr>
          <w:rFonts w:ascii="Times New Roman" w:hAnsi="Times New Roman" w:cs="Times New Roman"/>
          <w:sz w:val="24"/>
          <w:szCs w:val="24"/>
        </w:rPr>
        <w:t xml:space="preserve">, A. M. (2018). Why is terrorism a man’s business? </w:t>
      </w:r>
      <w:r w:rsidRPr="00D44B37">
        <w:rPr>
          <w:rFonts w:ascii="Times New Roman" w:hAnsi="Times New Roman" w:cs="Times New Roman"/>
          <w:i/>
          <w:sz w:val="24"/>
          <w:szCs w:val="24"/>
        </w:rPr>
        <w:t>CNS Spectrums, 23</w:t>
      </w:r>
      <w:r w:rsidRPr="00D44B37">
        <w:rPr>
          <w:rFonts w:ascii="Times New Roman" w:hAnsi="Times New Roman" w:cs="Times New Roman"/>
          <w:sz w:val="24"/>
          <w:szCs w:val="24"/>
        </w:rPr>
        <w:t xml:space="preserve">(2), 119–128. </w:t>
      </w:r>
      <w:hyperlink r:id="rId12" w:history="1">
        <w:r w:rsidRPr="001B1A22">
          <w:rPr>
            <w:rStyle w:val="Hyperlink"/>
            <w:rFonts w:ascii="Times New Roman" w:hAnsi="Times New Roman" w:cs="Times New Roman"/>
            <w:sz w:val="24"/>
            <w:szCs w:val="24"/>
          </w:rPr>
          <w:t>https://doi.org/10.1017/S1092852917000438</w:t>
        </w:r>
      </w:hyperlink>
      <w:r>
        <w:rPr>
          <w:rFonts w:ascii="Times New Roman" w:hAnsi="Times New Roman" w:cs="Times New Roman"/>
          <w:sz w:val="24"/>
          <w:szCs w:val="24"/>
        </w:rPr>
        <w:t xml:space="preserve"> </w:t>
      </w:r>
    </w:p>
    <w:p w:rsidR="00320808" w:rsidRPr="00320808" w:rsidRDefault="00320808" w:rsidP="00D44B37">
      <w:pPr>
        <w:spacing w:line="480" w:lineRule="auto"/>
        <w:ind w:left="720" w:hanging="720"/>
        <w:rPr>
          <w:rFonts w:ascii="Times New Roman" w:hAnsi="Times New Roman" w:cs="Times New Roman"/>
          <w:sz w:val="24"/>
          <w:szCs w:val="24"/>
        </w:rPr>
      </w:pPr>
      <w:r w:rsidRPr="00320808">
        <w:rPr>
          <w:rFonts w:ascii="Times New Roman" w:hAnsi="Times New Roman" w:cs="Times New Roman"/>
          <w:sz w:val="24"/>
          <w:szCs w:val="24"/>
        </w:rPr>
        <w:lastRenderedPageBreak/>
        <w:t xml:space="preserve">Moskalenko, S. &amp; McCauley C. (2009). Measuring political mobilization: The distinction between activism and radicalism. </w:t>
      </w:r>
      <w:r w:rsidRPr="00320808">
        <w:rPr>
          <w:rFonts w:ascii="Times New Roman" w:hAnsi="Times New Roman" w:cs="Times New Roman"/>
          <w:i/>
          <w:iCs/>
          <w:sz w:val="24"/>
          <w:szCs w:val="24"/>
        </w:rPr>
        <w:t>Terrorism and Political Violence, 21</w:t>
      </w:r>
      <w:r w:rsidRPr="00320808">
        <w:rPr>
          <w:rFonts w:ascii="Times New Roman" w:hAnsi="Times New Roman" w:cs="Times New Roman"/>
          <w:sz w:val="24"/>
          <w:szCs w:val="24"/>
        </w:rPr>
        <w:t xml:space="preserve">(2), 239-260, </w:t>
      </w:r>
      <w:hyperlink r:id="rId13" w:history="1">
        <w:r w:rsidRPr="001B1A22">
          <w:rPr>
            <w:rStyle w:val="Hyperlink"/>
            <w:rFonts w:ascii="Times New Roman" w:hAnsi="Times New Roman" w:cs="Times New Roman"/>
            <w:sz w:val="24"/>
            <w:szCs w:val="24"/>
          </w:rPr>
          <w:t>https://doi.org/10.1080/09546550902765508</w:t>
        </w:r>
      </w:hyperlink>
      <w:r>
        <w:rPr>
          <w:rFonts w:ascii="Times New Roman" w:hAnsi="Times New Roman" w:cs="Times New Roman"/>
          <w:color w:val="0462C1"/>
          <w:sz w:val="24"/>
          <w:szCs w:val="24"/>
        </w:rPr>
        <w:t xml:space="preserve"> </w:t>
      </w:r>
    </w:p>
    <w:p w:rsidR="00DB6E17" w:rsidRPr="00DB6E17" w:rsidRDefault="00DB6E17" w:rsidP="00D44B37">
      <w:pPr>
        <w:spacing w:line="480" w:lineRule="auto"/>
        <w:ind w:left="720" w:hanging="720"/>
        <w:rPr>
          <w:rFonts w:ascii="Times New Roman" w:hAnsi="Times New Roman" w:cs="Times New Roman"/>
          <w:sz w:val="24"/>
          <w:szCs w:val="24"/>
        </w:rPr>
      </w:pPr>
      <w:proofErr w:type="spellStart"/>
      <w:r w:rsidRPr="00DB6E17">
        <w:rPr>
          <w:rFonts w:ascii="Times New Roman" w:hAnsi="Times New Roman" w:cs="Times New Roman"/>
          <w:sz w:val="24"/>
          <w:szCs w:val="24"/>
        </w:rPr>
        <w:t>Pantucci</w:t>
      </w:r>
      <w:proofErr w:type="spellEnd"/>
      <w:r w:rsidRPr="00DB6E17">
        <w:rPr>
          <w:rFonts w:ascii="Times New Roman" w:hAnsi="Times New Roman" w:cs="Times New Roman"/>
          <w:sz w:val="24"/>
          <w:szCs w:val="24"/>
        </w:rPr>
        <w:t xml:space="preserve">, R., &amp; Ong, K. (2021). Persistence of right-wing extremism and terrorism in the West. </w:t>
      </w:r>
      <w:r w:rsidRPr="00DB6E17">
        <w:rPr>
          <w:rFonts w:ascii="Times New Roman" w:hAnsi="Times New Roman" w:cs="Times New Roman"/>
          <w:i/>
          <w:iCs/>
          <w:sz w:val="24"/>
          <w:szCs w:val="24"/>
        </w:rPr>
        <w:t>Counter Terrorist Trends and Analyses, 13</w:t>
      </w:r>
      <w:r w:rsidRPr="00DB6E17">
        <w:rPr>
          <w:rFonts w:ascii="Times New Roman" w:hAnsi="Times New Roman" w:cs="Times New Roman"/>
          <w:sz w:val="24"/>
          <w:szCs w:val="24"/>
        </w:rPr>
        <w:t xml:space="preserve">(1), 118-126. </w:t>
      </w:r>
      <w:hyperlink r:id="rId14" w:history="1">
        <w:r w:rsidRPr="001B1A22">
          <w:rPr>
            <w:rStyle w:val="Hyperlink"/>
            <w:rFonts w:ascii="Times New Roman" w:hAnsi="Times New Roman" w:cs="Times New Roman"/>
            <w:sz w:val="24"/>
            <w:szCs w:val="24"/>
          </w:rPr>
          <w:t>https://www.jstor.org/stable/26979992</w:t>
        </w:r>
      </w:hyperlink>
      <w:r>
        <w:rPr>
          <w:rFonts w:ascii="Times New Roman" w:hAnsi="Times New Roman" w:cs="Times New Roman"/>
          <w:sz w:val="24"/>
          <w:szCs w:val="24"/>
        </w:rPr>
        <w:t xml:space="preserve"> </w:t>
      </w:r>
    </w:p>
    <w:p w:rsidR="004F55BE" w:rsidRPr="004F55BE" w:rsidRDefault="004F55BE" w:rsidP="00320808">
      <w:pPr>
        <w:spacing w:line="480" w:lineRule="auto"/>
        <w:ind w:left="720" w:hanging="720"/>
        <w:rPr>
          <w:rFonts w:ascii="Times New Roman" w:hAnsi="Times New Roman" w:cs="Times New Roman"/>
          <w:sz w:val="24"/>
          <w:szCs w:val="24"/>
        </w:rPr>
      </w:pPr>
      <w:proofErr w:type="spellStart"/>
      <w:r w:rsidRPr="004F55BE">
        <w:rPr>
          <w:rFonts w:ascii="Times New Roman" w:hAnsi="Times New Roman" w:cs="Times New Roman"/>
          <w:sz w:val="24"/>
          <w:szCs w:val="24"/>
        </w:rPr>
        <w:t>Schmid</w:t>
      </w:r>
      <w:proofErr w:type="spellEnd"/>
      <w:r w:rsidRPr="004F55BE">
        <w:rPr>
          <w:rFonts w:ascii="Times New Roman" w:hAnsi="Times New Roman" w:cs="Times New Roman"/>
          <w:sz w:val="24"/>
          <w:szCs w:val="24"/>
        </w:rPr>
        <w:t xml:space="preserve">, A. P. (2016). Research on radicalisation: Topics and themes. </w:t>
      </w:r>
      <w:r w:rsidRPr="004F55BE">
        <w:rPr>
          <w:rFonts w:ascii="Times New Roman" w:hAnsi="Times New Roman" w:cs="Times New Roman"/>
          <w:i/>
          <w:iCs/>
          <w:sz w:val="24"/>
          <w:szCs w:val="24"/>
        </w:rPr>
        <w:t>Perspectives on Terrorism, 10</w:t>
      </w:r>
      <w:r w:rsidRPr="004F55BE">
        <w:rPr>
          <w:rFonts w:ascii="Times New Roman" w:hAnsi="Times New Roman" w:cs="Times New Roman"/>
          <w:sz w:val="24"/>
          <w:szCs w:val="24"/>
        </w:rPr>
        <w:t xml:space="preserve">(3), 26-32. </w:t>
      </w:r>
      <w:hyperlink r:id="rId15" w:history="1">
        <w:r w:rsidRPr="001B1A22">
          <w:rPr>
            <w:rStyle w:val="Hyperlink"/>
            <w:rFonts w:ascii="Times New Roman" w:hAnsi="Times New Roman" w:cs="Times New Roman"/>
            <w:sz w:val="24"/>
            <w:szCs w:val="24"/>
          </w:rPr>
          <w:t>https://www.jstor.org/stable/26297594</w:t>
        </w:r>
      </w:hyperlink>
      <w:r>
        <w:rPr>
          <w:rFonts w:ascii="Times New Roman" w:hAnsi="Times New Roman" w:cs="Times New Roman"/>
          <w:sz w:val="24"/>
          <w:szCs w:val="24"/>
        </w:rPr>
        <w:t xml:space="preserve"> </w:t>
      </w:r>
    </w:p>
    <w:sectPr w:rsidR="004F55BE" w:rsidRPr="004F55B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101" w:rsidRDefault="00966101" w:rsidP="00670F86">
      <w:pPr>
        <w:spacing w:after="0" w:line="240" w:lineRule="auto"/>
      </w:pPr>
      <w:r>
        <w:separator/>
      </w:r>
    </w:p>
  </w:endnote>
  <w:endnote w:type="continuationSeparator" w:id="0">
    <w:p w:rsidR="00966101" w:rsidRDefault="00966101" w:rsidP="0067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101" w:rsidRDefault="00966101" w:rsidP="00670F86">
      <w:pPr>
        <w:spacing w:after="0" w:line="240" w:lineRule="auto"/>
      </w:pPr>
      <w:r>
        <w:separator/>
      </w:r>
    </w:p>
  </w:footnote>
  <w:footnote w:type="continuationSeparator" w:id="0">
    <w:p w:rsidR="00966101" w:rsidRDefault="00966101" w:rsidP="00670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614476"/>
      <w:docPartObj>
        <w:docPartGallery w:val="Page Numbers (Top of Page)"/>
        <w:docPartUnique/>
      </w:docPartObj>
    </w:sdtPr>
    <w:sdtEndPr>
      <w:rPr>
        <w:noProof/>
      </w:rPr>
    </w:sdtEndPr>
    <w:sdtContent>
      <w:p w:rsidR="00E61003" w:rsidRDefault="00E61003">
        <w:pPr>
          <w:pStyle w:val="Header"/>
          <w:jc w:val="right"/>
        </w:pPr>
        <w:r>
          <w:fldChar w:fldCharType="begin"/>
        </w:r>
        <w:r>
          <w:instrText xml:space="preserve"> PAGE   \* MERGEFORMAT </w:instrText>
        </w:r>
        <w:r>
          <w:fldChar w:fldCharType="separate"/>
        </w:r>
        <w:r w:rsidR="00EB35C9">
          <w:rPr>
            <w:noProof/>
          </w:rPr>
          <w:t>10</w:t>
        </w:r>
        <w:r>
          <w:rPr>
            <w:noProof/>
          </w:rPr>
          <w:fldChar w:fldCharType="end"/>
        </w:r>
      </w:p>
    </w:sdtContent>
  </w:sdt>
  <w:p w:rsidR="00E61003" w:rsidRDefault="00E610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07"/>
    <w:rsid w:val="000135BC"/>
    <w:rsid w:val="00053C4A"/>
    <w:rsid w:val="00134C42"/>
    <w:rsid w:val="00175F4E"/>
    <w:rsid w:val="00191840"/>
    <w:rsid w:val="0019312F"/>
    <w:rsid w:val="001A34C2"/>
    <w:rsid w:val="001A73EA"/>
    <w:rsid w:val="00221578"/>
    <w:rsid w:val="00230546"/>
    <w:rsid w:val="00244313"/>
    <w:rsid w:val="00273992"/>
    <w:rsid w:val="002767B3"/>
    <w:rsid w:val="00283091"/>
    <w:rsid w:val="00297283"/>
    <w:rsid w:val="00297D7E"/>
    <w:rsid w:val="002A154F"/>
    <w:rsid w:val="002A5F9B"/>
    <w:rsid w:val="002B149A"/>
    <w:rsid w:val="002C5F4E"/>
    <w:rsid w:val="003143CA"/>
    <w:rsid w:val="00315BCF"/>
    <w:rsid w:val="00320808"/>
    <w:rsid w:val="00362D8C"/>
    <w:rsid w:val="00383618"/>
    <w:rsid w:val="003D08CF"/>
    <w:rsid w:val="00410248"/>
    <w:rsid w:val="00414A21"/>
    <w:rsid w:val="00424C8E"/>
    <w:rsid w:val="00435ED3"/>
    <w:rsid w:val="004A6B6D"/>
    <w:rsid w:val="004F55BE"/>
    <w:rsid w:val="00501B0B"/>
    <w:rsid w:val="00535053"/>
    <w:rsid w:val="00536401"/>
    <w:rsid w:val="00591088"/>
    <w:rsid w:val="00596A8E"/>
    <w:rsid w:val="005C586B"/>
    <w:rsid w:val="006409EE"/>
    <w:rsid w:val="00665415"/>
    <w:rsid w:val="00670F86"/>
    <w:rsid w:val="00671ED9"/>
    <w:rsid w:val="006764E8"/>
    <w:rsid w:val="006E7950"/>
    <w:rsid w:val="0070395A"/>
    <w:rsid w:val="00742C8E"/>
    <w:rsid w:val="007868DA"/>
    <w:rsid w:val="007C23DA"/>
    <w:rsid w:val="008054DB"/>
    <w:rsid w:val="008337CB"/>
    <w:rsid w:val="0086713D"/>
    <w:rsid w:val="008753F2"/>
    <w:rsid w:val="008C4AA6"/>
    <w:rsid w:val="00905002"/>
    <w:rsid w:val="009272C9"/>
    <w:rsid w:val="00941A96"/>
    <w:rsid w:val="00951F2F"/>
    <w:rsid w:val="00966101"/>
    <w:rsid w:val="009922AD"/>
    <w:rsid w:val="00995F42"/>
    <w:rsid w:val="009A7D4F"/>
    <w:rsid w:val="009D69A3"/>
    <w:rsid w:val="00A31E17"/>
    <w:rsid w:val="00A51CD7"/>
    <w:rsid w:val="00A82F37"/>
    <w:rsid w:val="00A92DC5"/>
    <w:rsid w:val="00B5766D"/>
    <w:rsid w:val="00BA2EDF"/>
    <w:rsid w:val="00BA6784"/>
    <w:rsid w:val="00C001CB"/>
    <w:rsid w:val="00C1152F"/>
    <w:rsid w:val="00C834E1"/>
    <w:rsid w:val="00CE5945"/>
    <w:rsid w:val="00D23E18"/>
    <w:rsid w:val="00D30107"/>
    <w:rsid w:val="00D31165"/>
    <w:rsid w:val="00D314B2"/>
    <w:rsid w:val="00D43F58"/>
    <w:rsid w:val="00D44B37"/>
    <w:rsid w:val="00DB6E17"/>
    <w:rsid w:val="00DC5D0A"/>
    <w:rsid w:val="00E308A3"/>
    <w:rsid w:val="00E41EA1"/>
    <w:rsid w:val="00E61003"/>
    <w:rsid w:val="00E7349A"/>
    <w:rsid w:val="00E814F2"/>
    <w:rsid w:val="00E87217"/>
    <w:rsid w:val="00EA350C"/>
    <w:rsid w:val="00EB35C9"/>
    <w:rsid w:val="00EC338C"/>
    <w:rsid w:val="00ED1468"/>
    <w:rsid w:val="00EF79E3"/>
    <w:rsid w:val="00F11AF1"/>
    <w:rsid w:val="00F93ACD"/>
    <w:rsid w:val="00FB105E"/>
    <w:rsid w:val="00FE05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A7E5D-4417-494A-8899-FB577E63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49A"/>
    <w:rPr>
      <w:color w:val="0563C1" w:themeColor="hyperlink"/>
      <w:u w:val="single"/>
    </w:rPr>
  </w:style>
  <w:style w:type="table" w:styleId="TableGrid">
    <w:name w:val="Table Grid"/>
    <w:basedOn w:val="TableNormal"/>
    <w:uiPriority w:val="39"/>
    <w:rsid w:val="00EA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F86"/>
  </w:style>
  <w:style w:type="paragraph" w:styleId="Footer">
    <w:name w:val="footer"/>
    <w:basedOn w:val="Normal"/>
    <w:link w:val="FooterChar"/>
    <w:uiPriority w:val="99"/>
    <w:unhideWhenUsed/>
    <w:rsid w:val="00670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546553.2014.975646" TargetMode="External"/><Relationship Id="rId13" Type="http://schemas.openxmlformats.org/officeDocument/2006/relationships/hyperlink" Target="https://doi.org/10.1080/0954655090276550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3998/jmmh.133" TargetMode="External"/><Relationship Id="rId12" Type="http://schemas.openxmlformats.org/officeDocument/2006/relationships/hyperlink" Target="https://doi.org/10.1017/S109285291700043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1353/aq.2013.0008" TargetMode="External"/><Relationship Id="rId11" Type="http://schemas.openxmlformats.org/officeDocument/2006/relationships/hyperlink" Target="https://doi.org/10.1080/09546553.2019.1629909" TargetMode="External"/><Relationship Id="rId5" Type="http://schemas.openxmlformats.org/officeDocument/2006/relationships/endnotes" Target="endnotes.xml"/><Relationship Id="rId15" Type="http://schemas.openxmlformats.org/officeDocument/2006/relationships/hyperlink" Target="https://www.jstor.org/stable/26297594" TargetMode="External"/><Relationship Id="rId10" Type="http://schemas.openxmlformats.org/officeDocument/2006/relationships/hyperlink" Target="https://doi.org/10.1177/13634615211000550" TargetMode="External"/><Relationship Id="rId4" Type="http://schemas.openxmlformats.org/officeDocument/2006/relationships/footnotes" Target="footnotes.xml"/><Relationship Id="rId9" Type="http://schemas.openxmlformats.org/officeDocument/2006/relationships/hyperlink" Target="https://doi.org/10.1215/00161071-8278435" TargetMode="External"/><Relationship Id="rId14" Type="http://schemas.openxmlformats.org/officeDocument/2006/relationships/hyperlink" Target="https://www.jstor.org/stable/26979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Graziani</dc:creator>
  <cp:keywords/>
  <dc:description/>
  <cp:lastModifiedBy>Nick Graziani</cp:lastModifiedBy>
  <cp:revision>5</cp:revision>
  <dcterms:created xsi:type="dcterms:W3CDTF">2022-09-26T13:53:00Z</dcterms:created>
  <dcterms:modified xsi:type="dcterms:W3CDTF">2022-09-26T14:04:00Z</dcterms:modified>
</cp:coreProperties>
</file>