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ÉCOLE NATIONALE D'INFORMATIQUE (ENI)</w:t>
      </w:r>
    </w:p>
    <w:p>
      <w:pPr>
        <w:spacing w:after="260"/>
      </w:pPr>
      <w:r>
        <w:rPr>
          <w:color w:val="595959"/>
          <w:sz w:val="20"/>
          <w:szCs w:val="20"/>
        </w:rPr>
        <w:t xml:space="preserve">Licence Professionnelle Informatique — Mémoire de fin d'études</w:t>
      </w:r>
    </w:p>
    <w:p>
      <w:pPr>
        <w:spacing w:after="120"/>
      </w:pPr>
      <w:r>
        <w:rPr>
          <w:b/>
          <w:bCs/>
          <w:color w:val="1F3B57"/>
          <w:sz w:val="40"/>
          <w:szCs w:val="40"/>
        </w:rPr>
        <w:t xml:space="preserve">Comparateur de prix des marchés locaux</w:t>
      </w:r>
    </w:p>
    <w:p>
      <w:pPr>
        <w:spacing w:after="300"/>
      </w:pPr>
      <w:r>
        <w:rPr>
          <w:i/>
          <w:iCs/>
          <w:color w:val="2E5C8A"/>
          <w:sz w:val="26"/>
          <w:szCs w:val="26"/>
        </w:rPr>
        <w:t xml:space="preserve">Dossier technique complémentaire — État des lieux, MCD, MLD, outils et feuille de route</w:t>
      </w:r>
    </w:p>
    <w:p>
      <w:pPr>
        <w:spacing w:after="40"/>
      </w:pPr>
      <w:r>
        <w:rPr>
          <w:sz w:val="20"/>
          <w:szCs w:val="20"/>
        </w:rPr>
        <w:t xml:space="preserve">Auteur : Norlande</w:t>
      </w:r>
    </w:p>
    <w:p>
      <w:pPr>
        <w:spacing w:after="40"/>
      </w:pPr>
      <w:r>
        <w:rPr>
          <w:sz w:val="20"/>
          <w:szCs w:val="20"/>
        </w:rPr>
        <w:t xml:space="preserve">Dépôt analysé : github.com/Nicki24/comparateur-prix-marches (branche master)</w:t>
      </w:r>
    </w:p>
    <w:p>
      <w:pPr>
        <w:spacing w:after="480"/>
      </w:pPr>
      <w:r>
        <w:rPr>
          <w:i/>
          <w:iCs/>
          <w:color w:val="595959"/>
          <w:sz w:val="20"/>
          <w:szCs w:val="20"/>
        </w:rPr>
        <w:t xml:space="preserve">Document généré comme complément au cahier des charges — à adapter et intégrer au mémoire.</w:t>
      </w:r>
    </w:p>
    <w:p>
      <w:pPr>
        <w:pStyle w:val="Heading1"/>
        <w:pBdr>
          <w:bottom w:val="single" w:color="2E5C8A" w:sz="6"/>
        </w:pBdr>
        <w:spacing w:after="160" w:before="360"/>
      </w:pPr>
      <w:r>
        <w:rPr>
          <w:b/>
          <w:bCs/>
          <w:color w:val="1F3B57"/>
        </w:rPr>
        <w:t xml:space="preserve">1. Résumé</w:t>
      </w:r>
    </w:p>
    <w:p>
      <w:pPr>
        <w:spacing w:after="160" w:line="300"/>
      </w:pPr>
      <w:r>
        <w:t xml:space="preserve">Ce document répond à trois questions : où en est réellement le code du dépôt GitHub par rapport au cahier des charges, quels outils manquent encore pour avancer efficacement, et quel est le Modèle Conceptuel de Données (MCD) ainsi que le Modèle Logique de Données (MLD) à implémenter. Il se termine par une feuille de route concrète pour reprendre le développement là où il en est.</w:t>
      </w:r>
    </w:p>
    <w:p>
      <w:pPr>
        <w:pBdr>
          <w:left w:val="single" w:color="2E5C8A" w:sz="18"/>
        </w:pBdr>
        <w:shd w:fill="F2F2F2" w:val="clear"/>
        <w:spacing w:after="200" w:before="100"/>
        <w:ind w:left="200"/>
      </w:pPr>
      <w:r>
        <w:rPr>
          <w:i/>
          <w:iCs/>
          <w:color w:val="3A3A3A"/>
          <w:sz w:val="20"/>
          <w:szCs w:val="20"/>
        </w:rPr>
        <w:t xml:space="preserve">Constat principal : le dépôt contient à ce stade uniquement l'installation par défaut de Laravel et l'application de démonstration Flutter ("compteur"). Aucun code métier (marchés, produits, relevés, comparaison, graphiques) n'a encore été écrit. Un seul commit existe ("Initialisation du projet"). En termes de planning du cahier des charges (section 9), le projet en est donc au tout début de la Semaine 1.</w:t>
      </w:r>
    </w:p>
    <w:p>
      <w:pPr>
        <w:pStyle w:val="Heading1"/>
        <w:pBdr>
          <w:bottom w:val="single" w:color="2E5C8A" w:sz="6"/>
        </w:pBdr>
        <w:spacing w:after="160" w:before="360"/>
      </w:pPr>
      <w:r>
        <w:rPr>
          <w:b/>
          <w:bCs/>
          <w:color w:val="1F3B57"/>
        </w:rPr>
        <w:t xml:space="preserve">2. État des lieux du dépôt GitHub</w:t>
      </w:r>
    </w:p>
    <w:p>
      <w:pPr>
        <w:spacing w:after="160" w:line="300"/>
      </w:pPr>
      <w:r>
        <w:t xml:space="preserve">Le tableau ci-dessous compare ce que prévoit le cahier des charges et ce qui est effectivement présent dans le dépôt au moment de l'analyse.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rPr>
          <w:tblHeader/>
        </w:trPr>
        <w:tc>
          <w:tcPr>
            <w:tcW w:type="dxa" w:w="3200"/>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Élément attendu</w:t>
            </w:r>
          </w:p>
        </w:tc>
        <w:tc>
          <w:tcPr>
            <w:tcW w:type="dxa" w:w="3626"/>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Constat dans le dépôt</w:t>
            </w:r>
          </w:p>
        </w:tc>
        <w:tc>
          <w:tcPr>
            <w:tcW w:type="dxa" w:w="2200"/>
            <w:shd w:fill="FBE7E7" w:val="clear"/>
            <w:tcMar>
              <w:top w:type="dxa" w:w="80"/>
              <w:left w:type="dxa" w:w="120"/>
              <w:bottom w:type="dxa" w:w="80"/>
              <w:right w:type="dxa" w:w="120"/>
            </w:tcMar>
            <w:vAlign w:val="center"/>
          </w:tcPr>
          <w:p>
            <w:r>
              <w:rPr>
                <w:b/>
                <w:bCs/>
                <w:color w:val="8A1F1F"/>
                <w:sz w:val="20"/>
                <w:szCs w:val="20"/>
              </w:rPr>
              <w:t xml:space="preserve">Statut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Backend Laravel — projet initialisé</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Installation par défaut de Laravel 13, migrations users/cache/jobs uniquement</w:t>
            </w:r>
          </w:p>
        </w:tc>
        <w:tc>
          <w:tcPr>
            <w:tcW w:type="dxa" w:w="22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Modèles métier (Marché, Produit, RelevéPrix, Signalement)</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Aucun modèle Eloquent créé, aucune migration métier</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API REST (endpoints marchés/produits/relevés)</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Aucune route hors la page d'accueil Laravel par défaut ; aucun contrôleur</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Authentification contributeurs</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Table users par défaut présente, mais pas de Sanctum ni de logique d'auth API</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Frontend Flutter — projet initialisé</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Projet Flutter généré (Android configuré), mais code = appli de démo "compteur"</w:t>
            </w:r>
          </w:p>
        </w:tc>
        <w:tc>
          <w:tcPr>
            <w:tcW w:type="dxa" w:w="2200"/>
            <w:shd w:fill="FFF8EA" w:val="clear"/>
            <w:tcMar>
              <w:top w:type="dxa" w:w="80"/>
              <w:left w:type="dxa" w:w="120"/>
              <w:bottom w:type="dxa" w:w="80"/>
              <w:right w:type="dxa" w:w="120"/>
            </w:tcMar>
            <w:vAlign w:val="center"/>
          </w:tcPr>
          <w:p>
            <w:r>
              <w:rPr>
                <w:b/>
                <w:bCs/>
                <w:color w:val="8A6300"/>
                <w:sz w:val="20"/>
                <w:szCs w:val="20"/>
              </w:rPr>
              <w:t xml:space="preserve">Partiel</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Écrans métier (marchés, produits, saisie, comparaison, graphiques)</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Aucun écran métier ; aucun appel HTTP ; aucune dépendance ajoutée au pubspec.yaml</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Comparaison de prix / détection d'anomalies</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Non implémenté</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Graphiques d'évolution (fl_chart)</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Package non installé, aucun code</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r>
        <w:tc>
          <w:tcPr>
            <w:tcW w:type="dxa" w:w="32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Tableau de bord / export CSV</w:t>
            </w:r>
          </w:p>
        </w:tc>
        <w:tc>
          <w:tcPr>
            <w:tcW w:type="dxa" w:w="36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Non implémenté</w:t>
            </w:r>
          </w:p>
        </w:tc>
        <w:tc>
          <w:tcPr>
            <w:tcW w:type="dxa" w:w="2200"/>
            <w:shd w:fill="FBE7E7" w:val="clear"/>
            <w:tcMar>
              <w:top w:type="dxa" w:w="80"/>
              <w:left w:type="dxa" w:w="120"/>
              <w:bottom w:type="dxa" w:w="80"/>
              <w:right w:type="dxa" w:w="120"/>
            </w:tcMar>
            <w:vAlign w:val="center"/>
          </w:tcPr>
          <w:p>
            <w:r>
              <w:rPr>
                <w:b/>
                <w:bCs/>
                <w:color w:val="8A1F1F"/>
                <w:sz w:val="20"/>
                <w:szCs w:val="20"/>
              </w:rPr>
              <w:t xml:space="preserve">Manquant</w:t>
            </w:r>
          </w:p>
        </w:tc>
      </w:tr>
    </w:tbl>
    <w:p>
      <w:pPr>
        <w:spacing w:after="160" w:line="300"/>
      </w:pPr>
      <w:r>
        <w:t xml:space="preserve"/>
      </w:r>
    </w:p>
    <w:p>
      <w:pPr>
        <w:spacing w:after="160" w:line="300"/>
      </w:pPr>
      <w:r>
        <w:t xml:space="preserve">Ce n'est pas une mauvaise nouvelle en soi : l'environnement (PHP, Composer, MySQL, Flutter, Android SDK) est correctement installé et documenté dans le README, ce qui est la partie la plus pénible à mettre en place. Il reste maintenant à écrire le code métier, qui est la partie la plus rapide une fois le modèle de données fixé.</w:t>
      </w:r>
    </w:p>
    <w:p>
      <w:pPr>
        <w:pStyle w:val="Heading1"/>
        <w:pBdr>
          <w:bottom w:val="single" w:color="2E5C8A" w:sz="6"/>
        </w:pBdr>
        <w:spacing w:after="160" w:before="360"/>
      </w:pPr>
      <w:r>
        <w:rPr>
          <w:b/>
          <w:bCs/>
          <w:color w:val="1F3B57"/>
        </w:rPr>
        <w:t xml:space="preserve">3. Outils et bibliothèques encore nécessaires</w:t>
      </w:r>
    </w:p>
    <w:p>
      <w:pPr>
        <w:spacing w:after="160" w:line="300"/>
      </w:pPr>
      <w:r>
        <w:t xml:space="preserve">Rien d'exotique n'est requis : le cahier des charges est réaliste. Voici les ajouts concrets recommandés, classés par couche.</w:t>
      </w:r>
    </w:p>
    <w:p>
      <w:pPr>
        <w:pStyle w:val="Heading2"/>
        <w:spacing w:after="120" w:before="280"/>
      </w:pPr>
      <w:r>
        <w:rPr>
          <w:b/>
          <w:bCs/>
          <w:color w:val="2E5C8A"/>
        </w:rPr>
        <w:t xml:space="preserve">3.1 Backend Laravel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526"/>
        <w:gridCol w:w="2100"/>
      </w:tblGrid>
      <w:tr>
        <w:trPr>
          <w:tblHeader/>
        </w:trPr>
        <w:tc>
          <w:tcPr>
            <w:tcW w:type="dxa" w:w="2400"/>
            <w:shd w:fill="1F3B57" w:val="clear"/>
            <w:tcMar>
              <w:top w:type="dxa" w:w="80"/>
              <w:left w:type="dxa" w:w="120"/>
              <w:bottom w:type="dxa" w:w="80"/>
              <w:right w:type="dxa" w:w="120"/>
            </w:tcMar>
            <w:vAlign w:val="center"/>
          </w:tcPr>
          <w:p>
            <w:pPr>
              <w:jc w:val="left"/>
            </w:pPr>
            <w:r>
              <w:rPr>
                <w:b/>
                <w:bCs/>
                <w:i w:val="false"/>
                <w:iCs w:val="false"/>
                <w:color w:val="FFFFFF"/>
                <w:sz w:val="20"/>
                <w:szCs w:val="20"/>
              </w:rPr>
              <w:t xml:space="preserve">Outil / package</w:t>
            </w:r>
          </w:p>
        </w:tc>
        <w:tc>
          <w:tcPr>
            <w:tcW w:type="dxa" w:w="4526"/>
            <w:shd w:fill="1F3B57" w:val="clear"/>
            <w:tcMar>
              <w:top w:type="dxa" w:w="80"/>
              <w:left w:type="dxa" w:w="120"/>
              <w:bottom w:type="dxa" w:w="80"/>
              <w:right w:type="dxa" w:w="120"/>
            </w:tcMar>
            <w:vAlign w:val="center"/>
          </w:tcPr>
          <w:p>
            <w:pPr>
              <w:jc w:val="left"/>
            </w:pPr>
            <w:r>
              <w:rPr>
                <w:b/>
                <w:bCs/>
                <w:i w:val="false"/>
                <w:iCs w:val="false"/>
                <w:color w:val="FFFFFF"/>
                <w:sz w:val="20"/>
                <w:szCs w:val="20"/>
              </w:rPr>
              <w:t xml:space="preserve">Rôle</w:t>
            </w:r>
          </w:p>
        </w:tc>
        <w:tc>
          <w:tcPr>
            <w:tcW w:type="dxa" w:w="2100"/>
            <w:shd w:fill="1F3B57" w:val="clear"/>
            <w:tcMar>
              <w:top w:type="dxa" w:w="80"/>
              <w:left w:type="dxa" w:w="120"/>
              <w:bottom w:type="dxa" w:w="80"/>
              <w:right w:type="dxa" w:w="120"/>
            </w:tcMar>
            <w:vAlign w:val="center"/>
          </w:tcPr>
          <w:p>
            <w:pPr>
              <w:jc w:val="left"/>
            </w:pPr>
            <w:r>
              <w:rPr>
                <w:b/>
                <w:bCs/>
                <w:i w:val="false"/>
                <w:iCs w:val="false"/>
                <w:color w:val="FFFFFF"/>
                <w:sz w:val="20"/>
                <w:szCs w:val="20"/>
              </w:rPr>
              <w:t xml:space="preserve">Priorité</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laravel/sanctum</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Authentification par token pour l'API consommée par Flutter (register/login/logout contributeurs)</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Form Requests (natif Laravel)</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Validation serveur des relevés (règle non-fonctionnelle « Sécurité » du cahier des charges)</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API Resources (natif Laravel)</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Formater les réponses JSON de façon stable pour Flutter</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league/csv (ou export natif)</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Export CSV du tableau de bord (section 5.8)</w:t>
            </w:r>
          </w:p>
        </w:tc>
        <w:tc>
          <w:tcPr>
            <w:tcW w:type="dxa" w:w="2100"/>
            <w:tcMar>
              <w:top w:type="dxa" w:w="80"/>
              <w:left w:type="dxa" w:w="120"/>
              <w:bottom w:type="dxa" w:w="80"/>
              <w:right w:type="dxa" w:w="120"/>
            </w:tcMar>
            <w:vAlign w:val="center"/>
          </w:tcPr>
          <w:p>
            <w:pPr>
              <w:jc w:val="left"/>
            </w:pPr>
            <w:r>
              <w:rPr>
                <w:b w:val="false"/>
                <w:bCs w:val="false"/>
                <w:i w:val="false"/>
                <w:iCs w:val="false"/>
                <w:color w:val="8A6300"/>
                <w:sz w:val="20"/>
                <w:szCs w:val="20"/>
              </w:rPr>
              <w:t xml:space="preserve">Utile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Pest ou PHPUnit (déjà présent)</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Tests des règles métier : anti-doublon, immutabilité d'un relevé, détection d'anomalie</w:t>
            </w:r>
          </w:p>
        </w:tc>
        <w:tc>
          <w:tcPr>
            <w:tcW w:type="dxa" w:w="2100"/>
            <w:tcMar>
              <w:top w:type="dxa" w:w="80"/>
              <w:left w:type="dxa" w:w="120"/>
              <w:bottom w:type="dxa" w:w="80"/>
              <w:right w:type="dxa" w:w="120"/>
            </w:tcMar>
            <w:vAlign w:val="center"/>
          </w:tcPr>
          <w:p>
            <w:pPr>
              <w:jc w:val="left"/>
            </w:pPr>
            <w:r>
              <w:rPr>
                <w:b w:val="false"/>
                <w:bCs w:val="false"/>
                <w:i w:val="false"/>
                <w:iCs w:val="false"/>
                <w:color w:val="1E5C38"/>
                <w:sz w:val="20"/>
                <w:szCs w:val="20"/>
              </w:rPr>
              <w:t xml:space="preserve">Recommandé</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Laravel Pint (déjà présent)</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Style de code automatique avant chaque commit</w:t>
            </w:r>
          </w:p>
        </w:tc>
        <w:tc>
          <w:tcPr>
            <w:tcW w:type="dxa" w:w="2100"/>
            <w:tcMar>
              <w:top w:type="dxa" w:w="80"/>
              <w:left w:type="dxa" w:w="120"/>
              <w:bottom w:type="dxa" w:w="80"/>
              <w:right w:type="dxa" w:w="120"/>
            </w:tcMar>
            <w:vAlign w:val="center"/>
          </w:tcPr>
          <w:p>
            <w:pPr>
              <w:jc w:val="left"/>
            </w:pPr>
            <w:r>
              <w:rPr>
                <w:b w:val="false"/>
                <w:bCs w:val="false"/>
                <w:i w:val="false"/>
                <w:iCs w:val="false"/>
                <w:color w:val="1E5C38"/>
                <w:sz w:val="20"/>
                <w:szCs w:val="20"/>
              </w:rPr>
              <w:t xml:space="preserve">Recommandé</w:t>
            </w:r>
          </w:p>
        </w:tc>
      </w:tr>
    </w:tbl>
    <w:p>
      <w:pPr>
        <w:pStyle w:val="Heading2"/>
        <w:spacing w:after="120" w:before="280"/>
      </w:pPr>
      <w:r>
        <w:rPr>
          <w:b/>
          <w:bCs/>
          <w:color w:val="2E5C8A"/>
        </w:rPr>
        <w:t xml:space="preserve">3.2 Frontend Flutter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526"/>
        <w:gridCol w:w="2100"/>
      </w:tblGrid>
      <w:tr>
        <w:trPr>
          <w:tblHeader/>
        </w:trPr>
        <w:tc>
          <w:tcPr>
            <w:tcW w:type="dxa" w:w="2400"/>
            <w:shd w:fill="1F3B57" w:val="clear"/>
            <w:tcMar>
              <w:top w:type="dxa" w:w="80"/>
              <w:left w:type="dxa" w:w="120"/>
              <w:bottom w:type="dxa" w:w="80"/>
              <w:right w:type="dxa" w:w="120"/>
            </w:tcMar>
            <w:vAlign w:val="center"/>
          </w:tcPr>
          <w:p>
            <w:pPr>
              <w:jc w:val="left"/>
            </w:pPr>
            <w:r>
              <w:rPr>
                <w:b/>
                <w:bCs/>
                <w:i w:val="false"/>
                <w:iCs w:val="false"/>
                <w:color w:val="FFFFFF"/>
                <w:sz w:val="20"/>
                <w:szCs w:val="20"/>
              </w:rPr>
              <w:t xml:space="preserve">Package pub.dev</w:t>
            </w:r>
          </w:p>
        </w:tc>
        <w:tc>
          <w:tcPr>
            <w:tcW w:type="dxa" w:w="4526"/>
            <w:shd w:fill="1F3B57" w:val="clear"/>
            <w:tcMar>
              <w:top w:type="dxa" w:w="80"/>
              <w:left w:type="dxa" w:w="120"/>
              <w:bottom w:type="dxa" w:w="80"/>
              <w:right w:type="dxa" w:w="120"/>
            </w:tcMar>
            <w:vAlign w:val="center"/>
          </w:tcPr>
          <w:p>
            <w:pPr>
              <w:jc w:val="left"/>
            </w:pPr>
            <w:r>
              <w:rPr>
                <w:b/>
                <w:bCs/>
                <w:i w:val="false"/>
                <w:iCs w:val="false"/>
                <w:color w:val="FFFFFF"/>
                <w:sz w:val="20"/>
                <w:szCs w:val="20"/>
              </w:rPr>
              <w:t xml:space="preserve">Rôle</w:t>
            </w:r>
          </w:p>
        </w:tc>
        <w:tc>
          <w:tcPr>
            <w:tcW w:type="dxa" w:w="2100"/>
            <w:shd w:fill="1F3B57" w:val="clear"/>
            <w:tcMar>
              <w:top w:type="dxa" w:w="80"/>
              <w:left w:type="dxa" w:w="120"/>
              <w:bottom w:type="dxa" w:w="80"/>
              <w:right w:type="dxa" w:w="120"/>
            </w:tcMar>
            <w:vAlign w:val="center"/>
          </w:tcPr>
          <w:p>
            <w:pPr>
              <w:jc w:val="left"/>
            </w:pPr>
            <w:r>
              <w:rPr>
                <w:b/>
                <w:bCs/>
                <w:i w:val="false"/>
                <w:iCs w:val="false"/>
                <w:color w:val="FFFFFF"/>
                <w:sz w:val="20"/>
                <w:szCs w:val="20"/>
              </w:rPr>
              <w:t xml:space="preserve">Priorité</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dio (ou http)</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Appels à l'API REST Laravel</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provider ou riverpod</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Gestion d'état (liste marchés/produits, session utilisateur)</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fl_chart</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Graphiques d'évolution des prix (déjà cité dans le cahier des charges 5.5/7.2)</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flutter_secure_storage</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Stocker le token Sanctum de façon sûre sur l'appareil</w:t>
            </w:r>
          </w:p>
        </w:tc>
        <w:tc>
          <w:tcPr>
            <w:tcW w:type="dxa" w:w="2100"/>
            <w:tcMar>
              <w:top w:type="dxa" w:w="80"/>
              <w:left w:type="dxa" w:w="120"/>
              <w:bottom w:type="dxa" w:w="80"/>
              <w:right w:type="dxa" w:w="120"/>
            </w:tcMar>
            <w:vAlign w:val="center"/>
          </w:tcPr>
          <w:p>
            <w:pPr>
              <w:jc w:val="left"/>
            </w:pPr>
            <w:r>
              <w:rPr>
                <w:b w:val="false"/>
                <w:bCs w:val="false"/>
                <w:i w:val="false"/>
                <w:iCs w:val="false"/>
                <w:color w:val="8A1F1F"/>
                <w:sz w:val="20"/>
                <w:szCs w:val="20"/>
              </w:rPr>
              <w:t xml:space="preserve">Indispensable</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go_router</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Navigation entre écrans (accueil, marché, saisie, comparaison)</w:t>
            </w:r>
          </w:p>
        </w:tc>
        <w:tc>
          <w:tcPr>
            <w:tcW w:type="dxa" w:w="2100"/>
            <w:tcMar>
              <w:top w:type="dxa" w:w="80"/>
              <w:left w:type="dxa" w:w="120"/>
              <w:bottom w:type="dxa" w:w="80"/>
              <w:right w:type="dxa" w:w="120"/>
            </w:tcMar>
            <w:vAlign w:val="center"/>
          </w:tcPr>
          <w:p>
            <w:pPr>
              <w:jc w:val="left"/>
            </w:pPr>
            <w:r>
              <w:rPr>
                <w:b w:val="false"/>
                <w:bCs w:val="false"/>
                <w:i w:val="false"/>
                <w:iCs w:val="false"/>
                <w:color w:val="1E5C38"/>
                <w:sz w:val="20"/>
                <w:szCs w:val="20"/>
              </w:rPr>
              <w:t xml:space="preserve">Recommandé</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intl</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Format des dates et des montants en français</w:t>
            </w:r>
          </w:p>
        </w:tc>
        <w:tc>
          <w:tcPr>
            <w:tcW w:type="dxa" w:w="2100"/>
            <w:tcMar>
              <w:top w:type="dxa" w:w="80"/>
              <w:left w:type="dxa" w:w="120"/>
              <w:bottom w:type="dxa" w:w="80"/>
              <w:right w:type="dxa" w:w="120"/>
            </w:tcMar>
            <w:vAlign w:val="center"/>
          </w:tcPr>
          <w:p>
            <w:pPr>
              <w:jc w:val="left"/>
            </w:pPr>
            <w:r>
              <w:rPr>
                <w:b w:val="false"/>
                <w:bCs w:val="false"/>
                <w:i w:val="false"/>
                <w:iCs w:val="false"/>
                <w:color w:val="1E5C38"/>
                <w:sz w:val="20"/>
                <w:szCs w:val="20"/>
              </w:rPr>
              <w:t xml:space="preserve">Recommandé</w:t>
            </w:r>
          </w:p>
        </w:tc>
      </w:tr>
      <w:tr>
        <w:tc>
          <w:tcPr>
            <w:tcW w:type="dxa" w:w="2400"/>
            <w:tcMar>
              <w:top w:type="dxa" w:w="80"/>
              <w:left w:type="dxa" w:w="120"/>
              <w:bottom w:type="dxa" w:w="80"/>
              <w:right w:type="dxa" w:w="120"/>
            </w:tcMar>
            <w:vAlign w:val="center"/>
          </w:tcPr>
          <w:p>
            <w:pPr>
              <w:jc w:val="left"/>
            </w:pPr>
            <w:r>
              <w:rPr>
                <w:b/>
                <w:bCs/>
                <w:i w:val="false"/>
                <w:iCs w:val="false"/>
                <w:color w:val="1A1A1A"/>
                <w:sz w:val="20"/>
                <w:szCs w:val="20"/>
              </w:rPr>
              <w:t xml:space="preserve">sqflite + connectivity_plus</w:t>
            </w:r>
          </w:p>
        </w:tc>
        <w:tc>
          <w:tcPr>
            <w:tcW w:type="dxa" w:w="4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Mode hors-ligne (nice-to-have, non bloquant pour le MVP)</w:t>
            </w:r>
          </w:p>
        </w:tc>
        <w:tc>
          <w:tcPr>
            <w:tcW w:type="dxa" w:w="2100"/>
            <w:tcMar>
              <w:top w:type="dxa" w:w="80"/>
              <w:left w:type="dxa" w:w="120"/>
              <w:bottom w:type="dxa" w:w="80"/>
              <w:right w:type="dxa" w:w="120"/>
            </w:tcMar>
            <w:vAlign w:val="center"/>
          </w:tcPr>
          <w:p>
            <w:pPr>
              <w:jc w:val="left"/>
            </w:pPr>
            <w:r>
              <w:rPr>
                <w:b w:val="false"/>
                <w:bCs w:val="false"/>
                <w:i w:val="false"/>
                <w:iCs w:val="false"/>
                <w:color w:val="595959"/>
                <w:sz w:val="20"/>
                <w:szCs w:val="20"/>
              </w:rPr>
              <w:t xml:space="preserve">Optionnel</w:t>
            </w:r>
          </w:p>
        </w:tc>
      </w:tr>
    </w:tbl>
    <w:p>
      <w:pPr>
        <w:pStyle w:val="Heading2"/>
        <w:spacing w:after="120" w:before="280"/>
      </w:pPr>
      <w:r>
        <w:rPr>
          <w:b/>
          <w:bCs/>
          <w:color w:val="2E5C8A"/>
        </w:rPr>
        <w:t xml:space="preserve">3.3 Outils transverses</w:t>
      </w:r>
    </w:p>
    <w:p>
      <w:pPr>
        <w:pStyle w:val="ListParagraph"/>
        <w:numPr>
          <w:ilvl w:val="0"/>
          <w:numId w:val="1"/>
        </w:numPr>
        <w:spacing w:after="80" w:line="280"/>
      </w:pPr>
      <w:r>
        <w:t xml:space="preserve">Client API (Insomnia ou Postman) — pour tester chaque endpoint Laravel avant de brancher Flutter dessus ; évite de déboguer les deux couches en même temps.</w:t>
      </w:r>
    </w:p>
    <w:p>
      <w:pPr>
        <w:pStyle w:val="ListParagraph"/>
        <w:numPr>
          <w:ilvl w:val="0"/>
          <w:numId w:val="1"/>
        </w:numPr>
        <w:spacing w:after="80" w:line="280"/>
      </w:pPr>
      <w:r>
        <w:t xml:space="preserve">Une convention Git simple (ex. branches feature/xxx + commits par fonctionnalité) — un seul commit "Initialisation" pour l'instant, ce qui compliquera la rédaction du mémoire (peu de traçabilité de la progression) et la préparation de la soutenance.</w:t>
      </w:r>
    </w:p>
    <w:p>
      <w:pPr>
        <w:pStyle w:val="ListParagraph"/>
        <w:numPr>
          <w:ilvl w:val="0"/>
          <w:numId w:val="1"/>
        </w:numPr>
        <w:spacing w:after="80" w:line="280"/>
      </w:pPr>
      <w:r>
        <w:t xml:space="preserve">Un outil de modélisation (dbdiagram.io, ou simplement ce document) pour valider le MCD/MLD avant d'écrire les migrations — corriger un schéma sur papier coûte 5 minutes, corriger des migrations déjà utilisées en coûte beaucoup plus.</w:t>
      </w:r>
    </w:p>
    <w:p>
      <w:pPr>
        <w:pStyle w:val="ListParagraph"/>
        <w:numPr>
          <w:ilvl w:val="0"/>
          <w:numId w:val="1"/>
        </w:numPr>
        <w:spacing w:after="80" w:line="280"/>
      </w:pPr>
      <w:r>
        <w:t xml:space="preserve">Optionnel : Scribe (package Laravel) pour générer automatiquement une documentation d'API à partir du code — utile pour l'annexe "API REST documentée" exigée en livrable (section 10).</w:t>
      </w:r>
    </w:p>
    <w:p>
      <w:pPr>
        <w:pStyle w:val="Heading1"/>
        <w:pBdr>
          <w:bottom w:val="single" w:color="2E5C8A" w:sz="6"/>
        </w:pBdr>
        <w:spacing w:after="160" w:before="360"/>
      </w:pPr>
      <w:r>
        <w:rPr>
          <w:b/>
          <w:bCs/>
          <w:color w:val="1F3B57"/>
        </w:rPr>
        <w:t xml:space="preserve">4. Modèle Conceptuel de Données (MCD)</w:t>
      </w:r>
    </w:p>
    <w:p>
      <w:pPr>
        <w:spacing w:after="160" w:line="300"/>
      </w:pPr>
      <w:r>
        <w:t xml:space="preserve">Le MCD ci-dessous formalise les entités du cahier des charges (section 8) selon le formalisme Merise. Le relevé de prix est modélisé comme une association porteuse (elle relie Utilisateur, Marché et Produit et porte elle-même des attributs), ce qui reflète fidèlement la règle métier : « un relevé associe exactement un contributeur, un marché et un produit, à une date donnée ».</w:t>
      </w:r>
    </w:p>
    <w:p>
      <w:pPr>
        <w:spacing w:after="80" w:before="120"/>
        <w:jc w:val="center"/>
      </w:pPr>
      <w:r>
        <w:drawing>
          <wp:inline distT="0" distB="0" distL="0" distR="0">
            <wp:extent cx="5334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810250"/>
                    </a:xfrm>
                    <a:prstGeom prst="rect">
                      <a:avLst/>
                    </a:prstGeom>
                  </pic:spPr>
                </pic:pic>
              </a:graphicData>
            </a:graphic>
          </wp:inline>
        </w:drawing>
      </w:r>
    </w:p>
    <w:p>
      <w:pPr>
        <w:spacing w:after="240"/>
        <w:jc w:val="center"/>
      </w:pPr>
      <w:r>
        <w:rPr>
          <w:i/>
          <w:iCs/>
          <w:color w:val="595959"/>
          <w:sz w:val="18"/>
          <w:szCs w:val="18"/>
        </w:rPr>
        <w:t xml:space="preserve">Figure 1 — MCD du comparateur de prix (formalisme Merise)</w:t>
      </w:r>
    </w:p>
    <w:p>
      <w:pPr>
        <w:pStyle w:val="Heading2"/>
        <w:spacing w:after="120" w:before="280"/>
      </w:pPr>
      <w:r>
        <w:rPr>
          <w:b/>
          <w:bCs/>
          <w:color w:val="2E5C8A"/>
        </w:rPr>
        <w:t xml:space="preserve">4.1 Entités et associations</w:t>
      </w:r>
    </w:p>
    <w:p>
      <w:pPr>
        <w:pStyle w:val="ListParagraph"/>
        <w:numPr>
          <w:ilvl w:val="0"/>
          <w:numId w:val="1"/>
        </w:numPr>
        <w:spacing w:after="80" w:line="280"/>
      </w:pPr>
      <w:r>
        <w:rPr>
          <w:b/>
          <w:bCs/>
        </w:rPr>
        <w:t xml:space="preserve">UTILISATEUR </w:t>
      </w:r>
      <w:r>
        <w:t xml:space="preserve">— un contributeur (ou un consommateur, pour la partie consultation publique sans compte, section 5.7).</w:t>
      </w:r>
    </w:p>
    <w:p>
      <w:pPr>
        <w:pStyle w:val="ListParagraph"/>
        <w:numPr>
          <w:ilvl w:val="0"/>
          <w:numId w:val="1"/>
        </w:numPr>
        <w:spacing w:after="80" w:line="280"/>
      </w:pPr>
      <w:r>
        <w:rPr>
          <w:b/>
          <w:bCs/>
        </w:rPr>
        <w:t xml:space="preserve">MARCHÉ </w:t>
      </w:r>
      <w:r>
        <w:t xml:space="preserve">— un marché pilote suivi (2 à 3 dans le MVP).</w:t>
      </w:r>
    </w:p>
    <w:p>
      <w:pPr>
        <w:pStyle w:val="ListParagraph"/>
        <w:numPr>
          <w:ilvl w:val="0"/>
          <w:numId w:val="1"/>
        </w:numPr>
        <w:spacing w:after="80" w:line="280"/>
      </w:pPr>
      <w:r>
        <w:rPr>
          <w:b/>
          <w:bCs/>
        </w:rPr>
        <w:t xml:space="preserve">PRODUIT </w:t>
      </w:r>
      <w:r>
        <w:t xml:space="preserve">— un produit essentiel suivi (5 à 10 dans le MVP), avec unité de mesure obligatoire (règle de gestion 5.2).</w:t>
      </w:r>
    </w:p>
    <w:p>
      <w:pPr>
        <w:pStyle w:val="ListParagraph"/>
        <w:numPr>
          <w:ilvl w:val="0"/>
          <w:numId w:val="1"/>
        </w:numPr>
        <w:spacing w:after="80" w:line="280"/>
      </w:pPr>
      <w:r>
        <w:rPr>
          <w:b/>
          <w:bCs/>
        </w:rPr>
        <w:t xml:space="preserve">RELEVE_PRIX </w:t>
      </w:r>
      <w:r>
        <w:t xml:space="preserve">— association porteuse entre les trois entités ci-dessus ; chaque relevé est horodaté à la création et n'est jamais modifié (règle de gestion 5.3), seule une correction par nouveau relevé est possible.</w:t>
      </w:r>
    </w:p>
    <w:p>
      <w:pPr>
        <w:pStyle w:val="ListParagraph"/>
        <w:numPr>
          <w:ilvl w:val="0"/>
          <w:numId w:val="1"/>
        </w:numPr>
        <w:spacing w:after="80" w:line="280"/>
      </w:pPr>
      <w:r>
        <w:rPr>
          <w:b/>
          <w:bCs/>
        </w:rPr>
        <w:t xml:space="preserve">SIGNALEMENT </w:t>
      </w:r>
      <w:r>
        <w:t xml:space="preserve">— une anomalie détectée automatiquement sur un relevé (prix anormal ou prix obsolète, section 5.6).</w:t>
      </w:r>
    </w:p>
    <w:p>
      <w:pPr>
        <w:pStyle w:val="Heading2"/>
        <w:spacing w:after="120" w:before="280"/>
      </w:pPr>
      <w:r>
        <w:rPr>
          <w:b/>
          <w:bCs/>
          <w:color w:val="2E5C8A"/>
        </w:rPr>
        <w:t xml:space="preserve">4.2 Règles de gestion traduites en cardinalités</w:t>
      </w:r>
    </w:p>
    <w:p>
      <w:pPr>
        <w:pStyle w:val="ListParagraph"/>
        <w:numPr>
          <w:ilvl w:val="0"/>
          <w:numId w:val="1"/>
        </w:numPr>
        <w:spacing w:after="80" w:line="280"/>
      </w:pPr>
      <w:r>
        <w:t xml:space="preserve">Un utilisateur peut saisir 0 à n relevés ; un relevé a exactement un auteur (1,1).</w:t>
      </w:r>
    </w:p>
    <w:p>
      <w:pPr>
        <w:pStyle w:val="ListParagraph"/>
        <w:numPr>
          <w:ilvl w:val="0"/>
          <w:numId w:val="1"/>
        </w:numPr>
        <w:spacing w:after="80" w:line="280"/>
      </w:pPr>
      <w:r>
        <w:t xml:space="preserve">Un marché peut recevoir 0 à n relevés ; un relevé concerne exactement un marché (1,1).</w:t>
      </w:r>
    </w:p>
    <w:p>
      <w:pPr>
        <w:pStyle w:val="ListParagraph"/>
        <w:numPr>
          <w:ilvl w:val="0"/>
          <w:numId w:val="1"/>
        </w:numPr>
        <w:spacing w:after="80" w:line="280"/>
      </w:pPr>
      <w:r>
        <w:t xml:space="preserve">Un produit peut faire l'objet de 0 à n relevés ; un relevé concerne exactement un produit (1,1).</w:t>
      </w:r>
    </w:p>
    <w:p>
      <w:pPr>
        <w:pStyle w:val="ListParagraph"/>
        <w:numPr>
          <w:ilvl w:val="0"/>
          <w:numId w:val="1"/>
        </w:numPr>
        <w:spacing w:after="80" w:line="280"/>
      </w:pPr>
      <w:r>
        <w:t xml:space="preserve">Un relevé peut générer 0 à n signalements (un même relevé peut être signalé pour plusieurs raisons) ; un signalement concerne exactement un relevé (1,1).</w:t>
      </w:r>
    </w:p>
    <w:p>
      <w:pPr>
        <w:pStyle w:val="Heading1"/>
        <w:pBdr>
          <w:bottom w:val="single" w:color="2E5C8A" w:sz="6"/>
        </w:pBdr>
        <w:spacing w:after="160" w:before="360"/>
      </w:pPr>
      <w:r>
        <w:rPr>
          <w:b/>
          <w:bCs/>
          <w:color w:val="1F3B57"/>
        </w:rPr>
        <w:t xml:space="preserve">5. Modèle Logique de Données (MLD)</w:t>
      </w:r>
    </w:p>
    <w:p>
      <w:pPr>
        <w:spacing w:after="160" w:line="300"/>
      </w:pPr>
      <w:r>
        <w:t xml:space="preserve">Traduction directe du MCD en schéma relationnel (nommage au pluriel en snake_case, conforme aux conventions Eloquent/Laravel, pour que les modèles n'aient besoin d'aucune configuration de nom de table).</w:t>
      </w:r>
    </w:p>
    <w:p>
      <w:pPr>
        <w:spacing w:after="80" w:before="120"/>
        <w:jc w:val="center"/>
      </w:pPr>
      <w:r>
        <w:drawing>
          <wp:inline distT="0" distB="0" distL="0" distR="0">
            <wp:extent cx="5810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000500"/>
                    </a:xfrm>
                    <a:prstGeom prst="rect">
                      <a:avLst/>
                    </a:prstGeom>
                  </pic:spPr>
                </pic:pic>
              </a:graphicData>
            </a:graphic>
          </wp:inline>
        </w:drawing>
      </w:r>
    </w:p>
    <w:p>
      <w:pPr>
        <w:spacing w:after="240"/>
        <w:jc w:val="center"/>
      </w:pPr>
      <w:r>
        <w:rPr>
          <w:i/>
          <w:iCs/>
          <w:color w:val="595959"/>
          <w:sz w:val="18"/>
          <w:szCs w:val="18"/>
        </w:rPr>
        <w:t xml:space="preserve">Figure 2 — MLD / schéma relationnel</w:t>
      </w:r>
    </w:p>
    <w:p>
      <w:pPr>
        <w:pStyle w:val="Heading2"/>
        <w:spacing w:after="120" w:before="280"/>
      </w:pPr>
      <w:r>
        <w:rPr>
          <w:b/>
          <w:bCs/>
          <w:color w:val="2E5C8A"/>
        </w:rPr>
        <w:t xml:space="preserve">5.1 Dictionnaire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600"/>
        <w:gridCol w:w="2926"/>
      </w:tblGrid>
      <w:tr>
        <w:trPr>
          <w:tblHeader/>
        </w:trPr>
        <w:tc>
          <w:tcPr>
            <w:tcW w:type="dxa" w:w="1600"/>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Table</w:t>
            </w:r>
          </w:p>
        </w:tc>
        <w:tc>
          <w:tcPr>
            <w:tcW w:type="dxa" w:w="1900"/>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Colonne</w:t>
            </w:r>
          </w:p>
        </w:tc>
        <w:tc>
          <w:tcPr>
            <w:tcW w:type="dxa" w:w="2600"/>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Type</w:t>
            </w:r>
          </w:p>
        </w:tc>
        <w:tc>
          <w:tcPr>
            <w:tcW w:type="dxa" w:w="2926"/>
            <w:shd w:fill="2E5C8A" w:val="clear"/>
            <w:tcMar>
              <w:top w:type="dxa" w:w="80"/>
              <w:left w:type="dxa" w:w="120"/>
              <w:bottom w:type="dxa" w:w="80"/>
              <w:right w:type="dxa" w:w="120"/>
            </w:tcMar>
            <w:vAlign w:val="center"/>
          </w:tcPr>
          <w:p>
            <w:pPr>
              <w:jc w:val="left"/>
            </w:pPr>
            <w:r>
              <w:rPr>
                <w:b/>
                <w:bCs/>
                <w:i w:val="false"/>
                <w:iCs w:val="false"/>
                <w:color w:val="FFFFFF"/>
                <w:sz w:val="20"/>
                <w:szCs w:val="20"/>
              </w:rPr>
              <w:t xml:space="preserve">Contrainte / remarque</w:t>
            </w:r>
          </w:p>
        </w:tc>
      </w:tr>
      <w:tr>
        <w:tc>
          <w:tcPr>
            <w:tcW w:type="dxa" w:w="1600"/>
            <w:tcMar>
              <w:top w:type="dxa" w:w="80"/>
              <w:left w:type="dxa" w:w="120"/>
              <w:bottom w:type="dxa" w:w="80"/>
              <w:right w:type="dxa" w:w="120"/>
            </w:tcMar>
            <w:vAlign w:val="center"/>
          </w:tcPr>
          <w:p>
            <w:pPr>
              <w:jc w:val="left"/>
            </w:pPr>
            <w:r>
              <w:rPr>
                <w:b/>
                <w:bCs/>
                <w:i w:val="false"/>
                <w:iCs w:val="false"/>
                <w:color w:val="1A1A1A"/>
                <w:sz w:val="20"/>
                <w:szCs w:val="20"/>
              </w:rPr>
              <w:t xml:space="preserve">utilisateurs</w:t>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PK, auto-increment</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email</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VARCHAR(150)</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UNIQUE, NOT NULL</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role</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ENUM</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contributeur | admin — défaut contributeur</w:t>
            </w:r>
          </w:p>
        </w:tc>
      </w:tr>
      <w:tr>
        <w:tc>
          <w:tcPr>
            <w:tcW w:type="dxa" w:w="1600"/>
            <w:tcMar>
              <w:top w:type="dxa" w:w="80"/>
              <w:left w:type="dxa" w:w="120"/>
              <w:bottom w:type="dxa" w:w="80"/>
              <w:right w:type="dxa" w:w="120"/>
            </w:tcMar>
            <w:vAlign w:val="center"/>
          </w:tcPr>
          <w:p>
            <w:pPr>
              <w:jc w:val="left"/>
            </w:pPr>
            <w:r>
              <w:rPr>
                <w:b/>
                <w:bCs/>
                <w:i w:val="false"/>
                <w:iCs w:val="false"/>
                <w:color w:val="1A1A1A"/>
                <w:sz w:val="20"/>
                <w:szCs w:val="20"/>
              </w:rPr>
              <w:t xml:space="preserve">marches</w:t>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PK</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actif</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BOOLEAN</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défaut true — jamais de DELETE, seulement actif=false (RG 5.1)</w:t>
            </w:r>
          </w:p>
        </w:tc>
      </w:tr>
      <w:tr>
        <w:tc>
          <w:tcPr>
            <w:tcW w:type="dxa" w:w="1600"/>
            <w:tcMar>
              <w:top w:type="dxa" w:w="80"/>
              <w:left w:type="dxa" w:w="120"/>
              <w:bottom w:type="dxa" w:w="80"/>
              <w:right w:type="dxa" w:w="120"/>
            </w:tcMar>
            <w:vAlign w:val="center"/>
          </w:tcPr>
          <w:p>
            <w:pPr>
              <w:jc w:val="left"/>
            </w:pPr>
            <w:r>
              <w:rPr>
                <w:b/>
                <w:bCs/>
                <w:i w:val="false"/>
                <w:iCs w:val="false"/>
                <w:color w:val="1A1A1A"/>
                <w:sz w:val="20"/>
                <w:szCs w:val="20"/>
              </w:rPr>
              <w:t xml:space="preserve">produits</w:t>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PK</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unite_mesure</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VARCHAR(20)</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NOT NULL (RG 5.2)</w:t>
            </w:r>
          </w:p>
        </w:tc>
      </w:tr>
      <w:tr>
        <w:tc>
          <w:tcPr>
            <w:tcW w:type="dxa" w:w="1600"/>
            <w:tcMar>
              <w:top w:type="dxa" w:w="80"/>
              <w:left w:type="dxa" w:w="120"/>
              <w:bottom w:type="dxa" w:w="80"/>
              <w:right w:type="dxa" w:w="120"/>
            </w:tcMar>
            <w:vAlign w:val="center"/>
          </w:tcPr>
          <w:p>
            <w:pPr>
              <w:jc w:val="left"/>
            </w:pPr>
            <w:r>
              <w:rPr>
                <w:b/>
                <w:bCs/>
                <w:i w:val="false"/>
                <w:iCs w:val="false"/>
                <w:color w:val="1A1A1A"/>
                <w:sz w:val="20"/>
                <w:szCs w:val="20"/>
              </w:rPr>
              <w:t xml:space="preserve">releves_prix</w:t>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PK</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produit_id / marche_id / utilisateur_id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FK NOT NULL, ON DELETE RESTRICT</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valeur</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DECIMAL(12,2)</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&gt; 0</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date_releve</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DATE</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date de l'observation terrain</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statut</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ENUM</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valide | signale</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created_at</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TIMESTAMP</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horodatage automatique, immuable (RG 5.3)</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contrainte —</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UNIQUE</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(utilisateur_id, produit_id, marche_id, date_releve) → anti-spam (Sécurité, section 6)</w:t>
            </w:r>
          </w:p>
        </w:tc>
      </w:tr>
      <w:tr>
        <w:tc>
          <w:tcPr>
            <w:tcW w:type="dxa" w:w="1600"/>
            <w:tcMar>
              <w:top w:type="dxa" w:w="80"/>
              <w:left w:type="dxa" w:w="120"/>
              <w:bottom w:type="dxa" w:w="80"/>
              <w:right w:type="dxa" w:w="120"/>
            </w:tcMar>
            <w:vAlign w:val="center"/>
          </w:tcPr>
          <w:p>
            <w:pPr>
              <w:jc w:val="left"/>
            </w:pPr>
            <w:r>
              <w:rPr>
                <w:b/>
                <w:bCs/>
                <w:i w:val="false"/>
                <w:iCs w:val="false"/>
                <w:color w:val="1A1A1A"/>
                <w:sz w:val="20"/>
                <w:szCs w:val="20"/>
              </w:rPr>
              <w:t xml:space="preserve">signalements</w:t>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PK</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releve_id</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BIGINT</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FK NOT NULL, ON DELETE CASCADE</w:t>
            </w:r>
          </w:p>
        </w:tc>
      </w:tr>
      <w:tr>
        <w:tc>
          <w:tcPr>
            <w:tcW w:type="dxa" w:w="1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
            </w:r>
          </w:p>
        </w:tc>
        <w:tc>
          <w:tcPr>
            <w:tcW w:type="dxa" w:w="19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type_anomalie</w:t>
            </w:r>
          </w:p>
        </w:tc>
        <w:tc>
          <w:tcPr>
            <w:tcW w:type="dxa" w:w="2600"/>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ENUM</w:t>
            </w:r>
          </w:p>
        </w:tc>
        <w:tc>
          <w:tcPr>
            <w:tcW w:type="dxa" w:w="29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prix_anormal | prix_obsolete</w:t>
            </w:r>
          </w:p>
        </w:tc>
      </w:tr>
    </w:tbl>
    <w:p>
      <w:pPr>
        <w:spacing w:after="160" w:line="300"/>
      </w:pPr>
      <w:r>
        <w:t xml:space="preserve"/>
      </w:r>
    </w:p>
    <w:p>
      <w:pPr>
        <w:pBdr>
          <w:left w:val="single" w:color="2E5C8A" w:sz="18"/>
        </w:pBdr>
        <w:shd w:fill="F2F2F2" w:val="clear"/>
        <w:spacing w:after="200" w:before="100"/>
        <w:ind w:left="200"/>
      </w:pPr>
      <w:r>
        <w:rPr>
          <w:i/>
          <w:iCs/>
          <w:color w:val="3A3A3A"/>
          <w:sz w:val="20"/>
          <w:szCs w:val="20"/>
        </w:rPr>
        <w:t xml:space="preserve">Point d'attention : la règle « un marché/produit ne peut pas être supprimé s'il a des relevés » (5.1) est déjà gérée par le simple fait qu'il n'y a pas de fonctionnalité de suppression physique dans l'application — seulement actif=false. La contrainte ON DELETE RESTRICT en base est un filet de sécurité supplémentaire, pas le mécanisme principal.</w:t>
      </w:r>
    </w:p>
    <w:p>
      <w:pPr>
        <w:pStyle w:val="Heading1"/>
        <w:pBdr>
          <w:bottom w:val="single" w:color="2E5C8A" w:sz="6"/>
        </w:pBdr>
        <w:spacing w:after="160" w:before="360"/>
      </w:pPr>
      <w:r>
        <w:rPr>
          <w:b/>
          <w:bCs/>
          <w:color w:val="1F3B57"/>
        </w:rPr>
        <w:t xml:space="preserve">6. Migrations Laravel proposées</w:t>
      </w:r>
    </w:p>
    <w:p>
      <w:pPr>
        <w:spacing w:after="160" w:line="300"/>
      </w:pPr>
      <w:r>
        <w:t xml:space="preserve">Squelette prêt à l'emploi (à créer avec php artisan make:migration ...) reprenant exactement le MLD ci-dessus. Le détail des colonnes est à ajuster si besoin, mais la structure et les contraintes clés sont là.</w:t>
      </w:r>
    </w:p>
    <w:p>
      <w:pPr>
        <w:pBdr>
          <w:top w:val="single" w:color="CCCCCC" w:sz="4"/>
          <w:bottom w:val="single" w:color="CCCCCC" w:sz="4"/>
          <w:left w:val="single" w:color="CCCCCC" w:sz="4"/>
          <w:right w:val="single" w:color="CCCCCC" w:sz="4"/>
        </w:pBdr>
        <w:shd w:fill="F4F4F4" w:val="clear"/>
        <w:spacing w:after="40" w:line="264"/>
      </w:pPr>
      <w:r>
        <w:rPr>
          <w:rFonts w:ascii="Consolas" w:cs="Consolas" w:eastAsia="Consolas" w:hAnsi="Consolas"/>
          <w:color w:val="1A1A1A"/>
          <w:sz w:val="18"/>
          <w:szCs w:val="18"/>
        </w:rPr>
        <w:t xml:space="preserve">// database/migrations/xxxx_create_marches_table.php</w:t>
      </w:r>
      <w:r>
        <w:rPr>
          <w:rFonts w:ascii="Consolas" w:cs="Consolas" w:eastAsia="Consolas" w:hAnsi="Consolas"/>
          <w:color w:val="1A1A1A"/>
          <w:sz w:val="18"/>
          <w:szCs w:val="18"/>
        </w:rPr>
        <w:br/>
        <w:t xml:space="preserve">Schema::create('marches', function (Blueprint $table) {</w:t>
      </w:r>
      <w:r>
        <w:rPr>
          <w:rFonts w:ascii="Consolas" w:cs="Consolas" w:eastAsia="Consolas" w:hAnsi="Consolas"/>
          <w:color w:val="1A1A1A"/>
          <w:sz w:val="18"/>
          <w:szCs w:val="18"/>
        </w:rPr>
        <w:br/>
        <w:t xml:space="preserve">    $table-&gt;id();</w:t>
      </w:r>
      <w:r>
        <w:rPr>
          <w:rFonts w:ascii="Consolas" w:cs="Consolas" w:eastAsia="Consolas" w:hAnsi="Consolas"/>
          <w:color w:val="1A1A1A"/>
          <w:sz w:val="18"/>
          <w:szCs w:val="18"/>
        </w:rPr>
        <w:br/>
        <w:t xml:space="preserve">    $table-&gt;string('nom', 120);</w:t>
      </w:r>
      <w:r>
        <w:rPr>
          <w:rFonts w:ascii="Consolas" w:cs="Consolas" w:eastAsia="Consolas" w:hAnsi="Consolas"/>
          <w:color w:val="1A1A1A"/>
          <w:sz w:val="18"/>
          <w:szCs w:val="18"/>
        </w:rPr>
        <w:br/>
        <w:t xml:space="preserve">    $table-&gt;string('localisation', 180);</w:t>
      </w:r>
      <w:r>
        <w:rPr>
          <w:rFonts w:ascii="Consolas" w:cs="Consolas" w:eastAsia="Consolas" w:hAnsi="Consolas"/>
          <w:color w:val="1A1A1A"/>
          <w:sz w:val="18"/>
          <w:szCs w:val="18"/>
        </w:rPr>
        <w:br/>
        <w:t xml:space="preserve">    $table-&gt;text('description')-&gt;nullable();</w:t>
      </w:r>
      <w:r>
        <w:rPr>
          <w:rFonts w:ascii="Consolas" w:cs="Consolas" w:eastAsia="Consolas" w:hAnsi="Consolas"/>
          <w:color w:val="1A1A1A"/>
          <w:sz w:val="18"/>
          <w:szCs w:val="18"/>
        </w:rPr>
        <w:br/>
        <w:t xml:space="preserve">    $table-&gt;boolean('actif')-&gt;default(true);</w:t>
      </w:r>
      <w:r>
        <w:rPr>
          <w:rFonts w:ascii="Consolas" w:cs="Consolas" w:eastAsia="Consolas" w:hAnsi="Consolas"/>
          <w:color w:val="1A1A1A"/>
          <w:sz w:val="18"/>
          <w:szCs w:val="18"/>
        </w:rPr>
        <w:br/>
        <w:t xml:space="preserve">    $table-&gt;timestamps();</w:t>
      </w:r>
      <w:r>
        <w:rPr>
          <w:rFonts w:ascii="Consolas" w:cs="Consolas" w:eastAsia="Consolas" w:hAnsi="Consolas"/>
          <w:color w:val="1A1A1A"/>
          <w:sz w:val="18"/>
          <w:szCs w:val="18"/>
        </w:rPr>
        <w:br/>
        <w:t xml:space="preserve">});</w:t>
      </w:r>
    </w:p>
    <w:p>
      <w:pPr>
        <w:pBdr>
          <w:top w:val="single" w:color="CCCCCC" w:sz="4"/>
          <w:bottom w:val="single" w:color="CCCCCC" w:sz="4"/>
          <w:left w:val="single" w:color="CCCCCC" w:sz="4"/>
          <w:right w:val="single" w:color="CCCCCC" w:sz="4"/>
        </w:pBdr>
        <w:shd w:fill="F4F4F4" w:val="clear"/>
        <w:spacing w:after="40" w:line="264"/>
      </w:pPr>
      <w:r>
        <w:rPr>
          <w:rFonts w:ascii="Consolas" w:cs="Consolas" w:eastAsia="Consolas" w:hAnsi="Consolas"/>
          <w:color w:val="1A1A1A"/>
          <w:sz w:val="18"/>
          <w:szCs w:val="18"/>
        </w:rPr>
        <w:t xml:space="preserve">// database/migrations/xxxx_create_produits_table.php</w:t>
      </w:r>
      <w:r>
        <w:rPr>
          <w:rFonts w:ascii="Consolas" w:cs="Consolas" w:eastAsia="Consolas" w:hAnsi="Consolas"/>
          <w:color w:val="1A1A1A"/>
          <w:sz w:val="18"/>
          <w:szCs w:val="18"/>
        </w:rPr>
        <w:br/>
        <w:t xml:space="preserve">Schema::create('produits', function (Blueprint $table) {</w:t>
      </w:r>
      <w:r>
        <w:rPr>
          <w:rFonts w:ascii="Consolas" w:cs="Consolas" w:eastAsia="Consolas" w:hAnsi="Consolas"/>
          <w:color w:val="1A1A1A"/>
          <w:sz w:val="18"/>
          <w:szCs w:val="18"/>
        </w:rPr>
        <w:br/>
        <w:t xml:space="preserve">    $table-&gt;id();</w:t>
      </w:r>
      <w:r>
        <w:rPr>
          <w:rFonts w:ascii="Consolas" w:cs="Consolas" w:eastAsia="Consolas" w:hAnsi="Consolas"/>
          <w:color w:val="1A1A1A"/>
          <w:sz w:val="18"/>
          <w:szCs w:val="18"/>
        </w:rPr>
        <w:br/>
        <w:t xml:space="preserve">    $table-&gt;string('nom', 120);</w:t>
      </w:r>
      <w:r>
        <w:rPr>
          <w:rFonts w:ascii="Consolas" w:cs="Consolas" w:eastAsia="Consolas" w:hAnsi="Consolas"/>
          <w:color w:val="1A1A1A"/>
          <w:sz w:val="18"/>
          <w:szCs w:val="18"/>
        </w:rPr>
        <w:br/>
        <w:t xml:space="preserve">    $table-&gt;string('unite_mesure', 20);</w:t>
      </w:r>
      <w:r>
        <w:rPr>
          <w:rFonts w:ascii="Consolas" w:cs="Consolas" w:eastAsia="Consolas" w:hAnsi="Consolas"/>
          <w:color w:val="1A1A1A"/>
          <w:sz w:val="18"/>
          <w:szCs w:val="18"/>
        </w:rPr>
        <w:br/>
        <w:t xml:space="preserve">    $table-&gt;string('categorie', 60)-&gt;nullable();</w:t>
      </w:r>
      <w:r>
        <w:rPr>
          <w:rFonts w:ascii="Consolas" w:cs="Consolas" w:eastAsia="Consolas" w:hAnsi="Consolas"/>
          <w:color w:val="1A1A1A"/>
          <w:sz w:val="18"/>
          <w:szCs w:val="18"/>
        </w:rPr>
        <w:br/>
        <w:t xml:space="preserve">    $table-&gt;boolean('actif')-&gt;default(true);</w:t>
      </w:r>
      <w:r>
        <w:rPr>
          <w:rFonts w:ascii="Consolas" w:cs="Consolas" w:eastAsia="Consolas" w:hAnsi="Consolas"/>
          <w:color w:val="1A1A1A"/>
          <w:sz w:val="18"/>
          <w:szCs w:val="18"/>
        </w:rPr>
        <w:br/>
        <w:t xml:space="preserve">    $table-&gt;timestamps();</w:t>
      </w:r>
      <w:r>
        <w:rPr>
          <w:rFonts w:ascii="Consolas" w:cs="Consolas" w:eastAsia="Consolas" w:hAnsi="Consolas"/>
          <w:color w:val="1A1A1A"/>
          <w:sz w:val="18"/>
          <w:szCs w:val="18"/>
        </w:rPr>
        <w:br/>
        <w:t xml:space="preserve">});</w:t>
      </w:r>
    </w:p>
    <w:p>
      <w:pPr>
        <w:pBdr>
          <w:top w:val="single" w:color="CCCCCC" w:sz="4"/>
          <w:bottom w:val="single" w:color="CCCCCC" w:sz="4"/>
          <w:left w:val="single" w:color="CCCCCC" w:sz="4"/>
          <w:right w:val="single" w:color="CCCCCC" w:sz="4"/>
        </w:pBdr>
        <w:shd w:fill="F4F4F4" w:val="clear"/>
        <w:spacing w:after="40" w:line="264"/>
      </w:pPr>
      <w:r>
        <w:rPr>
          <w:rFonts w:ascii="Consolas" w:cs="Consolas" w:eastAsia="Consolas" w:hAnsi="Consolas"/>
          <w:color w:val="1A1A1A"/>
          <w:sz w:val="18"/>
          <w:szCs w:val="18"/>
        </w:rPr>
        <w:t xml:space="preserve">// database/migrations/xxxx_create_releves_prix_table.php</w:t>
      </w:r>
      <w:r>
        <w:rPr>
          <w:rFonts w:ascii="Consolas" w:cs="Consolas" w:eastAsia="Consolas" w:hAnsi="Consolas"/>
          <w:color w:val="1A1A1A"/>
          <w:sz w:val="18"/>
          <w:szCs w:val="18"/>
        </w:rPr>
        <w:br/>
        <w:t xml:space="preserve">Schema::create('releves_prix', function (Blueprint $table) {</w:t>
      </w:r>
      <w:r>
        <w:rPr>
          <w:rFonts w:ascii="Consolas" w:cs="Consolas" w:eastAsia="Consolas" w:hAnsi="Consolas"/>
          <w:color w:val="1A1A1A"/>
          <w:sz w:val="18"/>
          <w:szCs w:val="18"/>
        </w:rPr>
        <w:br/>
        <w:t xml:space="preserve">    $table-&gt;id();</w:t>
      </w:r>
      <w:r>
        <w:rPr>
          <w:rFonts w:ascii="Consolas" w:cs="Consolas" w:eastAsia="Consolas" w:hAnsi="Consolas"/>
          <w:color w:val="1A1A1A"/>
          <w:sz w:val="18"/>
          <w:szCs w:val="18"/>
        </w:rPr>
        <w:br/>
        <w:t xml:space="preserve">    $table-&gt;foreignId('produit_id')-&gt;constrained('produits')-&gt;restrictOnDelete();</w:t>
      </w:r>
      <w:r>
        <w:rPr>
          <w:rFonts w:ascii="Consolas" w:cs="Consolas" w:eastAsia="Consolas" w:hAnsi="Consolas"/>
          <w:color w:val="1A1A1A"/>
          <w:sz w:val="18"/>
          <w:szCs w:val="18"/>
        </w:rPr>
        <w:br/>
        <w:t xml:space="preserve">    $table-&gt;foreignId('marche_id')-&gt;constrained('marches')-&gt;restrictOnDelete();</w:t>
      </w:r>
      <w:r>
        <w:rPr>
          <w:rFonts w:ascii="Consolas" w:cs="Consolas" w:eastAsia="Consolas" w:hAnsi="Consolas"/>
          <w:color w:val="1A1A1A"/>
          <w:sz w:val="18"/>
          <w:szCs w:val="18"/>
        </w:rPr>
        <w:br/>
        <w:t xml:space="preserve">    $table-&gt;foreignId('utilisateur_id')-&gt;constrained('users')-&gt;restrictOnDelete();</w:t>
      </w:r>
      <w:r>
        <w:rPr>
          <w:rFonts w:ascii="Consolas" w:cs="Consolas" w:eastAsia="Consolas" w:hAnsi="Consolas"/>
          <w:color w:val="1A1A1A"/>
          <w:sz w:val="18"/>
          <w:szCs w:val="18"/>
        </w:rPr>
        <w:br/>
        <w:t xml:space="preserve">    $table-&gt;decimal('valeur', 12, 2);</w:t>
      </w:r>
      <w:r>
        <w:rPr>
          <w:rFonts w:ascii="Consolas" w:cs="Consolas" w:eastAsia="Consolas" w:hAnsi="Consolas"/>
          <w:color w:val="1A1A1A"/>
          <w:sz w:val="18"/>
          <w:szCs w:val="18"/>
        </w:rPr>
        <w:br/>
        <w:t xml:space="preserve">    $table-&gt;date('date_releve');</w:t>
      </w:r>
      <w:r>
        <w:rPr>
          <w:rFonts w:ascii="Consolas" w:cs="Consolas" w:eastAsia="Consolas" w:hAnsi="Consolas"/>
          <w:color w:val="1A1A1A"/>
          <w:sz w:val="18"/>
          <w:szCs w:val="18"/>
        </w:rPr>
        <w:br/>
        <w:t xml:space="preserve">    $table-&gt;text('commentaire')-&gt;nullable();</w:t>
      </w:r>
      <w:r>
        <w:rPr>
          <w:rFonts w:ascii="Consolas" w:cs="Consolas" w:eastAsia="Consolas" w:hAnsi="Consolas"/>
          <w:color w:val="1A1A1A"/>
          <w:sz w:val="18"/>
          <w:szCs w:val="18"/>
        </w:rPr>
        <w:br/>
        <w:t xml:space="preserve">    $table-&gt;enum('statut', ['valide', 'signale'])-&gt;default('valide');</w:t>
      </w:r>
      <w:r>
        <w:rPr>
          <w:rFonts w:ascii="Consolas" w:cs="Consolas" w:eastAsia="Consolas" w:hAnsi="Consolas"/>
          <w:color w:val="1A1A1A"/>
          <w:sz w:val="18"/>
          <w:szCs w:val="18"/>
        </w:rPr>
        <w:br/>
        <w:t xml:space="preserve">    $table-&gt;timestamp('created_at')-&gt;useCurrent();</w:t>
      </w:r>
      <w:r>
        <w:rPr>
          <w:rFonts w:ascii="Consolas" w:cs="Consolas" w:eastAsia="Consolas" w:hAnsi="Consolas"/>
          <w:color w:val="1A1A1A"/>
          <w:sz w:val="18"/>
          <w:szCs w:val="18"/>
        </w:rPr>
        <w:br/>
        <w:t xml:space="preserve">    $table-&gt;unique(</w:t>
      </w:r>
      <w:r>
        <w:rPr>
          <w:rFonts w:ascii="Consolas" w:cs="Consolas" w:eastAsia="Consolas" w:hAnsi="Consolas"/>
          <w:color w:val="1A1A1A"/>
          <w:sz w:val="18"/>
          <w:szCs w:val="18"/>
        </w:rPr>
        <w:br/>
        <w:t xml:space="preserve">        ['utilisateur_id', 'produit_id', 'marche_id', 'date_releve'],</w:t>
      </w:r>
      <w:r>
        <w:rPr>
          <w:rFonts w:ascii="Consolas" w:cs="Consolas" w:eastAsia="Consolas" w:hAnsi="Consolas"/>
          <w:color w:val="1A1A1A"/>
          <w:sz w:val="18"/>
          <w:szCs w:val="18"/>
        </w:rPr>
        <w:br/>
        <w:t xml:space="preserve">        'un_releve_par_jour_par_contributeur'</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w:t>
      </w:r>
    </w:p>
    <w:p>
      <w:pPr>
        <w:pBdr>
          <w:top w:val="single" w:color="CCCCCC" w:sz="4"/>
          <w:bottom w:val="single" w:color="CCCCCC" w:sz="4"/>
          <w:left w:val="single" w:color="CCCCCC" w:sz="4"/>
          <w:right w:val="single" w:color="CCCCCC" w:sz="4"/>
        </w:pBdr>
        <w:shd w:fill="F4F4F4" w:val="clear"/>
        <w:spacing w:after="40" w:line="264"/>
      </w:pPr>
      <w:r>
        <w:rPr>
          <w:rFonts w:ascii="Consolas" w:cs="Consolas" w:eastAsia="Consolas" w:hAnsi="Consolas"/>
          <w:color w:val="1A1A1A"/>
          <w:sz w:val="18"/>
          <w:szCs w:val="18"/>
        </w:rPr>
        <w:t xml:space="preserve">// database/migrations/xxxx_create_signalements_table.php</w:t>
      </w:r>
      <w:r>
        <w:rPr>
          <w:rFonts w:ascii="Consolas" w:cs="Consolas" w:eastAsia="Consolas" w:hAnsi="Consolas"/>
          <w:color w:val="1A1A1A"/>
          <w:sz w:val="18"/>
          <w:szCs w:val="18"/>
        </w:rPr>
        <w:br/>
        <w:t xml:space="preserve">Schema::create('signalements', function (Blueprint $table) {</w:t>
      </w:r>
      <w:r>
        <w:rPr>
          <w:rFonts w:ascii="Consolas" w:cs="Consolas" w:eastAsia="Consolas" w:hAnsi="Consolas"/>
          <w:color w:val="1A1A1A"/>
          <w:sz w:val="18"/>
          <w:szCs w:val="18"/>
        </w:rPr>
        <w:br/>
        <w:t xml:space="preserve">    $table-&gt;id();</w:t>
      </w:r>
      <w:r>
        <w:rPr>
          <w:rFonts w:ascii="Consolas" w:cs="Consolas" w:eastAsia="Consolas" w:hAnsi="Consolas"/>
          <w:color w:val="1A1A1A"/>
          <w:sz w:val="18"/>
          <w:szCs w:val="18"/>
        </w:rPr>
        <w:br/>
        <w:t xml:space="preserve">    $table-&gt;foreignId('releve_id')-&gt;constrained('releves_prix')-&gt;cascadeOnDelete();</w:t>
      </w:r>
      <w:r>
        <w:rPr>
          <w:rFonts w:ascii="Consolas" w:cs="Consolas" w:eastAsia="Consolas" w:hAnsi="Consolas"/>
          <w:color w:val="1A1A1A"/>
          <w:sz w:val="18"/>
          <w:szCs w:val="18"/>
        </w:rPr>
        <w:br/>
        <w:t xml:space="preserve">    $table-&gt;enum('type_anomalie', ['prix_anormal', 'prix_obsolete']);</w:t>
      </w:r>
      <w:r>
        <w:rPr>
          <w:rFonts w:ascii="Consolas" w:cs="Consolas" w:eastAsia="Consolas" w:hAnsi="Consolas"/>
          <w:color w:val="1A1A1A"/>
          <w:sz w:val="18"/>
          <w:szCs w:val="18"/>
        </w:rPr>
        <w:br/>
        <w:t xml:space="preserve">    $table-&gt;timestamp('date_detection')-&gt;useCurrent();</w:t>
      </w:r>
      <w:r>
        <w:rPr>
          <w:rFonts w:ascii="Consolas" w:cs="Consolas" w:eastAsia="Consolas" w:hAnsi="Consolas"/>
          <w:color w:val="1A1A1A"/>
          <w:sz w:val="18"/>
          <w:szCs w:val="18"/>
        </w:rPr>
        <w:br/>
        <w:t xml:space="preserve">});</w:t>
      </w:r>
    </w:p>
    <w:p>
      <w:pPr>
        <w:spacing w:after="160" w:line="300"/>
      </w:pPr>
      <w:r>
        <w:t xml:space="preserve"/>
      </w:r>
    </w:p>
    <w:p>
      <w:pPr>
        <w:pBdr>
          <w:left w:val="single" w:color="2E5C8A" w:sz="18"/>
        </w:pBdr>
        <w:shd w:fill="F2F2F2" w:val="clear"/>
        <w:spacing w:after="200" w:before="100"/>
        <w:ind w:left="200"/>
      </w:pPr>
      <w:r>
        <w:rPr>
          <w:i/>
          <w:iCs/>
          <w:color w:val="3A3A3A"/>
          <w:sz w:val="20"/>
          <w:szCs w:val="20"/>
        </w:rPr>
        <w:t xml:space="preserve">Remarque : la table users générée par défaut par Laravel peut être conservée telle quelle et simplement complétée d'une colonne role (migration add_role_to_users_table) plutôt que recréée — c'est plus rapide et évite de toucher à l'authentification déjà scaffoldée par Laravel/Sanctum.</w:t>
      </w:r>
    </w:p>
    <w:p>
      <w:pPr>
        <w:pStyle w:val="Heading1"/>
        <w:pBdr>
          <w:bottom w:val="single" w:color="2E5C8A" w:sz="6"/>
        </w:pBdr>
        <w:spacing w:after="160" w:before="360"/>
      </w:pPr>
      <w:r>
        <w:rPr>
          <w:b/>
          <w:bCs/>
          <w:color w:val="1F3B57"/>
        </w:rPr>
        <w:t xml:space="preserve">7. Prochaines étapes recommandées</w:t>
      </w:r>
    </w:p>
    <w:p>
      <w:pPr>
        <w:spacing w:after="160" w:line="300"/>
      </w:pPr>
      <w:r>
        <w:t xml:space="preserve">Comme le projet est encore au tout début de la Semaine 1, l'enjeu immédiat n'est pas de suivre le planning à la lettre mais de rattraper le retard sur les fondations avant de commencer les écrans. Voici l'ordre concret conseillé.</w:t>
      </w:r>
    </w:p>
    <w:p>
      <w:pPr>
        <w:pStyle w:val="Heading2"/>
        <w:spacing w:after="120" w:before="280"/>
      </w:pPr>
      <w:r>
        <w:rPr>
          <w:b/>
          <w:bCs/>
          <w:color w:val="2E5C8A"/>
        </w:rPr>
        <w:t xml:space="preserve">7.1 À faire maintenant (fin de Semaine 1)</w:t>
      </w:r>
    </w:p>
    <w:p>
      <w:pPr>
        <w:pStyle w:val="ListParagraph"/>
        <w:numPr>
          <w:ilvl w:val="0"/>
          <w:numId w:val="1"/>
        </w:numPr>
        <w:spacing w:after="80" w:line="280"/>
      </w:pPr>
      <w:r>
        <w:t xml:space="preserve">Créer les 4 migrations ci-dessus (+ complément de la table users) et les modèles Eloquent associés avec leurs relations (hasMany / belongsTo).</w:t>
      </w:r>
    </w:p>
    <w:p>
      <w:pPr>
        <w:pStyle w:val="ListParagraph"/>
        <w:numPr>
          <w:ilvl w:val="0"/>
          <w:numId w:val="1"/>
        </w:numPr>
        <w:spacing w:after="80" w:line="280"/>
      </w:pPr>
      <w:r>
        <w:t xml:space="preserve">Installer laravel/sanctum et publier sa configuration.</w:t>
      </w:r>
    </w:p>
    <w:p>
      <w:pPr>
        <w:pStyle w:val="ListParagraph"/>
        <w:numPr>
          <w:ilvl w:val="0"/>
          <w:numId w:val="1"/>
        </w:numPr>
        <w:spacing w:after="80" w:line="280"/>
      </w:pPr>
      <w:r>
        <w:t xml:space="preserve">Écrire un seeder qui génère 2-3 marchés, 5-10 produits et quelques relevés de test — indispensable pour développer les écrans de comparaison sans attendre la collecte terrain réelle.</w:t>
      </w:r>
    </w:p>
    <w:p>
      <w:pPr>
        <w:pStyle w:val="ListParagraph"/>
        <w:numPr>
          <w:ilvl w:val="0"/>
          <w:numId w:val="1"/>
        </w:numPr>
        <w:spacing w:after="80" w:line="280"/>
      </w:pPr>
      <w:r>
        <w:t xml:space="preserve">Committer par petites étapes logiques (une migration = un commit, un endpoint = un commit) : cela sert aussi de journal de bord pour le mémoire.</w:t>
      </w:r>
    </w:p>
    <w:p>
      <w:pPr>
        <w:pStyle w:val="Heading2"/>
        <w:spacing w:after="120" w:before="280"/>
      </w:pPr>
      <w:r>
        <w:rPr>
          <w:b/>
          <w:bCs/>
          <w:color w:val="2E5C8A"/>
        </w:rPr>
        <w:t xml:space="preserve">7.2 Semaine 2 — API REST</w:t>
      </w:r>
    </w:p>
    <w:p>
      <w:pPr>
        <w:pStyle w:val="ListParagraph"/>
        <w:numPr>
          <w:ilvl w:val="0"/>
          <w:numId w:val="1"/>
        </w:numPr>
        <w:spacing w:after="80" w:line="280"/>
      </w:pPr>
      <w:r>
        <w:t xml:space="preserve">Contrôleurs + routes API (api.php) : CRUD marchés, CRUD produits, endpoints d'authentification (register/login/logout via Sanctum).</w:t>
      </w:r>
    </w:p>
    <w:p>
      <w:pPr>
        <w:pStyle w:val="ListParagraph"/>
        <w:numPr>
          <w:ilvl w:val="0"/>
          <w:numId w:val="1"/>
        </w:numPr>
        <w:spacing w:after="80" w:line="280"/>
      </w:pPr>
      <w:r>
        <w:t xml:space="preserve">Form Requests pour valider chaque entrée (unité de mesure obligatoire, email valide, mot de passe, etc.).</w:t>
      </w:r>
    </w:p>
    <w:p>
      <w:pPr>
        <w:pStyle w:val="ListParagraph"/>
        <w:numPr>
          <w:ilvl w:val="0"/>
          <w:numId w:val="1"/>
        </w:numPr>
        <w:spacing w:after="80" w:line="280"/>
      </w:pPr>
      <w:r>
        <w:t xml:space="preserve">Tester chaque endpoint avec Insomnia/Postman avant de toucher à Flutter.</w:t>
      </w:r>
    </w:p>
    <w:p>
      <w:pPr>
        <w:pStyle w:val="Heading2"/>
        <w:spacing w:after="120" w:before="280"/>
      </w:pPr>
      <w:r>
        <w:rPr>
          <w:b/>
          <w:bCs/>
          <w:color w:val="2E5C8A"/>
        </w:rPr>
        <w:t xml:space="preserve">7.3 Semaine 3 — Démarrage Flutter (point de décision Plan A/B)</w:t>
      </w:r>
    </w:p>
    <w:p>
      <w:pPr>
        <w:pStyle w:val="ListParagraph"/>
        <w:numPr>
          <w:ilvl w:val="0"/>
          <w:numId w:val="1"/>
        </w:numPr>
        <w:spacing w:after="80" w:line="280"/>
      </w:pPr>
      <w:r>
        <w:t xml:space="preserve">Remplacer l'application de démo par une vraie structure de dossiers (models/, services/, screens/, providers/).</w:t>
      </w:r>
    </w:p>
    <w:p>
      <w:pPr>
        <w:pStyle w:val="ListParagraph"/>
        <w:numPr>
          <w:ilvl w:val="0"/>
          <w:numId w:val="1"/>
        </w:numPr>
        <w:spacing w:after="80" w:line="280"/>
      </w:pPr>
      <w:r>
        <w:t xml:space="preserve">Ajouter dio, provider (ou riverpod) et flutter_secure_storage au pubspec.yaml.</w:t>
      </w:r>
    </w:p>
    <w:p>
      <w:pPr>
        <w:pStyle w:val="ListParagraph"/>
        <w:numPr>
          <w:ilvl w:val="0"/>
          <w:numId w:val="1"/>
        </w:numPr>
        <w:spacing w:after="80" w:line="280"/>
      </w:pPr>
      <w:r>
        <w:t xml:space="preserve">Écran liste des marchés et des produits consommant l'API réelle.</w:t>
      </w:r>
    </w:p>
    <w:p>
      <w:pPr>
        <w:pStyle w:val="ListParagraph"/>
        <w:numPr>
          <w:ilvl w:val="0"/>
          <w:numId w:val="1"/>
        </w:numPr>
        <w:spacing w:after="80" w:line="280"/>
      </w:pPr>
      <w:r>
        <w:t xml:space="preserve">Rappel du cahier des charges (7.4) : si cet écran fonctionnel n'est pas prêt à la fin de la semaine 3, basculer sur le plan B (PWA React) pour sécuriser le délai de 2 mois.</w:t>
      </w:r>
    </w:p>
    <w:p>
      <w:pPr>
        <w:pStyle w:val="Heading2"/>
        <w:spacing w:after="120" w:before="280"/>
      </w:pPr>
      <w:r>
        <w:rPr>
          <w:b/>
          <w:bCs/>
          <w:color w:val="2E5C8A"/>
        </w:rPr>
        <w:t xml:space="preserve">7.4 Semaine 4 — Saisie de relevés</w:t>
      </w:r>
    </w:p>
    <w:p>
      <w:pPr>
        <w:pStyle w:val="ListParagraph"/>
        <w:numPr>
          <w:ilvl w:val="0"/>
          <w:numId w:val="1"/>
        </w:numPr>
        <w:spacing w:after="80" w:line="280"/>
      </w:pPr>
      <w:r>
        <w:t xml:space="preserve">Endpoint POST /releves avec application stricte de la règle anti-doublon (contrainte UNIQUE + message d'erreur clair côté API).</w:t>
      </w:r>
    </w:p>
    <w:p>
      <w:pPr>
        <w:pStyle w:val="ListParagraph"/>
        <w:numPr>
          <w:ilvl w:val="0"/>
          <w:numId w:val="1"/>
        </w:numPr>
        <w:spacing w:after="80" w:line="280"/>
      </w:pPr>
      <w:r>
        <w:t xml:space="preserve">Écran Flutter de saisie de prix, bout en bout jusqu'à la base de données.</w:t>
      </w:r>
    </w:p>
    <w:p>
      <w:pPr>
        <w:pStyle w:val="Heading2"/>
        <w:spacing w:after="120" w:before="280"/>
      </w:pPr>
      <w:r>
        <w:rPr>
          <w:b/>
          <w:bCs/>
          <w:color w:val="2E5C8A"/>
        </w:rPr>
        <w:t xml:space="preserve">7.5 Semaine 5 — Comparaison et anomalies</w:t>
      </w:r>
    </w:p>
    <w:p>
      <w:pPr>
        <w:pStyle w:val="ListParagraph"/>
        <w:numPr>
          <w:ilvl w:val="0"/>
          <w:numId w:val="1"/>
        </w:numPr>
        <w:spacing w:after="80" w:line="280"/>
      </w:pPr>
      <w:r>
        <w:t xml:space="preserve">Endpoint qui retourne, pour un produit donné, le dernier prix connu par marché, trié du moins cher au plus cher, avec le calcul de l'écart en pourcentage.</w:t>
      </w:r>
    </w:p>
    <w:p>
      <w:pPr>
        <w:pStyle w:val="ListParagraph"/>
        <w:numPr>
          <w:ilvl w:val="0"/>
          <w:numId w:val="1"/>
        </w:numPr>
        <w:spacing w:after="80" w:line="280"/>
      </w:pPr>
      <w:r>
        <w:t xml:space="preserve">Job ou service qui compare chaque nouveau relevé à la moyenne récente et applique le seuil paramétrable (±40 % par défaut) pour créer un Signalement ; job planifié (ex. quotidien) pour marquer les prix obsolètes (&gt; 14 jours).</w:t>
      </w:r>
    </w:p>
    <w:p>
      <w:pPr>
        <w:pStyle w:val="Heading2"/>
        <w:spacing w:after="120" w:before="280"/>
      </w:pPr>
      <w:r>
        <w:rPr>
          <w:b/>
          <w:bCs/>
          <w:color w:val="2E5C8A"/>
        </w:rPr>
        <w:t xml:space="preserve">7.6 Semaine 6 — Graphiques et tableau de bord</w:t>
      </w:r>
    </w:p>
    <w:p>
      <w:pPr>
        <w:pStyle w:val="ListParagraph"/>
        <w:numPr>
          <w:ilvl w:val="0"/>
          <w:numId w:val="1"/>
        </w:numPr>
        <w:spacing w:after="80" w:line="280"/>
      </w:pPr>
      <w:r>
        <w:t xml:space="preserve">Intégration fl_chart pour l'évolution des prix par marché.</w:t>
      </w:r>
    </w:p>
    <w:p>
      <w:pPr>
        <w:pStyle w:val="ListParagraph"/>
        <w:numPr>
          <w:ilvl w:val="0"/>
          <w:numId w:val="1"/>
        </w:numPr>
        <w:spacing w:after="80" w:line="280"/>
      </w:pPr>
      <w:r>
        <w:t xml:space="preserve">Écran tableau de bord (compteurs) + export CSV.</w:t>
      </w:r>
    </w:p>
    <w:p>
      <w:pPr>
        <w:pStyle w:val="Heading2"/>
        <w:spacing w:after="120" w:before="280"/>
      </w:pPr>
      <w:r>
        <w:rPr>
          <w:b/>
          <w:bCs/>
          <w:color w:val="2E5C8A"/>
        </w:rPr>
        <w:t xml:space="preserve">7.7 Semaines 7-8 — Collecte terrain et mémoire</w:t>
      </w:r>
    </w:p>
    <w:p>
      <w:pPr>
        <w:pStyle w:val="ListParagraph"/>
        <w:numPr>
          <w:ilvl w:val="0"/>
          <w:numId w:val="1"/>
        </w:numPr>
        <w:spacing w:after="80" w:line="280"/>
      </w:pPr>
      <w:r>
        <w:t xml:space="preserve">Le cahier des charges le signale déjà comme risque principal (section 11) : ne pas attendre la semaine 7 pour commencer la collecte réelle des prix. Idéalement, démarrer une collecte manuelle (même via un simple formulaire ou tableur) dès que les entités Marché/Produit existent en base, en parallèle du développement, pour arriver en semaine 7 avec un historique déjà constitué plutôt qu'à zéro.</w:t>
      </w:r>
    </w:p>
    <w:p>
      <w:pPr>
        <w:pStyle w:val="ListParagraph"/>
        <w:numPr>
          <w:ilvl w:val="0"/>
          <w:numId w:val="1"/>
        </w:numPr>
        <w:spacing w:after="80" w:line="280"/>
      </w:pPr>
      <w:r>
        <w:t xml:space="preserve">Réserver du temps en semaine 8 pour l'export des données, la rédaction du mémoire et la préparation de la soutenance — ne pas le sous-estimer.</w:t>
      </w:r>
    </w:p>
    <w:p>
      <w:pPr>
        <w:pStyle w:val="Heading2"/>
        <w:spacing w:after="120" w:before="280"/>
      </w:pPr>
      <w:r>
        <w:rPr>
          <w:b/>
          <w:bCs/>
          <w:color w:val="2E5C8A"/>
        </w:rPr>
        <w:t xml:space="preserve">7.8 Check-list immédiate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2E7D4F"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500"/>
            <w:shd w:fill="2E7D4F" w:val="clear"/>
            <w:tcMar>
              <w:top w:type="dxa" w:w="80"/>
              <w:left w:type="dxa" w:w="120"/>
              <w:bottom w:type="dxa" w:w="80"/>
              <w:right w:type="dxa" w:w="120"/>
            </w:tcMar>
            <w:vAlign w:val="center"/>
          </w:tcPr>
          <w:p>
            <w:pPr>
              <w:jc w:val="left"/>
            </w:pPr>
            <w:r>
              <w:rPr>
                <w:b/>
                <w:bCs/>
                <w:i w:val="false"/>
                <w:iCs w:val="false"/>
                <w:color w:val="FFFFFF"/>
                <w:sz w:val="20"/>
                <w:szCs w:val="20"/>
              </w:rPr>
              <w:t xml:space="preserve">Fait ?</w:t>
            </w:r>
          </w:p>
        </w:tc>
      </w:tr>
      <w:tr>
        <w:tc>
          <w:tcPr>
            <w:tcW w:type="dxa" w:w="6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Migrations marches / produits / releves_prix / signalements</w:t>
            </w:r>
          </w:p>
        </w:tc>
        <w:tc>
          <w:tcPr>
            <w:tcW w:type="dxa" w:w="2500"/>
            <w:tcMar>
              <w:top w:type="dxa" w:w="80"/>
              <w:left w:type="dxa" w:w="120"/>
              <w:bottom w:type="dxa" w:w="80"/>
              <w:right w:type="dxa" w:w="120"/>
            </w:tcMar>
            <w:vAlign w:val="center"/>
          </w:tcPr>
          <w:p>
            <w:pPr>
              <w:jc w:val="center"/>
            </w:pPr>
            <w:r>
              <w:rPr>
                <w:b w:val="false"/>
                <w:bCs w:val="false"/>
                <w:i w:val="false"/>
                <w:iCs w:val="false"/>
                <w:color w:val="1A1A1A"/>
                <w:sz w:val="20"/>
                <w:szCs w:val="20"/>
              </w:rPr>
              <w:t xml:space="preserve">☐</w:t>
            </w:r>
          </w:p>
        </w:tc>
      </w:tr>
      <w:tr>
        <w:tc>
          <w:tcPr>
            <w:tcW w:type="dxa" w:w="6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Modèles Eloquent + relations</w:t>
            </w:r>
          </w:p>
        </w:tc>
        <w:tc>
          <w:tcPr>
            <w:tcW w:type="dxa" w:w="2500"/>
            <w:tcMar>
              <w:top w:type="dxa" w:w="80"/>
              <w:left w:type="dxa" w:w="120"/>
              <w:bottom w:type="dxa" w:w="80"/>
              <w:right w:type="dxa" w:w="120"/>
            </w:tcMar>
            <w:vAlign w:val="center"/>
          </w:tcPr>
          <w:p>
            <w:pPr>
              <w:jc w:val="center"/>
            </w:pPr>
            <w:r>
              <w:rPr>
                <w:b w:val="false"/>
                <w:bCs w:val="false"/>
                <w:i w:val="false"/>
                <w:iCs w:val="false"/>
                <w:color w:val="1A1A1A"/>
                <w:sz w:val="20"/>
                <w:szCs w:val="20"/>
              </w:rPr>
              <w:t xml:space="preserve">☐</w:t>
            </w:r>
          </w:p>
        </w:tc>
      </w:tr>
      <w:tr>
        <w:tc>
          <w:tcPr>
            <w:tcW w:type="dxa" w:w="6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laravel/sanctum installé et configuré</w:t>
            </w:r>
          </w:p>
        </w:tc>
        <w:tc>
          <w:tcPr>
            <w:tcW w:type="dxa" w:w="2500"/>
            <w:tcMar>
              <w:top w:type="dxa" w:w="80"/>
              <w:left w:type="dxa" w:w="120"/>
              <w:bottom w:type="dxa" w:w="80"/>
              <w:right w:type="dxa" w:w="120"/>
            </w:tcMar>
            <w:vAlign w:val="center"/>
          </w:tcPr>
          <w:p>
            <w:pPr>
              <w:jc w:val="center"/>
            </w:pPr>
            <w:r>
              <w:rPr>
                <w:b w:val="false"/>
                <w:bCs w:val="false"/>
                <w:i w:val="false"/>
                <w:iCs w:val="false"/>
                <w:color w:val="1A1A1A"/>
                <w:sz w:val="20"/>
                <w:szCs w:val="20"/>
              </w:rPr>
              <w:t xml:space="preserve">☐</w:t>
            </w:r>
          </w:p>
        </w:tc>
      </w:tr>
      <w:tr>
        <w:tc>
          <w:tcPr>
            <w:tcW w:type="dxa" w:w="6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Seeder de données de test</w:t>
            </w:r>
          </w:p>
        </w:tc>
        <w:tc>
          <w:tcPr>
            <w:tcW w:type="dxa" w:w="2500"/>
            <w:tcMar>
              <w:top w:type="dxa" w:w="80"/>
              <w:left w:type="dxa" w:w="120"/>
              <w:bottom w:type="dxa" w:w="80"/>
              <w:right w:type="dxa" w:w="120"/>
            </w:tcMar>
            <w:vAlign w:val="center"/>
          </w:tcPr>
          <w:p>
            <w:pPr>
              <w:jc w:val="center"/>
            </w:pPr>
            <w:r>
              <w:rPr>
                <w:b w:val="false"/>
                <w:bCs w:val="false"/>
                <w:i w:val="false"/>
                <w:iCs w:val="false"/>
                <w:color w:val="1A1A1A"/>
                <w:sz w:val="20"/>
                <w:szCs w:val="20"/>
              </w:rPr>
              <w:t xml:space="preserve">☐</w:t>
            </w:r>
          </w:p>
        </w:tc>
      </w:tr>
      <w:tr>
        <w:tc>
          <w:tcPr>
            <w:tcW w:type="dxa" w:w="6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Premier commit métier (au-delà de l'initialisation)</w:t>
            </w:r>
          </w:p>
        </w:tc>
        <w:tc>
          <w:tcPr>
            <w:tcW w:type="dxa" w:w="2500"/>
            <w:tcMar>
              <w:top w:type="dxa" w:w="80"/>
              <w:left w:type="dxa" w:w="120"/>
              <w:bottom w:type="dxa" w:w="80"/>
              <w:right w:type="dxa" w:w="120"/>
            </w:tcMar>
            <w:vAlign w:val="center"/>
          </w:tcPr>
          <w:p>
            <w:pPr>
              <w:jc w:val="center"/>
            </w:pPr>
            <w:r>
              <w:rPr>
                <w:b w:val="false"/>
                <w:bCs w:val="false"/>
                <w:i w:val="false"/>
                <w:iCs w:val="false"/>
                <w:color w:val="1A1A1A"/>
                <w:sz w:val="20"/>
                <w:szCs w:val="20"/>
              </w:rPr>
              <w:t xml:space="preserve">☐</w:t>
            </w:r>
          </w:p>
        </w:tc>
      </w:tr>
      <w:tr>
        <w:tc>
          <w:tcPr>
            <w:tcW w:type="dxa" w:w="6526"/>
            <w:tcMar>
              <w:top w:type="dxa" w:w="80"/>
              <w:left w:type="dxa" w:w="120"/>
              <w:bottom w:type="dxa" w:w="80"/>
              <w:right w:type="dxa" w:w="120"/>
            </w:tcMar>
            <w:vAlign w:val="center"/>
          </w:tcPr>
          <w:p>
            <w:pPr>
              <w:jc w:val="left"/>
            </w:pPr>
            <w:r>
              <w:rPr>
                <w:b w:val="false"/>
                <w:bCs w:val="false"/>
                <w:i w:val="false"/>
                <w:iCs w:val="false"/>
                <w:color w:val="1A1A1A"/>
                <w:sz w:val="20"/>
                <w:szCs w:val="20"/>
              </w:rPr>
              <w:t xml:space="preserve">Endpoints marchés/produits testés dans Insomnia/Postman</w:t>
            </w:r>
          </w:p>
        </w:tc>
        <w:tc>
          <w:tcPr>
            <w:tcW w:type="dxa" w:w="2500"/>
            <w:tcMar>
              <w:top w:type="dxa" w:w="80"/>
              <w:left w:type="dxa" w:w="120"/>
              <w:bottom w:type="dxa" w:w="80"/>
              <w:right w:type="dxa" w:w="120"/>
            </w:tcMar>
            <w:vAlign w:val="center"/>
          </w:tcPr>
          <w:p>
            <w:pPr>
              <w:jc w:val="center"/>
            </w:pPr>
            <w:r>
              <w:rPr>
                <w:b w:val="false"/>
                <w:bCs w:val="false"/>
                <w:i w:val="false"/>
                <w:iCs w:val="false"/>
                <w:color w:val="1A1A1A"/>
                <w:sz w:val="20"/>
                <w:szCs w:val="20"/>
              </w:rPr>
              <w:t xml:space="preserve">☐</w:t>
            </w:r>
          </w:p>
        </w:tc>
      </w:tr>
    </w:tbl>
    <w:p>
      <w:pPr>
        <w:spacing w:before="400"/>
      </w:pPr>
      <w:r>
        <w:rPr>
          <w:i/>
          <w:iCs/>
          <w:color w:val="595959"/>
          <w:sz w:val="18"/>
          <w:szCs w:val="18"/>
        </w:rPr>
        <w:t xml:space="preserve">Document généré à partir de l'analyse du dépôt GitHub et du cahier des charges fourni. À ajuster librement selon les choix techniques finaux.</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Comparateur de prix des marchés locaux — Dossier technique MCD/MLD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83b8dc31df972fa2b333cfc42707249a93d387.png"/><Relationship Id="rId10" Type="http://schemas.openxmlformats.org/officeDocument/2006/relationships/image" Target="media/e5ed47860e50de5a80ad5b8ca0939b46bf58e93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2026-09-08T10:21:01.261Z</dcterms:created>
  <dcterms:modified xsi:type="dcterms:W3CDTF">2026-09-08T10:21:01.273Z</dcterms:modified>
</cp:coreProperties>
</file>

<file path=docProps/custom.xml><?xml version="1.0" encoding="utf-8"?>
<Properties xmlns="http://schemas.openxmlformats.org/officeDocument/2006/custom-properties" xmlns:vt="http://schemas.openxmlformats.org/officeDocument/2006/docPropsVTypes"/>
</file>