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aps/>
          <w:color w:val="C8965A"/>
          <w:sz w:val="20"/>
          <w:szCs w:val="20"/>
        </w:rPr>
        <w:t xml:space="preserve">NICKJEWELL.AI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Session Summary — March 30, 2026</w:t>
      </w:r>
    </w:p>
    <w:p>
      <w:pPr>
        <w:spacing w:after="20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Duration: ~6 hours  |  Commits: 4 to main, 1 to dev (merged)  |  Files changed: 20+</w:t>
      </w:r>
    </w:p>
    <w:p>
      <w:pPr>
        <w:pBdr>
          <w:bottom w:val="single" w:color="C8965A" w:sz="6" w:space="1"/>
        </w:pBdr>
        <w:spacing w:after="60"/>
      </w:pP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Session Objectives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session covered strategy, architecture design, Substack launch, site feature deployment, feedback system implementation, dev workflow establishment, and the D1 REST API build. The session began with a MOAT analysis of the Jewell Assessment business and ended with a fully operational API backbone serving 8 versioned endpoints.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Shipped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Strategy &amp; Architecture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MOAT Analysis: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Scored the Jewell Assessment business 32/40 (fundable range). Margin 9/10, Operations 6/10, Advantage 9/10, TAM 8/10. Operations identified as the binding constraint — the assessment and brief are automated but the post-capture funnel is entirely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Agentic Operations Architecture: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15-page strategic blueprint. Defines Cloudflare as the edge layer and Python as the orchestration brain. Three capability layers (Scheduled Automation, Single-Agent Loops, Orchestrated Agent Mesh). Covers integration architecture, skill encoding, human-in-the-loop gates, observability, cost model, and simultaneous build 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Roadmap v3: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Replaced Roadmap v2 as the active tracker. 35 items across 3 parallel workstreams (A: Product &amp; Content, B: Data &amp; Intelligence Infrastructure, C: Agentic Operations). 12-session build sequence with cross-workstream economies of scale identified. B5 expanded into I1 (full REST API). L5/L6 pulled forward as agent dependencies.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Substack — The Binding Constraint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Publication: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Created at nickjewellai.substack.com. Publication name: The Binding Constraint. Subtitle: Where AI implementation actually breaks.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Branding: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BC logo (512x512) and cover image (1200x600) created matching site design system. Accent color #D4A853, Fancy Serif typography, dark editorial aesthetic.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Settings: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Categories set (Technology/Business). Tags: AI, Artificial Intelligence, Business Strategy, Leadership, Technology. Email sender: Nick Jewell from The Binding Constraint. Subscribe prompts enabled. Cross-posting enabled.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First post: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'I Built Something. Come Break it.' published. 139 words, conversational tone, drives to assessment, invites feedback.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Handle: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@nickjewellai (matches all brand surfaces).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Site Updates (Production)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B2 (Nav update):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About link added to navigation on all 10 pages. .active class applied on /about/.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B3 (Cross-link):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'Built by a practitioner, not a vendor' link added to homepage contact section.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B7 (Substack CTAs):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6 placements deployed: footer nav (Newsletter), homepage contact section, assessment results page, all 5 writing pages, about page, and Save Results email footer via Resend.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Feedback capture system: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Two-step micro-feedback on assessment results. Step 1: one-click sentiment (Spot on / Something felt off / Not for me) after Action Plan. Step 2: optional open text after executive brief. Both write to D1 assessment_feedback table. Duplicate render bug caught in CDO audit and fixed. Placement repositioned from buried post-save to post-Action Plan for visibility.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Instagram asset: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1080x1080 post image matching site aesthetic. Caption written for casual network distribution.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Infrastructure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D1 REST API v1: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8 versioned endpoints at /api/v1/. 15 files, 939 lines. Shared middleware: auth (Bearer + fallback), CORS (configurable origins), response envelope ({data, meta, error}), rate limiting (per-route), webhook dispatch (HMAC-SHA256 signed).</w:t>
      </w:r>
    </w:p>
    <w:p>
      <w:pPr>
        <w:spacing w:after="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/api/v1/assessments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100/hr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/api/v1/assessments/:id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100/hr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100/hr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/api/v1/signals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GET,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 read, 30 write/hr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/api/v1/drafts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GET,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 read, 30 write/hr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/api/v1/drafts/:id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30/hr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/api/v1/runs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GET,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 read, 50 write/hr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/api/v1/webhooks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GET,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 read, 10 write/hr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D1 tables created: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webhook_registrations, intent_signals, agent_drafts, agent_runs, rate_limits, assessment_feedback (9 tables total including existing).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Webhook dispatch: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Integrated into submit-assessment.js. Fires assessment_complete and email_capture events with HMAC-signed payloads to registered webhook URLs.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Environment variables: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CORS_ALLOWED_ORIGINS (plaintext) and WEBHOOK_SIGNING_SECRET (encrypted) added. ADMIN_KEY rotated at session end.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Dev branch workflow: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dev branch created. Future workflow: commit to dev → push → verify Cloudflare preview deployment → merge to main. Preview env vars need to be configured separately (not done yet).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Permanent Codebase Rules Established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Version all APIs from day one (/api/v1/)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Standardized response envelope on every endpoint ({data, meta, error})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Auth via Bearer token headers (URL param fallback for browser only)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Separate files per resource, no monolith handlers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Shared middleware for auth, CORS, rate limiting, response formatting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Correct HTTP status codes always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Webhook registration table, not hardcoded URLs, with HMAC-signed payloads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Environment variables for all config — no hardcoded URLs, origins, or secrets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CORS middleware with configurable allowed origins via env var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Per-route rate limit configuration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Dev branch workflow: commit to dev, verify preview, merge to main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Roadmap v3 Status After Session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B1 (About page)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Deployed, now linked in nav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 (Nav update)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About link on all 10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B3 (Homepage cross-link)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Practitioner, not a vendor CTA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B7 (Substack CTAs)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 placements live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I1 (D1 REST 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endpoints, 15 files, 939 lines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D1 (Project Status)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DONE (prev session)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D2 (CLAUDE.md)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DONE (prev session)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P2 (Substack launch)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Binding Constraint live, first post published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Feedback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on original roadmap — added and shipped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 (UAT v3)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 priority. Run after this session.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B4 (Brief via email)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 build session. Also triggers I3 webhook.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B6/I7 (Analytics)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6 per roadmap.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 (LinkedIn 8 posts)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 begin publishing.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I2 (Signal log migration)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 exists. Migration from Excel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I3 (Webhook dispatcher)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Built as part of I1.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I4 (Draft queue table)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 + endpoints live.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I5 (Agent run log)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 + endpoints live.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 (Python runtime)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 phase — Railway provisioning.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Key Decisions &amp; Learnings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Feedback is product data: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Instagram, Substack, direct email — every channel is a data collection surface at current volume. Never filter distribution through lead quality.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Emojis break the aesthetic: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Text-only sentiment buttons (bordered, hover amber) match the editorial design. Emojis would have been the one element that didn’t belong.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Substack URL locked: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nickjewellai.substack.com cannot be changed. Accepted as hybrid Option 3: personal brand URL for SEO clustering, topic-forward publication name (The Binding Constraint) for discoverability.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Preview env vars: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Cloudflare Pages separates Production and Preview env vars. Dev branch preview deployments couldn’t access ADMIN_KEY. Needs configuration before dev branch testing is reliable.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CDO audit caught placement issue: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Feedback was buried 5+ screens deep and duplicated. Repositioned to post-Action Plan (natural pause point) and deduplicated.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Next Session Priorities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T1: UAT v3 execution (33 test cases — site is now fully updated for testing)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B4 + I3: Brief via email + webhook trigger integration (one build, two workstreams)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Configure Cloudflare Preview environment variables for reliable dev branch testing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C1: Railway account provisioning and Python scaffold (if time allows)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P1: LinkedIn post 1 — site is ready for traffic</w:t>
      </w:r>
    </w:p>
    <w:p>
      <w:pPr>
        <w:spacing w:after="80"/>
      </w:pPr>
    </w:p>
    <w:p>
      <w:pPr>
        <w:pBdr>
          <w:bottom w:val="single" w:color="C8965A" w:sz="6" w:space="1"/>
        </w:pBdr>
        <w:spacing w:after="60"/>
      </w:pPr>
    </w:p>
    <w:p>
      <w:pPr>
        <w:spacing w:after="80"/>
      </w:pPr>
    </w:p>
    <w:p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Session Summary  |  March 30, 2026  |  Next review: Session start tomorrow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4A4A"/>
        <w:sz w:val="16"/>
        <w:szCs w:val="16"/>
      </w:rPr>
      <w:t xml:space="preserve">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965A"/>
        <w:sz w:val="16"/>
        <w:szCs w:val="16"/>
      </w:rPr>
      <w:t xml:space="preserve">SESSION SUMMARY — MARCH 30, 2026</w:t>
    </w:r>
    <w: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nickjewell.ai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2026-03-30T18:30:57.910Z</dcterms:created>
  <dcterms:modified xsi:type="dcterms:W3CDTF">2026-03-30T18:30:57.911Z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