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1A1A"/>
          <w:sz w:val="44"/>
          <w:szCs w:val="44"/>
        </w:rPr>
        <w:t xml:space="preserve">MILESTONE 3: BUILD ANALYSIS</w:t>
      </w:r>
    </w:p>
    <w:p>
      <w:pPr>
        <w:spacing w:after="100"/>
        <w:jc w:val="center"/>
      </w:pPr>
      <w:r>
        <w:rPr>
          <w:rFonts w:ascii="Arial" w:cs="Arial" w:eastAsia="Arial" w:hAnsi="Arial"/>
          <w:color w:val="C67A2E"/>
          <w:sz w:val="32"/>
          <w:szCs w:val="32"/>
        </w:rPr>
        <w:t xml:space="preserve">Anthropic API Integration</w:t>
      </w:r>
    </w:p>
    <w:p>
      <w:pPr>
        <w:spacing w:after="100"/>
        <w:jc w:val="center"/>
      </w:pPr>
      <w:r>
        <w:rPr>
          <w:rFonts w:ascii="Arial" w:cs="Arial" w:eastAsia="Arial" w:hAnsi="Arial"/>
          <w:color w:val="777777"/>
          <w:sz w:val="24"/>
          <w:szCs w:val="24"/>
        </w:rPr>
        <w:t xml:space="preserve">The Jewell Assessment — nickjewell.ai</w:t>
      </w:r>
    </w:p>
    <w:p>
      <w:pPr>
        <w:spacing w:after="600"/>
        <w:jc w:val="center"/>
      </w:pPr>
      <w:r>
        <w:rPr>
          <w:rFonts w:ascii="Arial" w:cs="Arial" w:eastAsia="Arial" w:hAnsi="Arial"/>
          <w:color w:val="777777"/>
          <w:sz w:val="22"/>
          <w:szCs w:val="22"/>
        </w:rPr>
        <w:t xml:space="preserve">Nick Jewell | March 28, 2026</w:t>
      </w:r>
    </w:p>
    <w:p>
      <w:pPr>
        <w:pBdr>
          <w:top w:val="single" w:color="DDDDDD" w:sz="1" w:space="8"/>
        </w:pBdr>
        <w:spacing w:after="200"/>
        <w:jc w:val="center"/>
      </w:pPr>
      <w:r>
        <w:rPr>
          <w:rFonts w:ascii="Arial" w:cs="Arial" w:eastAsia="Arial" w:hAnsi="Arial"/>
          <w:i/>
          <w:iCs/>
          <w:color w:val="777777"/>
          <w:sz w:val="20"/>
          <w:szCs w:val="20"/>
        </w:rPr>
        <w:t xml:space="preserve">Technical Decision Log &amp; Architecture Narrative</w:t>
      </w:r>
    </w:p>
    <w:p>
      <w:pPr>
        <w:spacing w:after="100"/>
        <w:jc w:val="center"/>
      </w:pPr>
      <w:r>
        <w:rPr>
          <w:rFonts w:ascii="Arial" w:cs="Arial" w:eastAsia="Arial" w:hAnsi="Arial"/>
          <w:i/>
          <w:iCs/>
          <w:color w:val="777777"/>
          <w:sz w:val="20"/>
          <w:szCs w:val="20"/>
        </w:rPr>
        <w:t xml:space="preserve">Prepared for interview reference: Senior AI Strategy &amp; Solutions Director roles</w:t>
      </w:r>
    </w:p>
    <w:p>
      <w:r>
        <w:br w:type="page"/>
      </w:r>
    </w:p>
    <w:p>
      <w:pPr>
        <w:pStyle w:val="Heading1"/>
        <w:spacing w:after="200" w:before="360"/>
      </w:pPr>
      <w:r>
        <w:rPr>
          <w:rFonts w:ascii="Arial" w:cs="Arial" w:eastAsia="Arial" w:hAnsi="Arial"/>
          <w:b/>
          <w:bCs/>
          <w:color w:val="1A1A1A"/>
        </w:rPr>
        <w:t xml:space="preserve">Executive Summary</w:t>
      </w:r>
    </w:p>
    <w:p>
      <w:pPr>
        <w:spacing w:after="160" w:line="340"/>
      </w:pPr>
      <w:r>
        <w:rPr>
          <w:rFonts w:ascii="Arial" w:cs="Arial" w:eastAsia="Arial" w:hAnsi="Arial"/>
          <w:b w:val="false"/>
          <w:bCs w:val="false"/>
          <w:i w:val="false"/>
          <w:iCs w:val="false"/>
          <w:color w:val="444444"/>
          <w:sz w:val="22"/>
          <w:szCs w:val="22"/>
        </w:rPr>
        <w:t xml:space="preserve">On March 28, 2026, I designed, built, and deployed a complete API integration layer for the Jewell Assessment — a production AI readiness diagnostic at nickjewell.ai. This document captures every technical decision, architectural trade-off, and operational nuance from that build session, written for reference when discussing the project at the senior leadership level.</w:t>
      </w:r>
    </w:p>
    <w:p>
      <w:pPr>
        <w:spacing w:after="160" w:line="340"/>
      </w:pPr>
      <w:r>
        <w:rPr>
          <w:rFonts w:ascii="Arial" w:cs="Arial" w:eastAsia="Arial" w:hAnsi="Arial"/>
          <w:b w:val="false"/>
          <w:bCs w:val="false"/>
          <w:i w:val="false"/>
          <w:iCs w:val="false"/>
          <w:color w:val="444444"/>
          <w:sz w:val="22"/>
          <w:szCs w:val="22"/>
        </w:rPr>
        <w:t xml:space="preserve">The build session accomplished the following in a single evening:</w:t>
      </w:r>
    </w:p>
    <w:p>
      <w:pPr>
        <w:pStyle w:val="ListParagraph"/>
        <w:numPr>
          <w:ilvl w:val="0"/>
          <w:numId w:val="2"/>
        </w:numPr>
        <w:spacing w:after="100" w:line="340"/>
      </w:pPr>
      <w:r>
        <w:rPr>
          <w:rFonts w:ascii="Arial" w:cs="Arial" w:eastAsia="Arial" w:hAnsi="Arial"/>
          <w:b w:val="false"/>
          <w:bCs w:val="false"/>
          <w:i w:val="false"/>
          <w:iCs w:val="false"/>
          <w:color w:val="444444"/>
          <w:sz w:val="22"/>
          <w:szCs w:val="22"/>
        </w:rPr>
        <w:t xml:space="preserve">Designed and deployed a Cloudflare Pages Function </w:t>
      </w:r>
      <w:r>
        <w:rPr>
          <w:rFonts w:ascii="Arial" w:cs="Arial" w:eastAsia="Arial" w:hAnsi="Arial"/>
          <w:b/>
          <w:bCs/>
          <w:i w:val="false"/>
          <w:iCs w:val="false"/>
          <w:color w:val="444444"/>
          <w:sz w:val="22"/>
          <w:szCs w:val="22"/>
        </w:rPr>
        <w:t xml:space="preserve">as an API proxy</w:t>
      </w:r>
      <w:r>
        <w:rPr>
          <w:rFonts w:ascii="Arial" w:cs="Arial" w:eastAsia="Arial" w:hAnsi="Arial"/>
          <w:b w:val="false"/>
          <w:bCs w:val="false"/>
          <w:i w:val="false"/>
          <w:iCs w:val="false"/>
          <w:color w:val="444444"/>
          <w:sz w:val="22"/>
          <w:szCs w:val="22"/>
        </w:rPr>
        <w:t xml:space="preserve"> — securing an Anthropic API key server-side while maintaining a zero-backend static architecture</w:t>
      </w:r>
    </w:p>
    <w:p>
      <w:pPr>
        <w:pStyle w:val="ListParagraph"/>
        <w:numPr>
          <w:ilvl w:val="0"/>
          <w:numId w:val="2"/>
        </w:numPr>
        <w:spacing w:after="100" w:line="340"/>
      </w:pPr>
      <w:r>
        <w:rPr>
          <w:rFonts w:ascii="Arial" w:cs="Arial" w:eastAsia="Arial" w:hAnsi="Arial"/>
          <w:b/>
          <w:bCs/>
          <w:i w:val="false"/>
          <w:iCs w:val="false"/>
          <w:color w:val="444444"/>
          <w:sz w:val="22"/>
          <w:szCs w:val="22"/>
        </w:rPr>
        <w:t xml:space="preserve">Built three distinct AI-powered features</w:t>
      </w:r>
      <w:r>
        <w:rPr>
          <w:rFonts w:ascii="Arial" w:cs="Arial" w:eastAsia="Arial" w:hAnsi="Arial"/>
          <w:b w:val="false"/>
          <w:bCs w:val="false"/>
          <w:i w:val="false"/>
          <w:iCs w:val="false"/>
          <w:color w:val="444444"/>
          <w:sz w:val="22"/>
          <w:szCs w:val="22"/>
        </w:rPr>
        <w:t xml:space="preserve"> into an existing deterministic assessment engine, each with different model selection rationale and failure modes</w:t>
      </w:r>
    </w:p>
    <w:p>
      <w:pPr>
        <w:pStyle w:val="ListParagraph"/>
        <w:numPr>
          <w:ilvl w:val="0"/>
          <w:numId w:val="2"/>
        </w:numPr>
        <w:spacing w:after="100" w:line="340"/>
      </w:pPr>
      <w:r>
        <w:rPr>
          <w:rFonts w:ascii="Arial" w:cs="Arial" w:eastAsia="Arial" w:hAnsi="Arial"/>
          <w:b/>
          <w:bCs/>
          <w:i w:val="false"/>
          <w:iCs w:val="false"/>
          <w:color w:val="444444"/>
          <w:sz w:val="22"/>
          <w:szCs w:val="22"/>
        </w:rPr>
        <w:t xml:space="preserve">Implemented production-grade cost controls</w:t>
      </w:r>
      <w:r>
        <w:rPr>
          <w:rFonts w:ascii="Arial" w:cs="Arial" w:eastAsia="Arial" w:hAnsi="Arial"/>
          <w:b w:val="false"/>
          <w:bCs w:val="false"/>
          <w:i w:val="false"/>
          <w:iCs w:val="false"/>
          <w:color w:val="444444"/>
          <w:sz w:val="22"/>
          <w:szCs w:val="22"/>
        </w:rPr>
        <w:t xml:space="preserve"> — per-IP rate limiting, global daily caps, and a gated generation pattern that prevents unbounded API spend</w:t>
      </w:r>
    </w:p>
    <w:p>
      <w:pPr>
        <w:pStyle w:val="ListParagraph"/>
        <w:numPr>
          <w:ilvl w:val="0"/>
          <w:numId w:val="2"/>
        </w:numPr>
        <w:spacing w:after="100" w:line="340"/>
      </w:pPr>
      <w:r>
        <w:rPr>
          <w:rFonts w:ascii="Arial" w:cs="Arial" w:eastAsia="Arial" w:hAnsi="Arial"/>
          <w:b/>
          <w:bCs/>
          <w:i w:val="false"/>
          <w:iCs w:val="false"/>
          <w:color w:val="444444"/>
          <w:sz w:val="22"/>
          <w:szCs w:val="22"/>
        </w:rPr>
        <w:t xml:space="preserve">Deployed a streaming executive brief</w:t>
      </w:r>
      <w:r>
        <w:rPr>
          <w:rFonts w:ascii="Arial" w:cs="Arial" w:eastAsia="Arial" w:hAnsi="Arial"/>
          <w:b w:val="false"/>
          <w:bCs w:val="false"/>
          <w:i w:val="false"/>
          <w:iCs w:val="false"/>
          <w:color w:val="444444"/>
          <w:sz w:val="22"/>
          <w:szCs w:val="22"/>
        </w:rPr>
        <w:t xml:space="preserve"> using Server-Sent Events, rendering consultant-quality personalized narrative in real time via Claude Opus 4.6</w:t>
      </w:r>
    </w:p>
    <w:p>
      <w:pPr>
        <w:pStyle w:val="ListParagraph"/>
        <w:numPr>
          <w:ilvl w:val="0"/>
          <w:numId w:val="2"/>
        </w:numPr>
        <w:spacing w:after="100" w:line="340"/>
      </w:pPr>
      <w:r>
        <w:rPr>
          <w:rFonts w:ascii="Arial" w:cs="Arial" w:eastAsia="Arial" w:hAnsi="Arial"/>
          <w:b/>
          <w:bCs/>
          <w:i w:val="false"/>
          <w:iCs w:val="false"/>
          <w:color w:val="444444"/>
          <w:sz w:val="22"/>
          <w:szCs w:val="22"/>
        </w:rPr>
        <w:t xml:space="preserve">Maintained deterministic fallback integrity</w:t>
      </w:r>
      <w:r>
        <w:rPr>
          <w:rFonts w:ascii="Arial" w:cs="Arial" w:eastAsia="Arial" w:hAnsi="Arial"/>
          <w:b w:val="false"/>
          <w:bCs w:val="false"/>
          <w:i w:val="false"/>
          <w:iCs w:val="false"/>
          <w:color w:val="444444"/>
          <w:sz w:val="22"/>
          <w:szCs w:val="22"/>
        </w:rPr>
        <w:t xml:space="preserve"> throughout — every API-enhanced feature degrades gracefully if the API is unavailable, and the core assessment never depends on external services</w:t>
      </w:r>
    </w:p>
    <w:p>
      <w:pPr>
        <w:spacing w:after="160" w:line="340"/>
      </w:pPr>
      <w:r>
        <w:rPr>
          <w:rFonts w:ascii="Arial" w:cs="Arial" w:eastAsia="Arial" w:hAnsi="Arial"/>
          <w:b w:val="false"/>
          <w:bCs w:val="false"/>
          <w:i w:val="false"/>
          <w:iCs w:val="false"/>
          <w:color w:val="444444"/>
          <w:sz w:val="22"/>
          <w:szCs w:val="22"/>
        </w:rPr>
        <w:t xml:space="preserve">Total deployment: 8 commits to production across approximately 4 hours. All features live at nickjewell.ai with auto-deploy from GitHub via Cloudflare Pages.</w:t>
      </w:r>
    </w:p>
    <w:p>
      <w:pPr>
        <w:pBdr>
          <w:bottom w:val="single" w:color="DDDDDD" w:sz="1" w:space="1"/>
        </w:pBdr>
        <w:spacing w:after="200" w:before="200"/>
      </w:pPr>
      <w:r>
        <w:rPr>
          <w:rFonts w:ascii="Arial" w:cs="Arial" w:eastAsia="Arial" w:hAnsi="Arial"/>
        </w:rPr>
        <w:t xml:space="preserve"/>
      </w:r>
    </w:p>
    <w:p>
      <w:pPr>
        <w:pStyle w:val="Heading1"/>
        <w:spacing w:after="200" w:before="360"/>
      </w:pPr>
      <w:r>
        <w:rPr>
          <w:rFonts w:ascii="Arial" w:cs="Arial" w:eastAsia="Arial" w:hAnsi="Arial"/>
          <w:b/>
          <w:bCs/>
          <w:color w:val="1A1A1A"/>
        </w:rPr>
        <w:t xml:space="preserve">Strategic Context: Why This Matters</w:t>
      </w:r>
    </w:p>
    <w:p>
      <w:pPr>
        <w:spacing w:after="160" w:line="340"/>
      </w:pPr>
      <w:r>
        <w:rPr>
          <w:rFonts w:ascii="Arial" w:cs="Arial" w:eastAsia="Arial" w:hAnsi="Arial"/>
          <w:b w:val="false"/>
          <w:bCs w:val="false"/>
          <w:i w:val="false"/>
          <w:iCs w:val="false"/>
          <w:color w:val="444444"/>
          <w:sz w:val="22"/>
          <w:szCs w:val="22"/>
        </w:rPr>
        <w:t xml:space="preserve">The Jewell Assessment is a five-layer AI readiness diagnostic that evaluates organizations across Foundation, Architecture, Accountability, Culture, and a proprietary Taste dimension that measures strategic judgment through scenario-based choices. Before Milestone 3, the assessment was entirely deterministic — every score, every result, every action item was calculated client-side with no external dependencies.</w:t>
      </w:r>
    </w:p>
    <w:p>
      <w:pPr>
        <w:spacing w:after="160" w:line="340"/>
      </w:pPr>
      <w:r>
        <w:rPr>
          <w:rFonts w:ascii="Arial" w:cs="Arial" w:eastAsia="Arial" w:hAnsi="Arial"/>
          <w:b w:val="false"/>
          <w:bCs w:val="false"/>
          <w:i w:val="false"/>
          <w:iCs w:val="false"/>
          <w:color w:val="444444"/>
          <w:sz w:val="22"/>
          <w:szCs w:val="22"/>
        </w:rPr>
        <w:t xml:space="preserve">The strategic question for Milestone 3 was not "can we add AI?" but "where does AI add value that deterministic logic cannot provide, and what are the cost, reliability, and quality trade-offs of each integration point?"</w:t>
      </w:r>
    </w:p>
    <w:p>
      <w:pPr>
        <w:spacing w:after="160" w:line="340"/>
      </w:pPr>
      <w:r>
        <w:rPr>
          <w:rFonts w:ascii="Arial" w:cs="Arial" w:eastAsia="Arial" w:hAnsi="Arial"/>
          <w:b w:val="false"/>
          <w:bCs w:val="false"/>
          <w:i w:val="false"/>
          <w:iCs w:val="false"/>
          <w:color w:val="444444"/>
          <w:sz w:val="22"/>
          <w:szCs w:val="22"/>
        </w:rPr>
        <w:t xml:space="preserve">This is the exact decision framework I would apply to any enterprise AI implementation. The Jewell Assessment itself preaches this discipline — it would be hypocritical to violate it in its own architecture.</w:t>
      </w:r>
    </w:p>
    <w:p>
      <w:pPr>
        <w:pStyle w:val="Heading2"/>
        <w:spacing w:after="160" w:before="280"/>
      </w:pPr>
      <w:r>
        <w:rPr>
          <w:rFonts w:ascii="Arial" w:cs="Arial" w:eastAsia="Arial" w:hAnsi="Arial"/>
          <w:b/>
          <w:bCs/>
          <w:color w:val="1A1A1A"/>
        </w:rPr>
        <w:t xml:space="preserve">The Three Integration Points — Why These, Why Not Others</w:t>
      </w:r>
    </w:p>
    <w:p>
      <w:pPr>
        <w:spacing w:after="160" w:line="340"/>
      </w:pPr>
      <w:r>
        <w:rPr>
          <w:rFonts w:ascii="Arial" w:cs="Arial" w:eastAsia="Arial" w:hAnsi="Arial"/>
          <w:b w:val="false"/>
          <w:bCs w:val="false"/>
          <w:i w:val="false"/>
          <w:iCs w:val="false"/>
          <w:color w:val="444444"/>
          <w:sz w:val="22"/>
          <w:szCs w:val="22"/>
        </w:rPr>
        <w:t xml:space="preserve">I identified three specific places where AI generates irreplaceable value:</w:t>
      </w:r>
    </w:p>
    <w:p>
      <w:pPr>
        <w:spacing w:after="160" w:line="340"/>
      </w:pPr>
      <w:r>
        <w:rPr>
          <w:rFonts w:ascii="Arial" w:cs="Arial" w:eastAsia="Arial" w:hAnsi="Arial"/>
          <w:b/>
          <w:bCs/>
          <w:i w:val="false"/>
          <w:iCs w:val="false"/>
          <w:color w:val="444444"/>
          <w:sz w:val="22"/>
          <w:szCs w:val="22"/>
        </w:rPr>
        <w:t xml:space="preserve">1. Taste Reasoning Follow-ups: </w:t>
      </w:r>
      <w:r>
        <w:rPr>
          <w:rFonts w:ascii="Arial" w:cs="Arial" w:eastAsia="Arial" w:hAnsi="Arial"/>
          <w:b w:val="false"/>
          <w:bCs w:val="false"/>
          <w:i w:val="false"/>
          <w:iCs w:val="false"/>
          <w:color w:val="444444"/>
          <w:sz w:val="22"/>
          <w:szCs w:val="22"/>
        </w:rPr>
        <w:t xml:space="preserve">After each scenario-based Taste question, the assessment now asks WHY the user chose their answer. The multiple-choice reasoning options are deterministic (scored across Frame Recognition, Kill Discipline, and Edge-Case Instinct), but an optional free-text response is analyzed by the API for depth, self-awareness, and specificity. This is a case where </w:t>
      </w:r>
      <w:r>
        <w:rPr>
          <w:rFonts w:ascii="Arial" w:cs="Arial" w:eastAsia="Arial" w:hAnsi="Arial"/>
          <w:b/>
          <w:bCs/>
          <w:i/>
          <w:iCs/>
          <w:color w:val="444444"/>
          <w:sz w:val="22"/>
          <w:szCs w:val="22"/>
        </w:rPr>
        <w:t xml:space="preserve">AI handles ambiguity that scoring matrices cannot</w:t>
      </w:r>
      <w:r>
        <w:rPr>
          <w:rFonts w:ascii="Arial" w:cs="Arial" w:eastAsia="Arial" w:hAnsi="Arial"/>
          <w:b w:val="false"/>
          <w:bCs w:val="false"/>
          <w:i w:val="false"/>
          <w:iCs w:val="false"/>
          <w:color w:val="444444"/>
          <w:sz w:val="22"/>
          <w:szCs w:val="22"/>
        </w:rPr>
        <w:t xml:space="preserve"> — the difference between someone writing "it seemed safest" versus "given the 18-month investment and unclear ROI, an independent review prevents both sunk cost bias and premature termination" is precisely what AI can evaluate and a lookup table cannot.</w:t>
      </w:r>
    </w:p>
    <w:p>
      <w:pPr>
        <w:spacing w:after="160" w:line="340"/>
      </w:pPr>
      <w:r>
        <w:rPr>
          <w:rFonts w:ascii="Arial" w:cs="Arial" w:eastAsia="Arial" w:hAnsi="Arial"/>
          <w:b/>
          <w:bCs/>
          <w:i w:val="false"/>
          <w:iCs w:val="false"/>
          <w:color w:val="444444"/>
          <w:sz w:val="22"/>
          <w:szCs w:val="22"/>
        </w:rPr>
        <w:t xml:space="preserve">2. CU2 Open-Ended Analysis: </w:t>
      </w:r>
      <w:r>
        <w:rPr>
          <w:rFonts w:ascii="Arial" w:cs="Arial" w:eastAsia="Arial" w:hAnsi="Arial"/>
          <w:b w:val="false"/>
          <w:bCs w:val="false"/>
          <w:i w:val="false"/>
          <w:iCs w:val="false"/>
          <w:color w:val="444444"/>
          <w:sz w:val="22"/>
          <w:szCs w:val="22"/>
        </w:rPr>
        <w:t xml:space="preserve">The Culture module asks users to describe an AI initiative that failed. When someone selects "Yes, we had a specific failure," they can now provide a free-text description. The API evaluates this for three signals: specificity (do they name a real project?), accountability (do they own it or blame external factors?), and learning signal (did anything actually change?). This is a </w:t>
      </w:r>
      <w:r>
        <w:rPr>
          <w:rFonts w:ascii="Arial" w:cs="Arial" w:eastAsia="Arial" w:hAnsi="Arial"/>
          <w:b/>
          <w:bCs/>
          <w:i/>
          <w:iCs/>
          <w:color w:val="444444"/>
          <w:sz w:val="22"/>
          <w:szCs w:val="22"/>
        </w:rPr>
        <w:t xml:space="preserve">classic NLP classification task</w:t>
      </w:r>
      <w:r>
        <w:rPr>
          <w:rFonts w:ascii="Arial" w:cs="Arial" w:eastAsia="Arial" w:hAnsi="Arial"/>
          <w:b w:val="false"/>
          <w:bCs w:val="false"/>
          <w:i w:val="false"/>
          <w:iCs w:val="false"/>
          <w:color w:val="444444"/>
          <w:sz w:val="22"/>
          <w:szCs w:val="22"/>
        </w:rPr>
        <w:t xml:space="preserve"> that would require a custom fine-tuned model to replicate deterministically. Using a general-purpose LLM as the classifier is the correct architectural choice for an MVP with uncertain volume.</w:t>
      </w:r>
    </w:p>
    <w:p>
      <w:pPr>
        <w:spacing w:after="160" w:line="340"/>
      </w:pPr>
      <w:r>
        <w:rPr>
          <w:rFonts w:ascii="Arial" w:cs="Arial" w:eastAsia="Arial" w:hAnsi="Arial"/>
          <w:b/>
          <w:bCs/>
          <w:i w:val="false"/>
          <w:iCs w:val="false"/>
          <w:color w:val="444444"/>
          <w:sz w:val="22"/>
          <w:szCs w:val="22"/>
        </w:rPr>
        <w:t xml:space="preserve">3. Personalized Executive Brief: </w:t>
      </w:r>
      <w:r>
        <w:rPr>
          <w:rFonts w:ascii="Arial" w:cs="Arial" w:eastAsia="Arial" w:hAnsi="Arial"/>
          <w:b w:val="false"/>
          <w:bCs w:val="false"/>
          <w:i w:val="false"/>
          <w:iCs w:val="false"/>
          <w:color w:val="444444"/>
          <w:sz w:val="22"/>
          <w:szCs w:val="22"/>
        </w:rPr>
        <w:t xml:space="preserve">The crown jewel. After all scores are calculated, the user can click a CTA to generate a one-of-one diagnostic narrative. This is a </w:t>
      </w:r>
      <w:r>
        <w:rPr>
          <w:rFonts w:ascii="Arial" w:cs="Arial" w:eastAsia="Arial" w:hAnsi="Arial"/>
          <w:b/>
          <w:bCs/>
          <w:i/>
          <w:iCs/>
          <w:color w:val="444444"/>
          <w:sz w:val="22"/>
          <w:szCs w:val="22"/>
        </w:rPr>
        <w:t xml:space="preserve">generative task that is categorically impossible without AI</w:t>
      </w:r>
      <w:r>
        <w:rPr>
          <w:rFonts w:ascii="Arial" w:cs="Arial" w:eastAsia="Arial" w:hAnsi="Arial"/>
          <w:b w:val="false"/>
          <w:bCs w:val="false"/>
          <w:i w:val="false"/>
          <w:iCs w:val="false"/>
          <w:color w:val="444444"/>
          <w:sz w:val="22"/>
          <w:szCs w:val="22"/>
        </w:rPr>
        <w:t xml:space="preserve"> — no template system could produce the level of specificity that references individual answers, connects dimensional Taste profiles to scenario choices, and generates industry-contextual 30-day action items. The brief is the product differentiator that turns a diagnostic tool into a consulting deliverable.</w:t>
      </w:r>
    </w:p>
    <w:p>
      <w:pPr>
        <w:spacing w:after="160" w:line="340"/>
      </w:pPr>
      <w:r>
        <w:rPr>
          <w:rFonts w:ascii="Arial" w:cs="Arial" w:eastAsia="Arial" w:hAnsi="Arial"/>
          <w:b w:val="false"/>
          <w:bCs w:val="false"/>
          <w:i w:val="false"/>
          <w:iCs w:val="false"/>
          <w:color w:val="444444"/>
          <w:sz w:val="22"/>
          <w:szCs w:val="22"/>
        </w:rPr>
        <w:t xml:space="preserve">Equally important are the places I chose NOT to use AI: the scoring engine, the branching logic, the Taste signature calculation, the binding constraint identification, and the action plan generation. These are all deterministic — they produce consistent, reproducible, auditable results. Adding AI to these systems would introduce non-determinism, latency, and cost without improving the output.</w:t>
      </w:r>
    </w:p>
    <w:p>
      <w:r>
        <w:br w:type="page"/>
      </w:r>
    </w:p>
    <w:p>
      <w:pPr>
        <w:pStyle w:val="Heading1"/>
        <w:spacing w:after="200" w:before="360"/>
      </w:pPr>
      <w:r>
        <w:rPr>
          <w:rFonts w:ascii="Arial" w:cs="Arial" w:eastAsia="Arial" w:hAnsi="Arial"/>
          <w:b/>
          <w:bCs/>
          <w:color w:val="1A1A1A"/>
        </w:rPr>
        <w:t xml:space="preserve">Architecture Decisions</w:t>
      </w:r>
    </w:p>
    <w:p>
      <w:pPr>
        <w:pStyle w:val="Heading2"/>
        <w:spacing w:after="160" w:before="280"/>
      </w:pPr>
      <w:r>
        <w:rPr>
          <w:rFonts w:ascii="Arial" w:cs="Arial" w:eastAsia="Arial" w:hAnsi="Arial"/>
          <w:b/>
          <w:bCs/>
          <w:color w:val="1A1A1A"/>
        </w:rPr>
        <w:t xml:space="preserve">Decision 1: Model Selection — Sonnet vs. Opus by Feature</w:t>
      </w:r>
    </w:p>
    <w:p>
      <w:pPr>
        <w:spacing w:after="160" w:line="340"/>
      </w:pPr>
      <w:r>
        <w:rPr>
          <w:rFonts w:ascii="Arial" w:cs="Arial" w:eastAsia="Arial" w:hAnsi="Arial"/>
          <w:b w:val="false"/>
          <w:bCs w:val="false"/>
          <w:i w:val="false"/>
          <w:iCs w:val="false"/>
          <w:color w:val="444444"/>
          <w:sz w:val="22"/>
          <w:szCs w:val="22"/>
        </w:rPr>
        <w:t xml:space="preserve">This was a deliberate split, not a one-size-fits-all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DDDDDD" w:sz="1"/>
              <w:left w:val="single" w:color="DDDDDD" w:sz="1"/>
              <w:bottom w:val="single" w:color="DDDDDD" w:sz="1"/>
              <w:right w:val="single" w:color="DDDDDD" w:sz="1"/>
            </w:tcBorders>
            <w:shd w:fill="F0E6D6" w:val="clear"/>
            <w:tcMar>
              <w:top w:type="dxa" w:w="80"/>
              <w:left w:type="dxa" w:w="120"/>
              <w:bottom w:type="dxa" w:w="80"/>
              <w:right w:type="dxa" w:w="120"/>
            </w:tcMar>
          </w:tcPr>
          <w:p>
            <w:r>
              <w:rPr>
                <w:rFonts w:ascii="Arial" w:cs="Arial" w:eastAsia="Arial" w:hAnsi="Arial"/>
                <w:b/>
                <w:bCs/>
                <w:color w:val="1A1A1A"/>
                <w:sz w:val="20"/>
                <w:szCs w:val="20"/>
              </w:rPr>
              <w:t xml:space="preserve">Feature</w:t>
            </w:r>
          </w:p>
        </w:tc>
        <w:tc>
          <w:tcPr>
            <w:tcW w:type="dxa" w:w="2200"/>
            <w:tcBorders>
              <w:top w:val="single" w:color="DDDDDD" w:sz="1"/>
              <w:left w:val="single" w:color="DDDDDD" w:sz="1"/>
              <w:bottom w:val="single" w:color="DDDDDD" w:sz="1"/>
              <w:right w:val="single" w:color="DDDDDD" w:sz="1"/>
            </w:tcBorders>
            <w:shd w:fill="F0E6D6" w:val="clear"/>
            <w:tcMar>
              <w:top w:type="dxa" w:w="80"/>
              <w:left w:type="dxa" w:w="120"/>
              <w:bottom w:type="dxa" w:w="80"/>
              <w:right w:type="dxa" w:w="120"/>
            </w:tcMar>
          </w:tcPr>
          <w:p>
            <w:r>
              <w:rPr>
                <w:rFonts w:ascii="Arial" w:cs="Arial" w:eastAsia="Arial" w:hAnsi="Arial"/>
                <w:b/>
                <w:bCs/>
                <w:color w:val="1A1A1A"/>
                <w:sz w:val="20"/>
                <w:szCs w:val="20"/>
              </w:rPr>
              <w:t xml:space="preserve">Model</w:t>
            </w:r>
          </w:p>
        </w:tc>
        <w:tc>
          <w:tcPr>
            <w:tcW w:type="dxa" w:w="2200"/>
            <w:tcBorders>
              <w:top w:val="single" w:color="DDDDDD" w:sz="1"/>
              <w:left w:val="single" w:color="DDDDDD" w:sz="1"/>
              <w:bottom w:val="single" w:color="DDDDDD" w:sz="1"/>
              <w:right w:val="single" w:color="DDDDDD" w:sz="1"/>
            </w:tcBorders>
            <w:shd w:fill="F0E6D6" w:val="clear"/>
            <w:tcMar>
              <w:top w:type="dxa" w:w="80"/>
              <w:left w:type="dxa" w:w="120"/>
              <w:bottom w:type="dxa" w:w="80"/>
              <w:right w:type="dxa" w:w="120"/>
            </w:tcMar>
          </w:tcPr>
          <w:p>
            <w:r>
              <w:rPr>
                <w:rFonts w:ascii="Arial" w:cs="Arial" w:eastAsia="Arial" w:hAnsi="Arial"/>
                <w:b/>
                <w:bCs/>
                <w:color w:val="1A1A1A"/>
                <w:sz w:val="20"/>
                <w:szCs w:val="20"/>
              </w:rPr>
              <w:t xml:space="preserve">Rationale</w:t>
            </w:r>
          </w:p>
        </w:tc>
        <w:tc>
          <w:tcPr>
            <w:tcW w:type="dxa" w:w="2760"/>
            <w:tcBorders>
              <w:top w:val="single" w:color="DDDDDD" w:sz="1"/>
              <w:left w:val="single" w:color="DDDDDD" w:sz="1"/>
              <w:bottom w:val="single" w:color="DDDDDD" w:sz="1"/>
              <w:right w:val="single" w:color="DDDDDD" w:sz="1"/>
            </w:tcBorders>
            <w:shd w:fill="F0E6D6" w:val="clear"/>
            <w:tcMar>
              <w:top w:type="dxa" w:w="80"/>
              <w:left w:type="dxa" w:w="120"/>
              <w:bottom w:type="dxa" w:w="80"/>
              <w:right w:type="dxa" w:w="120"/>
            </w:tcMar>
          </w:tcPr>
          <w:p>
            <w:r>
              <w:rPr>
                <w:rFonts w:ascii="Arial" w:cs="Arial" w:eastAsia="Arial" w:hAnsi="Arial"/>
                <w:b/>
                <w:bCs/>
                <w:color w:val="1A1A1A"/>
                <w:sz w:val="20"/>
                <w:szCs w:val="20"/>
              </w:rPr>
              <w:t xml:space="preserve">Trade-off</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Taste free-text analysis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Claude Sonnet 4</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Speed: user is mid-assessment, waiting in real time. Task is classification, not generation.</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Slightly less nuanced than Opus, but 3-5x faster. For ±1 point adjustments, Sonnet’s classification quality is sufficient.</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CU2 open-ended analysis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Claude Sonnet 4</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Same as above. JSON classification task with structured output.</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Deterministic fallback if API fails — user gets 0 bonus, assessment continues.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Executive brief</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Claude Opus 4.6</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Quality ceiling matters. This is the deliverable users screenshot and share. Writing quality is the product.</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Slower (5-15s), ~10-15x more expensive per call. Mitigated by streaming and gated generation.</w:t>
            </w:r>
          </w:p>
        </w:tc>
      </w:tr>
    </w:tbl>
    <w:p>
      <w:pPr>
        <w:spacing w:after="160" w:line="340"/>
      </w:pPr>
      <w:r>
        <w:rPr>
          <w:rFonts w:ascii="Arial" w:cs="Arial" w:eastAsia="Arial" w:hAnsi="Arial"/>
          <w:b w:val="false"/>
          <w:bCs w:val="false"/>
          <w:i w:val="false"/>
          <w:iCs w:val="false"/>
          <w:color w:val="444444"/>
          <w:sz w:val="22"/>
          <w:szCs w:val="22"/>
        </w:rPr>
        <w:t xml:space="preserve"/>
      </w:r>
    </w:p>
    <w:p>
      <w:pPr>
        <w:spacing w:after="160" w:line="340"/>
      </w:pPr>
      <w:r>
        <w:rPr>
          <w:rFonts w:ascii="Arial" w:cs="Arial" w:eastAsia="Arial" w:hAnsi="Arial"/>
          <w:b w:val="false"/>
          <w:bCs w:val="false"/>
          <w:i w:val="false"/>
          <w:iCs w:val="false"/>
          <w:color w:val="444444"/>
          <w:sz w:val="22"/>
          <w:szCs w:val="22"/>
        </w:rPr>
        <w:t xml:space="preserve">The interview narrative: "We didn’t default to the most expensive model everywhere. We matched model capability to task requirements. Classification tasks got Sonnet for speed. The generative showcase got Opus for quality. This is how you control costs at scale — not by picking one model, but by routing to the right model per feature."</w:t>
      </w:r>
    </w:p>
    <w:p>
      <w:pPr>
        <w:pStyle w:val="Heading2"/>
        <w:spacing w:after="160" w:before="280"/>
      </w:pPr>
      <w:r>
        <w:rPr>
          <w:rFonts w:ascii="Arial" w:cs="Arial" w:eastAsia="Arial" w:hAnsi="Arial"/>
          <w:b/>
          <w:bCs/>
          <w:color w:val="1A1A1A"/>
        </w:rPr>
        <w:t xml:space="preserve">Decision 2: Streaming for the Executive Brief</w:t>
      </w:r>
    </w:p>
    <w:p>
      <w:pPr>
        <w:spacing w:after="160" w:line="340"/>
      </w:pPr>
      <w:r>
        <w:rPr>
          <w:rFonts w:ascii="Arial" w:cs="Arial" w:eastAsia="Arial" w:hAnsi="Arial"/>
          <w:b w:val="false"/>
          <w:bCs w:val="false"/>
          <w:i w:val="false"/>
          <w:iCs w:val="false"/>
          <w:color w:val="444444"/>
          <w:sz w:val="22"/>
          <w:szCs w:val="22"/>
        </w:rPr>
        <w:t xml:space="preserve">The executive brief uses Server-Sent Events (SSE) streaming rather than waiting for the full response. This was an architectural choice, not just a UX preference.</w:t>
      </w:r>
    </w:p>
    <w:p>
      <w:pPr>
        <w:pStyle w:val="ListParagraph"/>
        <w:numPr>
          <w:ilvl w:val="0"/>
          <w:numId w:val="2"/>
        </w:numPr>
        <w:spacing w:after="100" w:line="340"/>
      </w:pPr>
      <w:r>
        <w:rPr>
          <w:rFonts w:ascii="Arial" w:cs="Arial" w:eastAsia="Arial" w:hAnsi="Arial"/>
          <w:b/>
          <w:bCs/>
          <w:i w:val="false"/>
          <w:iCs w:val="false"/>
          <w:color w:val="444444"/>
          <w:sz w:val="22"/>
          <w:szCs w:val="22"/>
        </w:rPr>
        <w:t xml:space="preserve">UX rationale: </w:t>
      </w:r>
      <w:r>
        <w:rPr>
          <w:rFonts w:ascii="Arial" w:cs="Arial" w:eastAsia="Arial" w:hAnsi="Arial"/>
          <w:b w:val="false"/>
          <w:bCs w:val="false"/>
          <w:i w:val="false"/>
          <w:iCs w:val="false"/>
          <w:color w:val="444444"/>
          <w:sz w:val="22"/>
          <w:szCs w:val="22"/>
        </w:rPr>
        <w:t xml:space="preserve">The brief is 500-700 words. With Opus, that’s 5-15 seconds of generation time. A loading spinner for 15 seconds feels broken. Streaming text that renders word-by-word feels intentional and premium — like watching an analysis being written.</w:t>
      </w:r>
    </w:p>
    <w:p>
      <w:pPr>
        <w:pStyle w:val="ListParagraph"/>
        <w:numPr>
          <w:ilvl w:val="0"/>
          <w:numId w:val="2"/>
        </w:numPr>
        <w:spacing w:after="100" w:line="340"/>
      </w:pPr>
      <w:r>
        <w:rPr>
          <w:rFonts w:ascii="Arial" w:cs="Arial" w:eastAsia="Arial" w:hAnsi="Arial"/>
          <w:b/>
          <w:bCs/>
          <w:i w:val="false"/>
          <w:iCs w:val="false"/>
          <w:color w:val="444444"/>
          <w:sz w:val="22"/>
          <w:szCs w:val="22"/>
        </w:rPr>
        <w:t xml:space="preserve">Technical rationale: </w:t>
      </w:r>
      <w:r>
        <w:rPr>
          <w:rFonts w:ascii="Arial" w:cs="Arial" w:eastAsia="Arial" w:hAnsi="Arial"/>
          <w:b w:val="false"/>
          <w:bCs w:val="false"/>
          <w:i w:val="false"/>
          <w:iCs w:val="false"/>
          <w:color w:val="444444"/>
          <w:sz w:val="22"/>
          <w:szCs w:val="22"/>
        </w:rPr>
        <w:t xml:space="preserve">Streaming eliminates timeout concerns. The connection stays alive as long as tokens are flowing. The client-side AbortController only triggers if no response starts within 15 seconds, not if generation takes long.</w:t>
      </w:r>
    </w:p>
    <w:p>
      <w:pPr>
        <w:pStyle w:val="ListParagraph"/>
        <w:numPr>
          <w:ilvl w:val="0"/>
          <w:numId w:val="2"/>
        </w:numPr>
        <w:spacing w:after="100" w:line="340"/>
      </w:pPr>
      <w:r>
        <w:rPr>
          <w:rFonts w:ascii="Arial" w:cs="Arial" w:eastAsia="Arial" w:hAnsi="Arial"/>
          <w:b/>
          <w:bCs/>
          <w:i w:val="false"/>
          <w:iCs w:val="false"/>
          <w:color w:val="444444"/>
          <w:sz w:val="22"/>
          <w:szCs w:val="22"/>
        </w:rPr>
        <w:t xml:space="preserve">Architectural rationale: </w:t>
      </w:r>
      <w:r>
        <w:rPr>
          <w:rFonts w:ascii="Arial" w:cs="Arial" w:eastAsia="Arial" w:hAnsi="Arial"/>
          <w:b w:val="false"/>
          <w:bCs w:val="false"/>
          <w:i w:val="false"/>
          <w:iCs w:val="false"/>
          <w:color w:val="444444"/>
          <w:sz w:val="22"/>
          <w:szCs w:val="22"/>
        </w:rPr>
        <w:t xml:space="preserve">The Cloudflare proxy passes the SSE stream through without buffering. This means the worker’s execution time is minimal — it opens the connection and proxies bytes. If we buffered the full response, the worker would hold memory and execution time for the entire generation, which could hit Cloudflare’s CPU time limits on the free tier.</w:t>
      </w:r>
    </w:p>
    <w:p>
      <w:pPr>
        <w:pStyle w:val="Heading2"/>
        <w:spacing w:after="160" w:before="280"/>
      </w:pPr>
      <w:r>
        <w:rPr>
          <w:rFonts w:ascii="Arial" w:cs="Arial" w:eastAsia="Arial" w:hAnsi="Arial"/>
          <w:b/>
          <w:bCs/>
          <w:color w:val="1A1A1A"/>
        </w:rPr>
        <w:t xml:space="preserve">Decision 3: Gated Brief Generation</w:t>
      </w:r>
    </w:p>
    <w:p>
      <w:pPr>
        <w:spacing w:after="160" w:line="340"/>
      </w:pPr>
      <w:r>
        <w:rPr>
          <w:rFonts w:ascii="Arial" w:cs="Arial" w:eastAsia="Arial" w:hAnsi="Arial"/>
          <w:b w:val="false"/>
          <w:bCs w:val="false"/>
          <w:i w:val="false"/>
          <w:iCs w:val="false"/>
          <w:color w:val="444444"/>
          <w:sz w:val="22"/>
          <w:szCs w:val="22"/>
        </w:rPr>
        <w:t xml:space="preserve">The executive brief does not auto-generate. The user sees their deterministic results first (scores, binding constraint, Taste signature, action items), then clicks a CTA to generate the personalized narrative.</w:t>
      </w:r>
    </w:p>
    <w:p>
      <w:pPr>
        <w:spacing w:after="160" w:line="340"/>
      </w:pPr>
      <w:r>
        <w:rPr>
          <w:rFonts w:ascii="Arial" w:cs="Arial" w:eastAsia="Arial" w:hAnsi="Arial"/>
          <w:b w:val="false"/>
          <w:bCs w:val="false"/>
          <w:i w:val="false"/>
          <w:iCs w:val="false"/>
          <w:color w:val="444444"/>
          <w:sz w:val="22"/>
          <w:szCs w:val="22"/>
        </w:rPr>
        <w:t xml:space="preserve">Three reasons:</w:t>
      </w:r>
    </w:p>
    <w:p>
      <w:pPr>
        <w:pStyle w:val="ListParagraph"/>
        <w:numPr>
          <w:ilvl w:val="0"/>
          <w:numId w:val="2"/>
        </w:numPr>
        <w:spacing w:after="100" w:line="340"/>
      </w:pPr>
      <w:r>
        <w:rPr>
          <w:rFonts w:ascii="Arial" w:cs="Arial" w:eastAsia="Arial" w:hAnsi="Arial"/>
          <w:b/>
          <w:bCs/>
          <w:i w:val="false"/>
          <w:iCs w:val="false"/>
          <w:color w:val="444444"/>
          <w:sz w:val="22"/>
          <w:szCs w:val="22"/>
        </w:rPr>
        <w:t xml:space="preserve">Cost control: </w:t>
      </w:r>
      <w:r>
        <w:rPr>
          <w:rFonts w:ascii="Arial" w:cs="Arial" w:eastAsia="Arial" w:hAnsi="Arial"/>
          <w:b w:val="false"/>
          <w:bCs w:val="false"/>
          <w:i w:val="false"/>
          <w:iCs w:val="false"/>
          <w:color w:val="444444"/>
          <w:sz w:val="22"/>
          <w:szCs w:val="22"/>
        </w:rPr>
        <w:t xml:space="preserve">Not every user who completes the assessment wants or needs the brief. At Opus pricing (~$0.05-0.10 per brief), auto-generating for every visitor creates unbounded spend. A viral LinkedIn post could generate thousands of assessments in a day.</w:t>
      </w:r>
    </w:p>
    <w:p>
      <w:pPr>
        <w:pStyle w:val="ListParagraph"/>
        <w:numPr>
          <w:ilvl w:val="0"/>
          <w:numId w:val="2"/>
        </w:numPr>
        <w:spacing w:after="100" w:line="340"/>
      </w:pPr>
      <w:r>
        <w:rPr>
          <w:rFonts w:ascii="Arial" w:cs="Arial" w:eastAsia="Arial" w:hAnsi="Arial"/>
          <w:b/>
          <w:bCs/>
          <w:i w:val="false"/>
          <w:iCs w:val="false"/>
          <w:color w:val="444444"/>
          <w:sz w:val="22"/>
          <w:szCs w:val="22"/>
        </w:rPr>
        <w:t xml:space="preserve">Conversion signal: </w:t>
      </w:r>
      <w:r>
        <w:rPr>
          <w:rFonts w:ascii="Arial" w:cs="Arial" w:eastAsia="Arial" w:hAnsi="Arial"/>
          <w:b w:val="false"/>
          <w:bCs w:val="false"/>
          <w:i w:val="false"/>
          <w:iCs w:val="false"/>
          <w:color w:val="444444"/>
          <w:sz w:val="22"/>
          <w:szCs w:val="22"/>
        </w:rPr>
        <w:t xml:space="preserve">The click is itself valuable data. It indicates the user found the deterministic results interesting enough to want more. This is a future paywall insertion point — the gating infrastructure exists from day one, even though the brief is currently free.</w:t>
      </w:r>
    </w:p>
    <w:p>
      <w:pPr>
        <w:pStyle w:val="ListParagraph"/>
        <w:numPr>
          <w:ilvl w:val="0"/>
          <w:numId w:val="2"/>
        </w:numPr>
        <w:spacing w:after="100" w:line="340"/>
      </w:pPr>
      <w:r>
        <w:rPr>
          <w:rFonts w:ascii="Arial" w:cs="Arial" w:eastAsia="Arial" w:hAnsi="Arial"/>
          <w:b/>
          <w:bCs/>
          <w:i w:val="false"/>
          <w:iCs w:val="false"/>
          <w:color w:val="444444"/>
          <w:sz w:val="22"/>
          <w:szCs w:val="22"/>
        </w:rPr>
        <w:t xml:space="preserve">Perceived value: </w:t>
      </w:r>
      <w:r>
        <w:rPr>
          <w:rFonts w:ascii="Arial" w:cs="Arial" w:eastAsia="Arial" w:hAnsi="Arial"/>
          <w:b w:val="false"/>
          <w:bCs w:val="false"/>
          <w:i w:val="false"/>
          <w:iCs w:val="false"/>
          <w:color w:val="444444"/>
          <w:sz w:val="22"/>
          <w:szCs w:val="22"/>
        </w:rPr>
        <w:t xml:space="preserve">Something you actively request feels more substantial than something that appears automatically. The CTA copy (“Generate My Executive Brief →”) frames it as an on-demand deliverable, not a chat response.</w:t>
      </w:r>
    </w:p>
    <w:p>
      <w:pPr>
        <w:pStyle w:val="Heading2"/>
        <w:spacing w:after="160" w:before="280"/>
      </w:pPr>
      <w:r>
        <w:rPr>
          <w:rFonts w:ascii="Arial" w:cs="Arial" w:eastAsia="Arial" w:hAnsi="Arial"/>
          <w:b/>
          <w:bCs/>
          <w:color w:val="1A1A1A"/>
        </w:rPr>
        <w:t xml:space="preserve">Decision 4: Per-IP Rate Limiting with Graceful Degradation</w:t>
      </w:r>
    </w:p>
    <w:p>
      <w:pPr>
        <w:spacing w:after="160" w:line="340"/>
      </w:pPr>
      <w:r>
        <w:rPr>
          <w:rFonts w:ascii="Arial" w:cs="Arial" w:eastAsia="Arial" w:hAnsi="Arial"/>
          <w:b w:val="false"/>
          <w:bCs w:val="false"/>
          <w:i w:val="false"/>
          <w:iCs w:val="false"/>
          <w:color w:val="444444"/>
          <w:sz w:val="22"/>
          <w:szCs w:val="22"/>
        </w:rPr>
        <w:t xml:space="preserve">The proxy implements two layers of rate limiting for brief generation:</w:t>
      </w:r>
    </w:p>
    <w:p>
      <w:pPr>
        <w:pStyle w:val="ListParagraph"/>
        <w:numPr>
          <w:ilvl w:val="0"/>
          <w:numId w:val="2"/>
        </w:numPr>
        <w:spacing w:after="100" w:line="340"/>
      </w:pPr>
      <w:r>
        <w:rPr>
          <w:rFonts w:ascii="Arial" w:cs="Arial" w:eastAsia="Arial" w:hAnsi="Arial"/>
          <w:b/>
          <w:bCs/>
          <w:i w:val="false"/>
          <w:iCs w:val="false"/>
          <w:color w:val="444444"/>
          <w:sz w:val="22"/>
          <w:szCs w:val="22"/>
        </w:rPr>
        <w:t xml:space="preserve">Per-IP daily cap (3 briefs/IP/day): </w:t>
      </w:r>
      <w:r>
        <w:rPr>
          <w:rFonts w:ascii="Arial" w:cs="Arial" w:eastAsia="Arial" w:hAnsi="Arial"/>
          <w:b w:val="false"/>
          <w:bCs w:val="false"/>
          <w:i w:val="false"/>
          <w:iCs w:val="false"/>
          <w:color w:val="444444"/>
          <w:sz w:val="22"/>
          <w:szCs w:val="22"/>
        </w:rPr>
        <w:t xml:space="preserve">Prevents a single user from hammering the endpoint. Uses Cloudflare’s CF-Connecting-IP header and a D1 counter table keyed by IP:YYYY-MM-DD.</w:t>
      </w:r>
    </w:p>
    <w:p>
      <w:pPr>
        <w:pStyle w:val="ListParagraph"/>
        <w:numPr>
          <w:ilvl w:val="0"/>
          <w:numId w:val="2"/>
        </w:numPr>
        <w:spacing w:after="100" w:line="340"/>
      </w:pPr>
      <w:r>
        <w:rPr>
          <w:rFonts w:ascii="Arial" w:cs="Arial" w:eastAsia="Arial" w:hAnsi="Arial"/>
          <w:b/>
          <w:bCs/>
          <w:i w:val="false"/>
          <w:iCs w:val="false"/>
          <w:color w:val="444444"/>
          <w:sz w:val="22"/>
          <w:szCs w:val="22"/>
        </w:rPr>
        <w:t xml:space="preserve">Global daily cap (100 briefs/day): </w:t>
      </w:r>
      <w:r>
        <w:rPr>
          <w:rFonts w:ascii="Arial" w:cs="Arial" w:eastAsia="Arial" w:hAnsi="Arial"/>
          <w:b w:val="false"/>
          <w:bCs w:val="false"/>
          <w:i w:val="false"/>
          <w:iCs w:val="false"/>
          <w:color w:val="444444"/>
          <w:sz w:val="22"/>
          <w:szCs w:val="22"/>
        </w:rPr>
        <w:t xml:space="preserve">Prevents runaway costs from viral traffic. Simple D1 counter keyed by date.</w:t>
      </w:r>
    </w:p>
    <w:p>
      <w:pPr>
        <w:spacing w:after="160" w:line="340"/>
      </w:pPr>
      <w:r>
        <w:rPr>
          <w:rFonts w:ascii="Arial" w:cs="Arial" w:eastAsia="Arial" w:hAnsi="Arial"/>
          <w:b w:val="false"/>
          <w:bCs w:val="false"/>
          <w:i w:val="false"/>
          <w:iCs w:val="false"/>
          <w:color w:val="444444"/>
          <w:sz w:val="22"/>
          <w:szCs w:val="22"/>
        </w:rPr>
        <w:t xml:space="preserve">Critically, both checks are wrapped in try/catch blocks with graceful degradation. If D1 is unavailable or the query fails, the brief still generates. The design philosophy: rate limiting is a cost protection mechanism, not a critical path. It should never prevent a legitimate user from getting their brief because of a database error.</w:t>
      </w:r>
    </w:p>
    <w:p>
      <w:pPr>
        <w:spacing w:after="160" w:line="340"/>
      </w:pPr>
      <w:r>
        <w:rPr>
          <w:rFonts w:ascii="Arial" w:cs="Arial" w:eastAsia="Arial" w:hAnsi="Arial"/>
          <w:b w:val="false"/>
          <w:bCs w:val="false"/>
          <w:i w:val="false"/>
          <w:iCs w:val="false"/>
          <w:color w:val="444444"/>
          <w:sz w:val="22"/>
          <w:szCs w:val="22"/>
        </w:rPr>
        <w:t xml:space="preserve">This is a pattern I would advocate for in any enterprise AI deployment: separate your safety nets from your critical path. A rate limiter that crashes your application is worse than no rate limiter at all.</w:t>
      </w:r>
    </w:p>
    <w:p>
      <w:pPr>
        <w:pStyle w:val="Heading2"/>
        <w:spacing w:after="160" w:before="280"/>
      </w:pPr>
      <w:r>
        <w:rPr>
          <w:rFonts w:ascii="Arial" w:cs="Arial" w:eastAsia="Arial" w:hAnsi="Arial"/>
          <w:b/>
          <w:bCs/>
          <w:color w:val="1A1A1A"/>
        </w:rPr>
        <w:t xml:space="preserve">Decision 5: The Proxy Pattern — Why Not Direct API Calls?</w:t>
      </w:r>
    </w:p>
    <w:p>
      <w:pPr>
        <w:spacing w:after="160" w:line="340"/>
      </w:pPr>
      <w:r>
        <w:rPr>
          <w:rFonts w:ascii="Arial" w:cs="Arial" w:eastAsia="Arial" w:hAnsi="Arial"/>
          <w:b w:val="false"/>
          <w:bCs w:val="false"/>
          <w:i w:val="false"/>
          <w:iCs w:val="false"/>
          <w:color w:val="444444"/>
          <w:sz w:val="22"/>
          <w:szCs w:val="22"/>
        </w:rPr>
        <w:t xml:space="preserve">The client-side JavaScript never touches the Anthropic API directly. Every call goes through a Cloudflare Pages Function at /api-proxy that:</w:t>
      </w:r>
    </w:p>
    <w:p>
      <w:pPr>
        <w:pStyle w:val="ListParagraph"/>
        <w:numPr>
          <w:ilvl w:val="0"/>
          <w:numId w:val="2"/>
        </w:numPr>
        <w:spacing w:after="100" w:line="340"/>
      </w:pPr>
      <w:r>
        <w:rPr>
          <w:rFonts w:ascii="Arial" w:cs="Arial" w:eastAsia="Arial" w:hAnsi="Arial"/>
          <w:b/>
          <w:bCs/>
          <w:i w:val="false"/>
          <w:iCs w:val="false"/>
          <w:color w:val="444444"/>
          <w:sz w:val="22"/>
          <w:szCs w:val="22"/>
        </w:rPr>
        <w:t xml:space="preserve">Secures the API key </w:t>
      </w:r>
      <w:r>
        <w:rPr>
          <w:rFonts w:ascii="Arial" w:cs="Arial" w:eastAsia="Arial" w:hAnsi="Arial"/>
          <w:b w:val="false"/>
          <w:bCs w:val="false"/>
          <w:i w:val="false"/>
          <w:iCs w:val="false"/>
          <w:color w:val="444444"/>
          <w:sz w:val="22"/>
          <w:szCs w:val="22"/>
        </w:rPr>
        <w:t xml:space="preserve">— stored as an encrypted environment variable in Cloudflare, never in client code or version control</w:t>
      </w:r>
    </w:p>
    <w:p>
      <w:pPr>
        <w:pStyle w:val="ListParagraph"/>
        <w:numPr>
          <w:ilvl w:val="0"/>
          <w:numId w:val="2"/>
        </w:numPr>
        <w:spacing w:after="100" w:line="340"/>
      </w:pPr>
      <w:r>
        <w:rPr>
          <w:rFonts w:ascii="Arial" w:cs="Arial" w:eastAsia="Arial" w:hAnsi="Arial"/>
          <w:b/>
          <w:bCs/>
          <w:i w:val="false"/>
          <w:iCs w:val="false"/>
          <w:color w:val="444444"/>
          <w:sz w:val="22"/>
          <w:szCs w:val="22"/>
        </w:rPr>
        <w:t xml:space="preserve">Validates request origin </w:t>
      </w:r>
      <w:r>
        <w:rPr>
          <w:rFonts w:ascii="Arial" w:cs="Arial" w:eastAsia="Arial" w:hAnsi="Arial"/>
          <w:b w:val="false"/>
          <w:bCs w:val="false"/>
          <w:i w:val="false"/>
          <w:iCs w:val="false"/>
          <w:color w:val="444444"/>
          <w:sz w:val="22"/>
          <w:szCs w:val="22"/>
        </w:rPr>
        <w:t xml:space="preserve">— only accepts requests from nickjewell.ai and localhost</w:t>
      </w:r>
    </w:p>
    <w:p>
      <w:pPr>
        <w:pStyle w:val="ListParagraph"/>
        <w:numPr>
          <w:ilvl w:val="0"/>
          <w:numId w:val="2"/>
        </w:numPr>
        <w:spacing w:after="100" w:line="340"/>
      </w:pPr>
      <w:r>
        <w:rPr>
          <w:rFonts w:ascii="Arial" w:cs="Arial" w:eastAsia="Arial" w:hAnsi="Arial"/>
          <w:b/>
          <w:bCs/>
          <w:i w:val="false"/>
          <w:iCs w:val="false"/>
          <w:color w:val="444444"/>
          <w:sz w:val="22"/>
          <w:szCs w:val="22"/>
        </w:rPr>
        <w:t xml:space="preserve">Routes by type </w:t>
      </w:r>
      <w:r>
        <w:rPr>
          <w:rFonts w:ascii="Arial" w:cs="Arial" w:eastAsia="Arial" w:hAnsi="Arial"/>
          <w:b w:val="false"/>
          <w:bCs w:val="false"/>
          <w:i w:val="false"/>
          <w:iCs w:val="false"/>
          <w:color w:val="444444"/>
          <w:sz w:val="22"/>
          <w:szCs w:val="22"/>
        </w:rPr>
        <w:t xml:space="preserve">— assessment calls pass through directly; brief calls hit the rate limiter first</w:t>
      </w:r>
    </w:p>
    <w:p>
      <w:pPr>
        <w:pStyle w:val="ListParagraph"/>
        <w:numPr>
          <w:ilvl w:val="0"/>
          <w:numId w:val="2"/>
        </w:numPr>
        <w:spacing w:after="100" w:line="340"/>
      </w:pPr>
      <w:r>
        <w:rPr>
          <w:rFonts w:ascii="Arial" w:cs="Arial" w:eastAsia="Arial" w:hAnsi="Arial"/>
          <w:b/>
          <w:bCs/>
          <w:i w:val="false"/>
          <w:iCs w:val="false"/>
          <w:color w:val="444444"/>
          <w:sz w:val="22"/>
          <w:szCs w:val="22"/>
        </w:rPr>
        <w:t xml:space="preserve">Strips internal metadata </w:t>
      </w:r>
      <w:r>
        <w:rPr>
          <w:rFonts w:ascii="Arial" w:cs="Arial" w:eastAsia="Arial" w:hAnsi="Arial"/>
          <w:b w:val="false"/>
          <w:bCs w:val="false"/>
          <w:i w:val="false"/>
          <w:iCs w:val="false"/>
          <w:color w:val="444444"/>
          <w:sz w:val="22"/>
          <w:szCs w:val="22"/>
        </w:rPr>
        <w:t xml:space="preserve">— the “type” field (assessment vs. brief) is removed before forwarding to Anthropic</w:t>
      </w:r>
    </w:p>
    <w:p>
      <w:pPr>
        <w:spacing w:after="160" w:line="340"/>
      </w:pPr>
      <w:r>
        <w:rPr>
          <w:rFonts w:ascii="Arial" w:cs="Arial" w:eastAsia="Arial" w:hAnsi="Arial"/>
          <w:b w:val="false"/>
          <w:bCs w:val="false"/>
          <w:i w:val="false"/>
          <w:iCs w:val="false"/>
          <w:color w:val="444444"/>
          <w:sz w:val="22"/>
          <w:szCs w:val="22"/>
        </w:rPr>
        <w:t xml:space="preserve">This is the minimum viable security architecture for any client-side AI application. It’s also infinitely extensible — adding authentication, logging, A/B testing of prompts, or cost tracking requires changes to one file, not the entire frontend.</w:t>
      </w:r>
    </w:p>
    <w:p>
      <w:r>
        <w:br w:type="page"/>
      </w:r>
    </w:p>
    <w:p>
      <w:pPr>
        <w:pStyle w:val="Heading1"/>
        <w:spacing w:after="200" w:before="360"/>
      </w:pPr>
      <w:r>
        <w:rPr>
          <w:rFonts w:ascii="Arial" w:cs="Arial" w:eastAsia="Arial" w:hAnsi="Arial"/>
          <w:b/>
          <w:bCs/>
          <w:color w:val="1A1A1A"/>
        </w:rPr>
        <w:t xml:space="preserve">Prompt Engineering Decisions</w:t>
      </w:r>
    </w:p>
    <w:p>
      <w:pPr>
        <w:pStyle w:val="Heading2"/>
        <w:spacing w:after="160" w:before="280"/>
      </w:pPr>
      <w:r>
        <w:rPr>
          <w:rFonts w:ascii="Arial" w:cs="Arial" w:eastAsia="Arial" w:hAnsi="Arial"/>
          <w:b/>
          <w:bCs/>
          <w:color w:val="1A1A1A"/>
        </w:rPr>
        <w:t xml:space="preserve">Taste Free-Text Analysis Prompt</w:t>
      </w:r>
    </w:p>
    <w:p>
      <w:pPr>
        <w:spacing w:after="160" w:line="340"/>
      </w:pPr>
      <w:r>
        <w:rPr>
          <w:rFonts w:ascii="Arial" w:cs="Arial" w:eastAsia="Arial" w:hAnsi="Arial"/>
          <w:b w:val="false"/>
          <w:bCs w:val="false"/>
          <w:i w:val="false"/>
          <w:iCs w:val="false"/>
          <w:color w:val="444444"/>
          <w:sz w:val="22"/>
          <w:szCs w:val="22"/>
        </w:rPr>
        <w:t xml:space="preserve">The system prompt for analyzing optional Taste reasoning is designed as a structured classification task:</w:t>
      </w:r>
    </w:p>
    <w:p>
      <w:pPr>
        <w:spacing w:after="160" w:line="340"/>
      </w:pPr>
      <w:r>
        <w:rPr>
          <w:rFonts w:ascii="Arial" w:cs="Arial" w:eastAsia="Arial" w:hAnsi="Arial"/>
          <w:b w:val="false"/>
          <w:bCs w:val="false"/>
          <w:i/>
          <w:iCs/>
          <w:color w:val="444444"/>
          <w:sz w:val="22"/>
          <w:szCs w:val="22"/>
        </w:rPr>
        <w:t xml:space="preserve">"Analyze their reasoning for: Frame Recognition (do they question assumptions?), Kill Discipline (do they show willingness to stop?), Edge-Case Instinct (do they think about what could go wrong?). Respond with ONLY a JSON object: {"fr": 0, "kd": 0, "ec": 0} with values of -1, 0, or +1."</w:t>
      </w:r>
    </w:p>
    <w:p>
      <w:pPr>
        <w:spacing w:after="160" w:line="340"/>
      </w:pPr>
      <w:r>
        <w:rPr>
          <w:rFonts w:ascii="Arial" w:cs="Arial" w:eastAsia="Arial" w:hAnsi="Arial"/>
          <w:b w:val="false"/>
          <w:bCs w:val="false"/>
          <w:i w:val="false"/>
          <w:iCs w:val="false"/>
          <w:color w:val="444444"/>
          <w:sz w:val="22"/>
          <w:szCs w:val="22"/>
        </w:rPr>
        <w:t xml:space="preserve">Key design choices:</w:t>
      </w:r>
    </w:p>
    <w:p>
      <w:pPr>
        <w:pStyle w:val="ListParagraph"/>
        <w:numPr>
          <w:ilvl w:val="0"/>
          <w:numId w:val="2"/>
        </w:numPr>
        <w:spacing w:after="100" w:line="340"/>
      </w:pPr>
      <w:r>
        <w:rPr>
          <w:rFonts w:ascii="Arial" w:cs="Arial" w:eastAsia="Arial" w:hAnsi="Arial"/>
          <w:b/>
          <w:bCs/>
          <w:i w:val="false"/>
          <w:iCs w:val="false"/>
          <w:color w:val="444444"/>
          <w:sz w:val="22"/>
          <w:szCs w:val="22"/>
        </w:rPr>
        <w:t xml:space="preserve">Constrained output: </w:t>
      </w:r>
      <w:r>
        <w:rPr>
          <w:rFonts w:ascii="Arial" w:cs="Arial" w:eastAsia="Arial" w:hAnsi="Arial"/>
          <w:b w:val="false"/>
          <w:bCs w:val="false"/>
          <w:i w:val="false"/>
          <w:iCs w:val="false"/>
          <w:color w:val="444444"/>
          <w:sz w:val="22"/>
          <w:szCs w:val="22"/>
        </w:rPr>
        <w:t xml:space="preserve">JSON-only response with exactly three integer fields. This eliminates parsing ambiguity and makes the output deterministic in structure even if the analysis is probabilistic.</w:t>
      </w:r>
    </w:p>
    <w:p>
      <w:pPr>
        <w:pStyle w:val="ListParagraph"/>
        <w:numPr>
          <w:ilvl w:val="0"/>
          <w:numId w:val="2"/>
        </w:numPr>
        <w:spacing w:after="100" w:line="340"/>
      </w:pPr>
      <w:r>
        <w:rPr>
          <w:rFonts w:ascii="Arial" w:cs="Arial" w:eastAsia="Arial" w:hAnsi="Arial"/>
          <w:b/>
          <w:bCs/>
          <w:i w:val="false"/>
          <w:iCs w:val="false"/>
          <w:color w:val="444444"/>
          <w:sz w:val="22"/>
          <w:szCs w:val="22"/>
        </w:rPr>
        <w:t xml:space="preserve">Bounded adjustments: </w:t>
      </w:r>
      <w:r>
        <w:rPr>
          <w:rFonts w:ascii="Arial" w:cs="Arial" w:eastAsia="Arial" w:hAnsi="Arial"/>
          <w:b w:val="false"/>
          <w:bCs w:val="false"/>
          <w:i w:val="false"/>
          <w:iCs w:val="false"/>
          <w:color w:val="444444"/>
          <w:sz w:val="22"/>
          <w:szCs w:val="22"/>
        </w:rPr>
        <w:t xml:space="preserve">±1 per dimension, not larger. Free-text analysis should refine scores, not dominate them. The multiple-choice reasoning options carry ±1-2 points; the API analysis is a tiebreaker, not a replacement.</w:t>
      </w:r>
    </w:p>
    <w:p>
      <w:pPr>
        <w:pStyle w:val="ListParagraph"/>
        <w:numPr>
          <w:ilvl w:val="0"/>
          <w:numId w:val="2"/>
        </w:numPr>
        <w:spacing w:after="100" w:line="340"/>
      </w:pPr>
      <w:r>
        <w:rPr>
          <w:rFonts w:ascii="Arial" w:cs="Arial" w:eastAsia="Arial" w:hAnsi="Arial"/>
          <w:b/>
          <w:bCs/>
          <w:i w:val="false"/>
          <w:iCs w:val="false"/>
          <w:color w:val="444444"/>
          <w:sz w:val="22"/>
          <w:szCs w:val="22"/>
        </w:rPr>
        <w:t xml:space="preserve">Dimension-aligned evaluation: </w:t>
      </w:r>
      <w:r>
        <w:rPr>
          <w:rFonts w:ascii="Arial" w:cs="Arial" w:eastAsia="Arial" w:hAnsi="Arial"/>
          <w:b w:val="false"/>
          <w:bCs w:val="false"/>
          <w:i w:val="false"/>
          <w:iCs w:val="false"/>
          <w:color w:val="444444"/>
          <w:sz w:val="22"/>
          <w:szCs w:val="22"/>
        </w:rPr>
        <w:t xml:space="preserve">The prompt mirrors the assessment’s own Taste framework. The API doesn’t invent new criteria — it evaluates against the same three dimensions.</w:t>
      </w:r>
    </w:p>
    <w:p>
      <w:pPr>
        <w:pStyle w:val="Heading2"/>
        <w:spacing w:after="160" w:before="280"/>
      </w:pPr>
      <w:r>
        <w:rPr>
          <w:rFonts w:ascii="Arial" w:cs="Arial" w:eastAsia="Arial" w:hAnsi="Arial"/>
          <w:b/>
          <w:bCs/>
          <w:color w:val="1A1A1A"/>
        </w:rPr>
        <w:t xml:space="preserve">Executive Brief System Prompt</w:t>
      </w:r>
    </w:p>
    <w:p>
      <w:pPr>
        <w:spacing w:after="160" w:line="340"/>
      </w:pPr>
      <w:r>
        <w:rPr>
          <w:rFonts w:ascii="Arial" w:cs="Arial" w:eastAsia="Arial" w:hAnsi="Arial"/>
          <w:b w:val="false"/>
          <w:bCs w:val="false"/>
          <w:i w:val="false"/>
          <w:iCs w:val="false"/>
          <w:color w:val="444444"/>
          <w:sz w:val="22"/>
          <w:szCs w:val="22"/>
        </w:rPr>
        <w:t xml:space="preserve">The brief’s system prompt is the most carefully engineered piece. Key decisions:</w:t>
      </w:r>
    </w:p>
    <w:p>
      <w:pPr>
        <w:pStyle w:val="ListParagraph"/>
        <w:numPr>
          <w:ilvl w:val="0"/>
          <w:numId w:val="2"/>
        </w:numPr>
        <w:spacing w:after="100" w:line="340"/>
      </w:pPr>
      <w:r>
        <w:rPr>
          <w:rFonts w:ascii="Arial" w:cs="Arial" w:eastAsia="Arial" w:hAnsi="Arial"/>
          <w:b/>
          <w:bCs/>
          <w:i w:val="false"/>
          <w:iCs w:val="false"/>
          <w:color w:val="444444"/>
          <w:sz w:val="22"/>
          <w:szCs w:val="22"/>
        </w:rPr>
        <w:t xml:space="preserve">Voice: </w:t>
      </w:r>
      <w:r>
        <w:rPr>
          <w:rFonts w:ascii="Arial" w:cs="Arial" w:eastAsia="Arial" w:hAnsi="Arial"/>
          <w:b w:val="false"/>
          <w:bCs w:val="false"/>
          <w:i w:val="false"/>
          <w:iCs w:val="false"/>
          <w:color w:val="444444"/>
          <w:sz w:val="22"/>
          <w:szCs w:val="22"/>
        </w:rPr>
        <w:t xml:space="preserve">"Write in first-person plural (‘we’) as if you are the assessment delivering findings." This creates the persona of a diagnostic instrument speaking, not a chatbot offering opinions. It’s the difference between “I think your data is messy” and “We identified Foundation as your binding constraint.”</w:t>
      </w:r>
    </w:p>
    <w:p>
      <w:pPr>
        <w:pStyle w:val="ListParagraph"/>
        <w:numPr>
          <w:ilvl w:val="0"/>
          <w:numId w:val="2"/>
        </w:numPr>
        <w:spacing w:after="100" w:line="340"/>
      </w:pPr>
      <w:r>
        <w:rPr>
          <w:rFonts w:ascii="Arial" w:cs="Arial" w:eastAsia="Arial" w:hAnsi="Arial"/>
          <w:b/>
          <w:bCs/>
          <w:i w:val="false"/>
          <w:iCs w:val="false"/>
          <w:color w:val="444444"/>
          <w:sz w:val="22"/>
          <w:szCs w:val="22"/>
        </w:rPr>
        <w:t xml:space="preserve">Tone calibration: </w:t>
      </w:r>
      <w:r>
        <w:rPr>
          <w:rFonts w:ascii="Arial" w:cs="Arial" w:eastAsia="Arial" w:hAnsi="Arial"/>
          <w:b w:val="false"/>
          <w:bCs w:val="false"/>
          <w:i w:val="false"/>
          <w:iCs w:val="false"/>
          <w:color w:val="444444"/>
          <w:sz w:val="22"/>
          <w:szCs w:val="22"/>
        </w:rPr>
        <w:t xml:space="preserve">"Like a $500/hour consultant who respects the reader’s time." This single sentence does more work than a paragraph of instructions. It establishes authority, brevity, and directness simultaneously.</w:t>
      </w:r>
    </w:p>
    <w:p>
      <w:pPr>
        <w:pStyle w:val="ListParagraph"/>
        <w:numPr>
          <w:ilvl w:val="0"/>
          <w:numId w:val="2"/>
        </w:numPr>
        <w:spacing w:after="100" w:line="340"/>
      </w:pPr>
      <w:r>
        <w:rPr>
          <w:rFonts w:ascii="Arial" w:cs="Arial" w:eastAsia="Arial" w:hAnsi="Arial"/>
          <w:b/>
          <w:bCs/>
          <w:i w:val="false"/>
          <w:iCs w:val="false"/>
          <w:color w:val="444444"/>
          <w:sz w:val="22"/>
          <w:szCs w:val="22"/>
        </w:rPr>
        <w:t xml:space="preserve">Mandatory structure: </w:t>
      </w:r>
      <w:r>
        <w:rPr>
          <w:rFonts w:ascii="Arial" w:cs="Arial" w:eastAsia="Arial" w:hAnsi="Arial"/>
          <w:b w:val="false"/>
          <w:bCs w:val="false"/>
          <w:i w:val="false"/>
          <w:iCs w:val="false"/>
          <w:color w:val="444444"/>
          <w:sz w:val="22"/>
          <w:szCs w:val="22"/>
        </w:rPr>
        <w:t xml:space="preserve">Five sections with markdown headers (Verdict Context, The Real Story, Taste Read, The Binding Constraint, What To Do Monday). This ensures visual consistency across briefs while allowing fully personalized content within each section.</w:t>
      </w:r>
    </w:p>
    <w:p>
      <w:pPr>
        <w:pStyle w:val="ListParagraph"/>
        <w:numPr>
          <w:ilvl w:val="0"/>
          <w:numId w:val="2"/>
        </w:numPr>
        <w:spacing w:after="100" w:line="340"/>
      </w:pPr>
      <w:r>
        <w:rPr>
          <w:rFonts w:ascii="Arial" w:cs="Arial" w:eastAsia="Arial" w:hAnsi="Arial"/>
          <w:b/>
          <w:bCs/>
          <w:i w:val="false"/>
          <w:iCs w:val="false"/>
          <w:color w:val="444444"/>
          <w:sz w:val="22"/>
          <w:szCs w:val="22"/>
        </w:rPr>
        <w:t xml:space="preserve">Specificity instruction: </w:t>
      </w:r>
      <w:r>
        <w:rPr>
          <w:rFonts w:ascii="Arial" w:cs="Arial" w:eastAsia="Arial" w:hAnsi="Arial"/>
          <w:b w:val="false"/>
          <w:bCs w:val="false"/>
          <w:i w:val="false"/>
          <w:iCs w:val="false"/>
          <w:color w:val="444444"/>
          <w:sz w:val="22"/>
          <w:szCs w:val="22"/>
        </w:rPr>
        <w:t xml:space="preserve">"Reference specific answers where revealing" and "Not generic advice — actions that connect to their actual answers." These are anti-template instructions. Without them, LLMs default to generic consulting language. With them, the brief names specific scenarios, quotes answer patterns, and produces actions tied to the user’s industry.</w:t>
      </w:r>
    </w:p>
    <w:p>
      <w:pPr>
        <w:pStyle w:val="ListParagraph"/>
        <w:numPr>
          <w:ilvl w:val="0"/>
          <w:numId w:val="2"/>
        </w:numPr>
        <w:spacing w:after="100" w:line="340"/>
      </w:pPr>
      <w:r>
        <w:rPr>
          <w:rFonts w:ascii="Arial" w:cs="Arial" w:eastAsia="Arial" w:hAnsi="Arial"/>
          <w:b/>
          <w:bCs/>
          <w:i w:val="false"/>
          <w:iCs w:val="false"/>
          <w:color w:val="444444"/>
          <w:sz w:val="22"/>
          <w:szCs w:val="22"/>
        </w:rPr>
        <w:t xml:space="preserve">Context assembly: </w:t>
      </w:r>
      <w:r>
        <w:rPr>
          <w:rFonts w:ascii="Arial" w:cs="Arial" w:eastAsia="Arial" w:hAnsi="Arial"/>
          <w:b w:val="false"/>
          <w:bCs w:val="false"/>
          <w:i w:val="false"/>
          <w:iCs w:val="false"/>
          <w:color w:val="444444"/>
          <w:sz w:val="22"/>
          <w:szCs w:val="22"/>
        </w:rPr>
        <w:t xml:space="preserve">The user message includes ALL session data — Tier 1 context (industry, role, maturity stage), every question with selected answer text, all layer scores, Taste dimensional scores, binding constraint, CU2 free-text analysis, and reasoning selections. This is ~800-1200 tokens of structured context that enables the specificity instruction to actually work.</w:t>
      </w:r>
    </w:p>
    <w:p>
      <w:r>
        <w:br w:type="page"/>
      </w:r>
    </w:p>
    <w:p>
      <w:pPr>
        <w:pStyle w:val="Heading1"/>
        <w:spacing w:after="200" w:before="360"/>
      </w:pPr>
      <w:r>
        <w:rPr>
          <w:rFonts w:ascii="Arial" w:cs="Arial" w:eastAsia="Arial" w:hAnsi="Arial"/>
          <w:b/>
          <w:bCs/>
          <w:color w:val="1A1A1A"/>
        </w:rPr>
        <w:t xml:space="preserve">Operational &amp; Infrastructure Decisions</w:t>
      </w:r>
    </w:p>
    <w:p>
      <w:pPr>
        <w:pStyle w:val="Heading2"/>
        <w:spacing w:after="160" w:before="280"/>
      </w:pPr>
      <w:r>
        <w:rPr>
          <w:rFonts w:ascii="Arial" w:cs="Arial" w:eastAsia="Arial" w:hAnsi="Arial"/>
          <w:b/>
          <w:bCs/>
          <w:color w:val="1A1A1A"/>
        </w:rPr>
        <w:t xml:space="preserve">Zero-Backend Architecture Preserved</w:t>
      </w:r>
    </w:p>
    <w:p>
      <w:pPr>
        <w:spacing w:after="160" w:line="340"/>
      </w:pPr>
      <w:r>
        <w:rPr>
          <w:rFonts w:ascii="Arial" w:cs="Arial" w:eastAsia="Arial" w:hAnsi="Arial"/>
          <w:b w:val="false"/>
          <w:bCs w:val="false"/>
          <w:i w:val="false"/>
          <w:iCs w:val="false"/>
          <w:color w:val="444444"/>
          <w:sz w:val="22"/>
          <w:szCs w:val="22"/>
        </w:rPr>
        <w:t xml:space="preserve">A critical constraint throughout Milestone 3 was preserving the site’s zero-backend architecture. The assessment runs entirely client-side. There is no server, no database for user sessions, no authentication system. The only server-side component is the Cloudflare Pages Function — a stateless proxy that forwards requests and checks rate limits.</w:t>
      </w:r>
    </w:p>
    <w:p>
      <w:pPr>
        <w:spacing w:after="160" w:line="340"/>
      </w:pPr>
      <w:r>
        <w:rPr>
          <w:rFonts w:ascii="Arial" w:cs="Arial" w:eastAsia="Arial" w:hAnsi="Arial"/>
          <w:b w:val="false"/>
          <w:bCs w:val="false"/>
          <w:i w:val="false"/>
          <w:iCs w:val="false"/>
          <w:color w:val="444444"/>
          <w:sz w:val="22"/>
          <w:szCs w:val="22"/>
        </w:rPr>
        <w:t xml:space="preserve">This constraint was deliberate:</w:t>
      </w:r>
    </w:p>
    <w:p>
      <w:pPr>
        <w:pStyle w:val="ListParagraph"/>
        <w:numPr>
          <w:ilvl w:val="0"/>
          <w:numId w:val="2"/>
        </w:numPr>
        <w:spacing w:after="100" w:line="340"/>
      </w:pPr>
      <w:r>
        <w:rPr>
          <w:rFonts w:ascii="Arial" w:cs="Arial" w:eastAsia="Arial" w:hAnsi="Arial"/>
          <w:b/>
          <w:bCs/>
          <w:i w:val="false"/>
          <w:iCs w:val="false"/>
          <w:color w:val="444444"/>
          <w:sz w:val="22"/>
          <w:szCs w:val="22"/>
        </w:rPr>
        <w:t xml:space="preserve">No PII storage: </w:t>
      </w:r>
      <w:r>
        <w:rPr>
          <w:rFonts w:ascii="Arial" w:cs="Arial" w:eastAsia="Arial" w:hAnsi="Arial"/>
          <w:b w:val="false"/>
          <w:bCs w:val="false"/>
          <w:i w:val="false"/>
          <w:iCs w:val="false"/>
          <w:color w:val="444444"/>
          <w:sz w:val="22"/>
          <w:szCs w:val="22"/>
        </w:rPr>
        <w:t xml:space="preserve">Assessment responses exist only in browser memory. When the user closes the tab, the data is gone. This eliminates an entire category of compliance requirements (GDPR, CCPA, SOC2 data handling) that would otherwise require legal review and infrastructure investment.</w:t>
      </w:r>
    </w:p>
    <w:p>
      <w:pPr>
        <w:pStyle w:val="ListParagraph"/>
        <w:numPr>
          <w:ilvl w:val="0"/>
          <w:numId w:val="2"/>
        </w:numPr>
        <w:spacing w:after="100" w:line="340"/>
      </w:pPr>
      <w:r>
        <w:rPr>
          <w:rFonts w:ascii="Arial" w:cs="Arial" w:eastAsia="Arial" w:hAnsi="Arial"/>
          <w:b/>
          <w:bCs/>
          <w:i w:val="false"/>
          <w:iCs w:val="false"/>
          <w:color w:val="444444"/>
          <w:sz w:val="22"/>
          <w:szCs w:val="22"/>
        </w:rPr>
        <w:t xml:space="preserve">Zero ops burden: </w:t>
      </w:r>
      <w:r>
        <w:rPr>
          <w:rFonts w:ascii="Arial" w:cs="Arial" w:eastAsia="Arial" w:hAnsi="Arial"/>
          <w:b w:val="false"/>
          <w:bCs w:val="false"/>
          <w:i w:val="false"/>
          <w:iCs w:val="false"/>
          <w:color w:val="444444"/>
          <w:sz w:val="22"/>
          <w:szCs w:val="22"/>
        </w:rPr>
        <w:t xml:space="preserve">No servers to monitor, no databases to back up (D1 stores only integer counters, not user data), no uptime SLAs to manage. The site is a CDN-served static asset with an edge function.</w:t>
      </w:r>
    </w:p>
    <w:p>
      <w:pPr>
        <w:pStyle w:val="ListParagraph"/>
        <w:numPr>
          <w:ilvl w:val="0"/>
          <w:numId w:val="2"/>
        </w:numPr>
        <w:spacing w:after="100" w:line="340"/>
      </w:pPr>
      <w:r>
        <w:rPr>
          <w:rFonts w:ascii="Arial" w:cs="Arial" w:eastAsia="Arial" w:hAnsi="Arial"/>
          <w:b/>
          <w:bCs/>
          <w:i w:val="false"/>
          <w:iCs w:val="false"/>
          <w:color w:val="444444"/>
          <w:sz w:val="22"/>
          <w:szCs w:val="22"/>
        </w:rPr>
        <w:t xml:space="preserve">Cost predictability: </w:t>
      </w:r>
      <w:r>
        <w:rPr>
          <w:rFonts w:ascii="Arial" w:cs="Arial" w:eastAsia="Arial" w:hAnsi="Arial"/>
          <w:b w:val="false"/>
          <w:bCs w:val="false"/>
          <w:i w:val="false"/>
          <w:iCs w:val="false"/>
          <w:color w:val="444444"/>
          <w:sz w:val="22"/>
          <w:szCs w:val="22"/>
        </w:rPr>
        <w:t xml:space="preserve">Hosting costs are $0 (Cloudflare free tier). The only variable cost is Anthropic API usage, which is gated and capped.</w:t>
      </w:r>
    </w:p>
    <w:p>
      <w:pPr>
        <w:pStyle w:val="Heading2"/>
        <w:spacing w:after="160" w:before="280"/>
      </w:pPr>
      <w:r>
        <w:rPr>
          <w:rFonts w:ascii="Arial" w:cs="Arial" w:eastAsia="Arial" w:hAnsi="Arial"/>
          <w:b/>
          <w:bCs/>
          <w:color w:val="1A1A1A"/>
        </w:rPr>
        <w:t xml:space="preserve">D1 for Rate Limiting — Not User Data</w:t>
      </w:r>
    </w:p>
    <w:p>
      <w:pPr>
        <w:spacing w:after="160" w:line="340"/>
      </w:pPr>
      <w:r>
        <w:rPr>
          <w:rFonts w:ascii="Arial" w:cs="Arial" w:eastAsia="Arial" w:hAnsi="Arial"/>
          <w:b w:val="false"/>
          <w:bCs w:val="false"/>
          <w:i w:val="false"/>
          <w:iCs w:val="false"/>
          <w:color w:val="444444"/>
          <w:sz w:val="22"/>
          <w:szCs w:val="22"/>
        </w:rPr>
        <w:t xml:space="preserve">Cloudflare D1 (SQLite at the edge) is used exclusively for rate-limiting counters. Two tables:</w:t>
      </w:r>
    </w:p>
    <w:p>
      <w:pPr>
        <w:pStyle w:val="ListParagraph"/>
        <w:numPr>
          <w:ilvl w:val="0"/>
          <w:numId w:val="2"/>
        </w:numPr>
        <w:spacing w:after="100" w:line="340"/>
      </w:pPr>
      <w:r>
        <w:rPr>
          <w:rFonts w:ascii="Arial" w:cs="Arial" w:eastAsia="Arial" w:hAnsi="Arial"/>
          <w:b/>
          <w:bCs/>
          <w:i w:val="false"/>
          <w:iCs w:val="false"/>
          <w:color w:val="444444"/>
          <w:sz w:val="22"/>
          <w:szCs w:val="22"/>
        </w:rPr>
        <w:t xml:space="preserve">brief_counter: </w:t>
      </w:r>
      <w:r>
        <w:rPr>
          <w:rFonts w:ascii="Arial" w:cs="Arial" w:eastAsia="Arial" w:hAnsi="Arial"/>
          <w:b w:val="false"/>
          <w:bCs w:val="false"/>
          <w:i w:val="false"/>
          <w:iCs w:val="false"/>
          <w:color w:val="444444"/>
          <w:sz w:val="22"/>
          <w:szCs w:val="22"/>
        </w:rPr>
        <w:t xml:space="preserve">date (TEXT PK) + count (INTEGER). One row per day. Tracks global brief generation volume.</w:t>
      </w:r>
    </w:p>
    <w:p>
      <w:pPr>
        <w:pStyle w:val="ListParagraph"/>
        <w:numPr>
          <w:ilvl w:val="0"/>
          <w:numId w:val="2"/>
        </w:numPr>
        <w:spacing w:after="100" w:line="340"/>
      </w:pPr>
      <w:r>
        <w:rPr>
          <w:rFonts w:ascii="Arial" w:cs="Arial" w:eastAsia="Arial" w:hAnsi="Arial"/>
          <w:b/>
          <w:bCs/>
          <w:i w:val="false"/>
          <w:iCs w:val="false"/>
          <w:color w:val="444444"/>
          <w:sz w:val="22"/>
          <w:szCs w:val="22"/>
        </w:rPr>
        <w:t xml:space="preserve">brief_ip_counter: </w:t>
      </w:r>
      <w:r>
        <w:rPr>
          <w:rFonts w:ascii="Arial" w:cs="Arial" w:eastAsia="Arial" w:hAnsi="Arial"/>
          <w:b w:val="false"/>
          <w:bCs w:val="false"/>
          <w:i w:val="false"/>
          <w:iCs w:val="false"/>
          <w:color w:val="444444"/>
          <w:sz w:val="22"/>
          <w:szCs w:val="22"/>
        </w:rPr>
        <w:t xml:space="preserve">ip_date (TEXT PK, format “IP:YYYY-MM-DD”) + count (INTEGER). One row per IP per day. Tracks per-user brief generation.</w:t>
      </w:r>
    </w:p>
    <w:p>
      <w:pPr>
        <w:spacing w:after="160" w:line="340"/>
      </w:pPr>
      <w:r>
        <w:rPr>
          <w:rFonts w:ascii="Arial" w:cs="Arial" w:eastAsia="Arial" w:hAnsi="Arial"/>
          <w:b w:val="false"/>
          <w:bCs w:val="false"/>
          <w:i w:val="false"/>
          <w:iCs w:val="false"/>
          <w:color w:val="444444"/>
          <w:sz w:val="22"/>
          <w:szCs w:val="22"/>
        </w:rPr>
        <w:t xml:space="preserve">Both tables reset naturally — new days create new rows. No cleanup jobs, no TTLs, no maintenance. The "IP:date" composite key pattern eliminates the need for compound indexes or multi-column queries.</w:t>
      </w:r>
    </w:p>
    <w:p>
      <w:pPr>
        <w:pStyle w:val="Heading2"/>
        <w:spacing w:after="160" w:before="280"/>
      </w:pPr>
      <w:r>
        <w:rPr>
          <w:rFonts w:ascii="Arial" w:cs="Arial" w:eastAsia="Arial" w:hAnsi="Arial"/>
          <w:b/>
          <w:bCs/>
          <w:color w:val="1A1A1A"/>
        </w:rPr>
        <w:t xml:space="preserve">Deterministic Fallback as First Principle</w:t>
      </w:r>
    </w:p>
    <w:p>
      <w:pPr>
        <w:spacing w:after="160" w:line="340"/>
      </w:pPr>
      <w:r>
        <w:rPr>
          <w:rFonts w:ascii="Arial" w:cs="Arial" w:eastAsia="Arial" w:hAnsi="Arial"/>
          <w:b w:val="false"/>
          <w:bCs w:val="false"/>
          <w:i w:val="false"/>
          <w:iCs w:val="false"/>
          <w:color w:val="444444"/>
          <w:sz w:val="22"/>
          <w:szCs w:val="22"/>
        </w:rPr>
        <w:t xml:space="preserve">Every API-enhanced feature was built with an explicit fallback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DDDDD" w:sz="1"/>
              <w:left w:val="single" w:color="DDDDDD" w:sz="1"/>
              <w:bottom w:val="single" w:color="DDDDDD" w:sz="1"/>
              <w:right w:val="single" w:color="DDDDDD" w:sz="1"/>
            </w:tcBorders>
            <w:shd w:fill="F0E6D6" w:val="clear"/>
            <w:tcMar>
              <w:top w:type="dxa" w:w="80"/>
              <w:left w:type="dxa" w:w="120"/>
              <w:bottom w:type="dxa" w:w="80"/>
              <w:right w:type="dxa" w:w="120"/>
            </w:tcMar>
          </w:tcPr>
          <w:p>
            <w:r>
              <w:rPr>
                <w:rFonts w:ascii="Arial" w:cs="Arial" w:eastAsia="Arial" w:hAnsi="Arial"/>
                <w:b/>
                <w:bCs/>
                <w:color w:val="1A1A1A"/>
                <w:sz w:val="20"/>
                <w:szCs w:val="20"/>
              </w:rPr>
              <w:t xml:space="preserve">Feature</w:t>
            </w:r>
          </w:p>
        </w:tc>
        <w:tc>
          <w:tcPr>
            <w:tcW w:type="dxa" w:w="3280"/>
            <w:tcBorders>
              <w:top w:val="single" w:color="DDDDDD" w:sz="1"/>
              <w:left w:val="single" w:color="DDDDDD" w:sz="1"/>
              <w:bottom w:val="single" w:color="DDDDDD" w:sz="1"/>
              <w:right w:val="single" w:color="DDDDDD" w:sz="1"/>
            </w:tcBorders>
            <w:shd w:fill="F0E6D6" w:val="clear"/>
            <w:tcMar>
              <w:top w:type="dxa" w:w="80"/>
              <w:left w:type="dxa" w:w="120"/>
              <w:bottom w:type="dxa" w:w="80"/>
              <w:right w:type="dxa" w:w="120"/>
            </w:tcMar>
          </w:tcPr>
          <w:p>
            <w:r>
              <w:rPr>
                <w:rFonts w:ascii="Arial" w:cs="Arial" w:eastAsia="Arial" w:hAnsi="Arial"/>
                <w:b/>
                <w:bCs/>
                <w:color w:val="1A1A1A"/>
                <w:sz w:val="20"/>
                <w:szCs w:val="20"/>
              </w:rPr>
              <w:t xml:space="preserve">If API succeeds</w:t>
            </w:r>
          </w:p>
        </w:tc>
        <w:tc>
          <w:tcPr>
            <w:tcW w:type="dxa" w:w="3280"/>
            <w:tcBorders>
              <w:top w:val="single" w:color="DDDDDD" w:sz="1"/>
              <w:left w:val="single" w:color="DDDDDD" w:sz="1"/>
              <w:bottom w:val="single" w:color="DDDDDD" w:sz="1"/>
              <w:right w:val="single" w:color="DDDDDD" w:sz="1"/>
            </w:tcBorders>
            <w:shd w:fill="F0E6D6" w:val="clear"/>
            <w:tcMar>
              <w:top w:type="dxa" w:w="80"/>
              <w:left w:type="dxa" w:w="120"/>
              <w:bottom w:type="dxa" w:w="80"/>
              <w:right w:type="dxa" w:w="120"/>
            </w:tcMar>
          </w:tcPr>
          <w:p>
            <w:r>
              <w:rPr>
                <w:rFonts w:ascii="Arial" w:cs="Arial" w:eastAsia="Arial" w:hAnsi="Arial"/>
                <w:b/>
                <w:bCs/>
                <w:color w:val="1A1A1A"/>
                <w:sz w:val="20"/>
                <w:szCs w:val="20"/>
              </w:rPr>
              <w:t xml:space="preserve">If API fails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Taste free-text</w:t>
            </w:r>
          </w:p>
        </w:tc>
        <w:tc>
          <w:tcPr>
            <w:tcW w:type="dxa" w:w="3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±1 adjustment to dimensional scores</w:t>
            </w:r>
          </w:p>
        </w:tc>
        <w:tc>
          <w:tcPr>
            <w:tcW w:type="dxa" w:w="3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No adjustment. Deterministic reasoning scores stand alone.</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CU2 analysis</w:t>
            </w:r>
          </w:p>
        </w:tc>
        <w:tc>
          <w:tcPr>
            <w:tcW w:type="dxa" w:w="3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+0 to +2 bonus on Culture score</w:t>
            </w:r>
          </w:p>
        </w:tc>
        <w:tc>
          <w:tcPr>
            <w:tcW w:type="dxa" w:w="3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No bonus. Multiple-choice score stands alone.</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Executive brief</w:t>
            </w:r>
          </w:p>
        </w:tc>
        <w:tc>
          <w:tcPr>
            <w:tcW w:type="dxa" w:w="3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Streaming personalized narrative</w:t>
            </w:r>
          </w:p>
        </w:tc>
        <w:tc>
          <w:tcPr>
            <w:tcW w:type="dxa" w:w="3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"Brief generation temporarily unavailable. Your deterministic results above are still fully accurate."</w:t>
            </w:r>
          </w:p>
        </w:tc>
      </w:tr>
    </w:tbl>
    <w:p>
      <w:pPr>
        <w:spacing w:after="160" w:line="340"/>
      </w:pPr>
      <w:r>
        <w:rPr>
          <w:rFonts w:ascii="Arial" w:cs="Arial" w:eastAsia="Arial" w:hAnsi="Arial"/>
          <w:b w:val="false"/>
          <w:bCs w:val="false"/>
          <w:i w:val="false"/>
          <w:iCs w:val="false"/>
          <w:color w:val="444444"/>
          <w:sz w:val="22"/>
          <w:szCs w:val="22"/>
        </w:rPr>
        <w:t xml:space="preserve"/>
      </w:r>
    </w:p>
    <w:p>
      <w:pPr>
        <w:spacing w:after="160" w:line="340"/>
      </w:pPr>
      <w:r>
        <w:rPr>
          <w:rFonts w:ascii="Arial" w:cs="Arial" w:eastAsia="Arial" w:hAnsi="Arial"/>
          <w:b w:val="false"/>
          <w:bCs w:val="false"/>
          <w:i w:val="false"/>
          <w:iCs w:val="false"/>
          <w:color w:val="444444"/>
          <w:sz w:val="22"/>
          <w:szCs w:val="22"/>
        </w:rPr>
        <w:t xml:space="preserve">This is not defensive programming — it’s a design philosophy. The assessment’s core value proposition (diagnostic scores, binding constraint identification, action plans) must never depend on a third-party API. The API enhances the experience; it does not define it.</w:t>
      </w:r>
    </w:p>
    <w:p>
      <w:r>
        <w:br w:type="page"/>
      </w:r>
    </w:p>
    <w:p>
      <w:pPr>
        <w:pStyle w:val="Heading1"/>
        <w:spacing w:after="200" w:before="360"/>
      </w:pPr>
      <w:r>
        <w:rPr>
          <w:rFonts w:ascii="Arial" w:cs="Arial" w:eastAsia="Arial" w:hAnsi="Arial"/>
          <w:b/>
          <w:bCs/>
          <w:color w:val="1A1A1A"/>
        </w:rPr>
        <w:t xml:space="preserve">Build Process &amp; Development Methodology</w:t>
      </w:r>
    </w:p>
    <w:p>
      <w:pPr>
        <w:pStyle w:val="Heading2"/>
        <w:spacing w:after="160" w:before="280"/>
      </w:pPr>
      <w:r>
        <w:rPr>
          <w:rFonts w:ascii="Arial" w:cs="Arial" w:eastAsia="Arial" w:hAnsi="Arial"/>
          <w:b/>
          <w:bCs/>
          <w:color w:val="1A1A1A"/>
        </w:rPr>
        <w:t xml:space="preserve">AI-Assisted Development with Claude Code</w:t>
      </w:r>
    </w:p>
    <w:p>
      <w:pPr>
        <w:spacing w:after="160" w:line="340"/>
      </w:pPr>
      <w:r>
        <w:rPr>
          <w:rFonts w:ascii="Arial" w:cs="Arial" w:eastAsia="Arial" w:hAnsi="Arial"/>
          <w:b w:val="false"/>
          <w:bCs w:val="false"/>
          <w:i w:val="false"/>
          <w:iCs w:val="false"/>
          <w:color w:val="444444"/>
          <w:sz w:val="22"/>
          <w:szCs w:val="22"/>
        </w:rPr>
        <w:t xml:space="preserve">The entire Milestone 3 build was executed using Claude Code, Anthropic’s terminal-based AI coding tool, as the primary development environment. This is a deliberate methodology choice, not a shortcut.</w:t>
      </w:r>
    </w:p>
    <w:p>
      <w:pPr>
        <w:spacing w:after="160" w:line="340"/>
      </w:pPr>
      <w:r>
        <w:rPr>
          <w:rFonts w:ascii="Arial" w:cs="Arial" w:eastAsia="Arial" w:hAnsi="Arial"/>
          <w:b w:val="false"/>
          <w:bCs w:val="false"/>
          <w:i w:val="false"/>
          <w:iCs w:val="false"/>
          <w:color w:val="444444"/>
          <w:sz w:val="22"/>
          <w:szCs w:val="22"/>
        </w:rPr>
        <w:t xml:space="preserve">The workflow:</w:t>
      </w:r>
    </w:p>
    <w:p>
      <w:pPr>
        <w:pStyle w:val="ListParagraph"/>
        <w:numPr>
          <w:ilvl w:val="0"/>
          <w:numId w:val="2"/>
        </w:numPr>
        <w:spacing w:after="100" w:line="340"/>
      </w:pPr>
      <w:r>
        <w:rPr>
          <w:rFonts w:ascii="Arial" w:cs="Arial" w:eastAsia="Arial" w:hAnsi="Arial"/>
          <w:b/>
          <w:bCs/>
          <w:i w:val="false"/>
          <w:iCs w:val="false"/>
          <w:color w:val="444444"/>
          <w:sz w:val="22"/>
          <w:szCs w:val="22"/>
        </w:rPr>
        <w:t xml:space="preserve">Natural language specification: </w:t>
      </w:r>
      <w:r>
        <w:rPr>
          <w:rFonts w:ascii="Arial" w:cs="Arial" w:eastAsia="Arial" w:hAnsi="Arial"/>
          <w:b w:val="false"/>
          <w:bCs w:val="false"/>
          <w:i w:val="false"/>
          <w:iCs w:val="false"/>
          <w:color w:val="444444"/>
          <w:sz w:val="22"/>
          <w:szCs w:val="22"/>
        </w:rPr>
        <w:t xml:space="preserve">Each feature was described as a detailed prompt with explicit requirements, file references, and architectural constraints. The prompt IS the spec.</w:t>
      </w:r>
    </w:p>
    <w:p>
      <w:pPr>
        <w:pStyle w:val="ListParagraph"/>
        <w:numPr>
          <w:ilvl w:val="0"/>
          <w:numId w:val="2"/>
        </w:numPr>
        <w:spacing w:after="100" w:line="340"/>
      </w:pPr>
      <w:r>
        <w:rPr>
          <w:rFonts w:ascii="Arial" w:cs="Arial" w:eastAsia="Arial" w:hAnsi="Arial"/>
          <w:b/>
          <w:bCs/>
          <w:i w:val="false"/>
          <w:iCs w:val="false"/>
          <w:color w:val="444444"/>
          <w:sz w:val="22"/>
          <w:szCs w:val="22"/>
        </w:rPr>
        <w:t xml:space="preserve">Iterative review: </w:t>
      </w:r>
      <w:r>
        <w:rPr>
          <w:rFonts w:ascii="Arial" w:cs="Arial" w:eastAsia="Arial" w:hAnsi="Arial"/>
          <w:b w:val="false"/>
          <w:bCs w:val="false"/>
          <w:i w:val="false"/>
          <w:iCs w:val="false"/>
          <w:color w:val="444444"/>
          <w:sz w:val="22"/>
          <w:szCs w:val="22"/>
        </w:rPr>
        <w:t xml:space="preserve">Every generated output was reviewed before acceptance. Multiple files were reviewed for consistency, integration points were verified, and edge cases were tested manually.</w:t>
      </w:r>
    </w:p>
    <w:p>
      <w:pPr>
        <w:pStyle w:val="ListParagraph"/>
        <w:numPr>
          <w:ilvl w:val="0"/>
          <w:numId w:val="2"/>
        </w:numPr>
        <w:spacing w:after="100" w:line="340"/>
      </w:pPr>
      <w:r>
        <w:rPr>
          <w:rFonts w:ascii="Arial" w:cs="Arial" w:eastAsia="Arial" w:hAnsi="Arial"/>
          <w:b/>
          <w:bCs/>
          <w:i w:val="false"/>
          <w:iCs w:val="false"/>
          <w:color w:val="444444"/>
          <w:sz w:val="22"/>
          <w:szCs w:val="22"/>
        </w:rPr>
        <w:t xml:space="preserve">Context management: </w:t>
      </w:r>
      <w:r>
        <w:rPr>
          <w:rFonts w:ascii="Arial" w:cs="Arial" w:eastAsia="Arial" w:hAnsi="Arial"/>
          <w:b w:val="false"/>
          <w:bCs w:val="false"/>
          <w:i w:val="false"/>
          <w:iCs w:val="false"/>
          <w:color w:val="444444"/>
          <w:sz w:val="22"/>
          <w:szCs w:val="22"/>
        </w:rPr>
        <w:t xml:space="preserve">Used /clear between major features to give Claude Code a fresh context window. This prevents context pollution where earlier decisions leak into later implementations.</w:t>
      </w:r>
    </w:p>
    <w:p>
      <w:pPr>
        <w:pStyle w:val="ListParagraph"/>
        <w:numPr>
          <w:ilvl w:val="0"/>
          <w:numId w:val="2"/>
        </w:numPr>
        <w:spacing w:after="100" w:line="340"/>
      </w:pPr>
      <w:r>
        <w:rPr>
          <w:rFonts w:ascii="Arial" w:cs="Arial" w:eastAsia="Arial" w:hAnsi="Arial"/>
          <w:b/>
          <w:bCs/>
          <w:i w:val="false"/>
          <w:iCs w:val="false"/>
          <w:color w:val="444444"/>
          <w:sz w:val="22"/>
          <w:szCs w:val="22"/>
        </w:rPr>
        <w:t xml:space="preserve">Prompt refinement: </w:t>
      </w:r>
      <w:r>
        <w:rPr>
          <w:rFonts w:ascii="Arial" w:cs="Arial" w:eastAsia="Arial" w:hAnsi="Arial"/>
          <w:b w:val="false"/>
          <w:bCs w:val="false"/>
          <w:i w:val="false"/>
          <w:iCs w:val="false"/>
          <w:color w:val="444444"/>
          <w:sz w:val="22"/>
          <w:szCs w:val="22"/>
        </w:rPr>
        <w:t xml:space="preserve">When initial outputs were unsatisfactory (e.g., generic “Interesting choice” lead-in text on reasoning follow-ups), the prompt was refined with specific requirements and the feature was rebuilt, not patched.</w:t>
      </w:r>
    </w:p>
    <w:p>
      <w:pPr>
        <w:spacing w:after="160" w:line="340"/>
      </w:pPr>
      <w:r>
        <w:rPr>
          <w:rFonts w:ascii="Arial" w:cs="Arial" w:eastAsia="Arial" w:hAnsi="Arial"/>
          <w:b w:val="false"/>
          <w:bCs w:val="false"/>
          <w:i w:val="false"/>
          <w:iCs w:val="false"/>
          <w:color w:val="444444"/>
          <w:sz w:val="22"/>
          <w:szCs w:val="22"/>
        </w:rPr>
        <w:t xml:space="preserve">The interview reframe: "I don’t write code manually and then have AI review it. I architect systems, write precise specifications, and use AI as a build tool. The value I bring is knowing what to build, why to build it that way, and how to evaluate whether the output meets the standard. That’s the skill set that matters in AI implementation leadership — not whether I can hand-write a Cloudflare Worker from memory."</w:t>
      </w:r>
    </w:p>
    <w:p>
      <w:pPr>
        <w:pStyle w:val="Heading2"/>
        <w:spacing w:after="160" w:before="280"/>
      </w:pPr>
      <w:r>
        <w:rPr>
          <w:rFonts w:ascii="Arial" w:cs="Arial" w:eastAsia="Arial" w:hAnsi="Arial"/>
          <w:b/>
          <w:bCs/>
          <w:color w:val="1A1A1A"/>
        </w:rPr>
        <w:t xml:space="preserve">Deployment Pipeline</w:t>
      </w:r>
    </w:p>
    <w:p>
      <w:pPr>
        <w:spacing w:after="160" w:line="340"/>
      </w:pPr>
      <w:r>
        <w:rPr>
          <w:rFonts w:ascii="Arial" w:cs="Arial" w:eastAsia="Arial" w:hAnsi="Arial"/>
          <w:b w:val="false"/>
          <w:bCs w:val="false"/>
          <w:i w:val="false"/>
          <w:iCs w:val="false"/>
          <w:color w:val="444444"/>
          <w:sz w:val="22"/>
          <w:szCs w:val="22"/>
        </w:rPr>
        <w:t xml:space="preserve">Every change followed the same path:</w:t>
      </w:r>
    </w:p>
    <w:p>
      <w:pPr>
        <w:spacing w:after="160" w:line="340"/>
      </w:pPr>
      <w:r>
        <w:rPr>
          <w:rFonts w:ascii="Arial" w:cs="Arial" w:eastAsia="Arial" w:hAnsi="Arial"/>
          <w:b w:val="false"/>
          <w:bCs w:val="false"/>
          <w:i/>
          <w:iCs/>
          <w:color w:val="C67A2E"/>
          <w:sz w:val="22"/>
          <w:szCs w:val="22"/>
        </w:rPr>
        <w:t xml:space="preserve">Claude Code (build) → git add/commit/push → GitHub (main) → Cloudflare Pages auto-deploy → Live at nickjewell.ai</w:t>
      </w:r>
    </w:p>
    <w:p>
      <w:pPr>
        <w:spacing w:after="160" w:line="340"/>
      </w:pPr>
      <w:r>
        <w:rPr>
          <w:rFonts w:ascii="Arial" w:cs="Arial" w:eastAsia="Arial" w:hAnsi="Arial"/>
          <w:b w:val="false"/>
          <w:bCs w:val="false"/>
          <w:i w:val="false"/>
          <w:iCs w:val="false"/>
          <w:color w:val="444444"/>
          <w:sz w:val="22"/>
          <w:szCs w:val="22"/>
        </w:rPr>
        <w:t xml:space="preserve">Total time from code generation to production: approximately 2 minutes per deploy. Eight deploys over the session, each adding or fixing a specific feature. This is continuous deployment at its simplest — no staging environment, no CI pipeline (yet), no approval gates. For a solo project at this stage, the speed of iteration is the competitive advantage.</w:t>
      </w:r>
    </w:p>
    <w:p>
      <w:pPr>
        <w:pStyle w:val="Heading2"/>
        <w:spacing w:after="160" w:before="280"/>
      </w:pPr>
      <w:r>
        <w:rPr>
          <w:rFonts w:ascii="Arial" w:cs="Arial" w:eastAsia="Arial" w:hAnsi="Arial"/>
          <w:b/>
          <w:bCs/>
          <w:color w:val="1A1A1A"/>
        </w:rPr>
        <w:t xml:space="preserve">Debugging in Production</w:t>
      </w:r>
    </w:p>
    <w:p>
      <w:pPr>
        <w:spacing w:after="160" w:line="340"/>
      </w:pPr>
      <w:r>
        <w:rPr>
          <w:rFonts w:ascii="Arial" w:cs="Arial" w:eastAsia="Arial" w:hAnsi="Arial"/>
          <w:b w:val="false"/>
          <w:bCs w:val="false"/>
          <w:i w:val="false"/>
          <w:iCs w:val="false"/>
          <w:color w:val="444444"/>
          <w:sz w:val="22"/>
          <w:szCs w:val="22"/>
        </w:rPr>
        <w:t xml:space="preserve">When the executive brief initially returned a 500 error, the debugging process revealed a real-world infrastructure lesson:</w:t>
      </w:r>
    </w:p>
    <w:p>
      <w:pPr>
        <w:pStyle w:val="ListParagraph"/>
        <w:numPr>
          <w:ilvl w:val="0"/>
          <w:numId w:val="2"/>
        </w:numPr>
        <w:spacing w:after="100" w:line="340"/>
      </w:pPr>
      <w:r>
        <w:rPr>
          <w:rFonts w:ascii="Arial" w:cs="Arial" w:eastAsia="Arial" w:hAnsi="Arial"/>
          <w:b/>
          <w:bCs/>
          <w:i w:val="false"/>
          <w:iCs w:val="false"/>
          <w:color w:val="444444"/>
          <w:sz w:val="22"/>
          <w:szCs w:val="22"/>
        </w:rPr>
        <w:t xml:space="preserve">Symptom: </w:t>
      </w:r>
      <w:r>
        <w:rPr>
          <w:rFonts w:ascii="Arial" w:cs="Arial" w:eastAsia="Arial" w:hAnsi="Arial"/>
          <w:b w:val="false"/>
          <w:bCs w:val="false"/>
          <w:i w:val="false"/>
          <w:iCs w:val="false"/>
          <w:color w:val="444444"/>
          <w:sz w:val="22"/>
          <w:szCs w:val="22"/>
        </w:rPr>
        <w:t xml:space="preserve">Cloudflare returned “Worker threw exception” with a 1101 error code.</w:t>
      </w:r>
    </w:p>
    <w:p>
      <w:pPr>
        <w:pStyle w:val="ListParagraph"/>
        <w:numPr>
          <w:ilvl w:val="0"/>
          <w:numId w:val="2"/>
        </w:numPr>
        <w:spacing w:after="100" w:line="340"/>
      </w:pPr>
      <w:r>
        <w:rPr>
          <w:rFonts w:ascii="Arial" w:cs="Arial" w:eastAsia="Arial" w:hAnsi="Arial"/>
          <w:b/>
          <w:bCs/>
          <w:i w:val="false"/>
          <w:iCs w:val="false"/>
          <w:color w:val="444444"/>
          <w:sz w:val="22"/>
          <w:szCs w:val="22"/>
        </w:rPr>
        <w:t xml:space="preserve">Root cause: </w:t>
      </w:r>
      <w:r>
        <w:rPr>
          <w:rFonts w:ascii="Arial" w:cs="Arial" w:eastAsia="Arial" w:hAnsi="Arial"/>
          <w:b w:val="false"/>
          <w:bCs w:val="false"/>
          <w:i w:val="false"/>
          <w:iCs w:val="false"/>
          <w:color w:val="444444"/>
          <w:sz w:val="22"/>
          <w:szCs w:val="22"/>
        </w:rPr>
        <w:t xml:space="preserve">The D1 database binding existed but the rate-limiting queries were crashing the worker without error handling. The try/catch blocks were missing.</w:t>
      </w:r>
    </w:p>
    <w:p>
      <w:pPr>
        <w:pStyle w:val="ListParagraph"/>
        <w:numPr>
          <w:ilvl w:val="0"/>
          <w:numId w:val="2"/>
        </w:numPr>
        <w:spacing w:after="100" w:line="340"/>
      </w:pPr>
      <w:r>
        <w:rPr>
          <w:rFonts w:ascii="Arial" w:cs="Arial" w:eastAsia="Arial" w:hAnsi="Arial"/>
          <w:b/>
          <w:bCs/>
          <w:i w:val="false"/>
          <w:iCs w:val="false"/>
          <w:color w:val="444444"/>
          <w:sz w:val="22"/>
          <w:szCs w:val="22"/>
        </w:rPr>
        <w:t xml:space="preserve">Fix: </w:t>
      </w:r>
      <w:r>
        <w:rPr>
          <w:rFonts w:ascii="Arial" w:cs="Arial" w:eastAsia="Arial" w:hAnsi="Arial"/>
          <w:b w:val="false"/>
          <w:bCs w:val="false"/>
          <w:i w:val="false"/>
          <w:iCs w:val="false"/>
          <w:color w:val="444444"/>
          <w:sz w:val="22"/>
          <w:szCs w:val="22"/>
        </w:rPr>
        <w:t xml:space="preserve">Wrapped all D1 operations in try/catch with graceful fallthrough. If rate limiting fails, the brief still generates.</w:t>
      </w:r>
    </w:p>
    <w:p>
      <w:pPr>
        <w:pStyle w:val="ListParagraph"/>
        <w:numPr>
          <w:ilvl w:val="0"/>
          <w:numId w:val="2"/>
        </w:numPr>
        <w:spacing w:after="100" w:line="340"/>
      </w:pPr>
      <w:r>
        <w:rPr>
          <w:rFonts w:ascii="Arial" w:cs="Arial" w:eastAsia="Arial" w:hAnsi="Arial"/>
          <w:b/>
          <w:bCs/>
          <w:i w:val="false"/>
          <w:iCs w:val="false"/>
          <w:color w:val="444444"/>
          <w:sz w:val="22"/>
          <w:szCs w:val="22"/>
        </w:rPr>
        <w:t xml:space="preserve">Lesson: </w:t>
      </w:r>
      <w:r>
        <w:rPr>
          <w:rFonts w:ascii="Arial" w:cs="Arial" w:eastAsia="Arial" w:hAnsi="Arial"/>
          <w:b w:val="false"/>
          <w:bCs w:val="false"/>
          <w:i w:val="false"/>
          <w:iCs w:val="false"/>
          <w:color w:val="444444"/>
          <w:sz w:val="22"/>
          <w:szCs w:val="22"/>
        </w:rPr>
        <w:t xml:space="preserve">Secondary systems (rate limiting, logging, analytics) should never crash primary systems (the feature the user actually wants). This is the "bulkhead pattern" in distributed systems — isolate failures so they don’t cascade.</w:t>
      </w:r>
    </w:p>
    <w:p>
      <w:r>
        <w:br w:type="page"/>
      </w:r>
    </w:p>
    <w:p>
      <w:pPr>
        <w:pStyle w:val="Heading1"/>
        <w:spacing w:after="200" w:before="360"/>
      </w:pPr>
      <w:r>
        <w:rPr>
          <w:rFonts w:ascii="Arial" w:cs="Arial" w:eastAsia="Arial" w:hAnsi="Arial"/>
          <w:b/>
          <w:bCs/>
          <w:color w:val="1A1A1A"/>
        </w:rPr>
        <w:t xml:space="preserve">Cost Architecture</w:t>
      </w:r>
    </w:p>
    <w:p>
      <w:pPr>
        <w:pStyle w:val="Heading2"/>
        <w:spacing w:after="160" w:before="280"/>
      </w:pPr>
      <w:r>
        <w:rPr>
          <w:rFonts w:ascii="Arial" w:cs="Arial" w:eastAsia="Arial" w:hAnsi="Arial"/>
          <w:b/>
          <w:bCs/>
          <w:color w:val="1A1A1A"/>
        </w:rPr>
        <w:t xml:space="preserve">Per-Assessment Cost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1560"/>
        <w:gridCol w:w="1560"/>
        <w:gridCol w:w="1880"/>
      </w:tblGrid>
      <w:tr>
        <w:tc>
          <w:tcPr>
            <w:tcW w:type="dxa" w:w="2800"/>
            <w:tcBorders>
              <w:top w:val="single" w:color="DDDDDD" w:sz="1"/>
              <w:left w:val="single" w:color="DDDDDD" w:sz="1"/>
              <w:bottom w:val="single" w:color="DDDDDD" w:sz="1"/>
              <w:right w:val="single" w:color="DDDDDD" w:sz="1"/>
            </w:tcBorders>
            <w:shd w:fill="F0E6D6" w:val="clear"/>
            <w:tcMar>
              <w:top w:type="dxa" w:w="80"/>
              <w:left w:type="dxa" w:w="120"/>
              <w:bottom w:type="dxa" w:w="80"/>
              <w:right w:type="dxa" w:w="120"/>
            </w:tcMar>
          </w:tcPr>
          <w:p>
            <w:r>
              <w:rPr>
                <w:rFonts w:ascii="Arial" w:cs="Arial" w:eastAsia="Arial" w:hAnsi="Arial"/>
                <w:b/>
                <w:bCs/>
                <w:color w:val="1A1A1A"/>
                <w:sz w:val="20"/>
                <w:szCs w:val="20"/>
              </w:rPr>
              <w:t xml:space="preserve">Component</w:t>
            </w:r>
          </w:p>
        </w:tc>
        <w:tc>
          <w:tcPr>
            <w:tcW w:type="dxa" w:w="1560"/>
            <w:tcBorders>
              <w:top w:val="single" w:color="DDDDDD" w:sz="1"/>
              <w:left w:val="single" w:color="DDDDDD" w:sz="1"/>
              <w:bottom w:val="single" w:color="DDDDDD" w:sz="1"/>
              <w:right w:val="single" w:color="DDDDDD" w:sz="1"/>
            </w:tcBorders>
            <w:shd w:fill="F0E6D6" w:val="clear"/>
            <w:tcMar>
              <w:top w:type="dxa" w:w="80"/>
              <w:left w:type="dxa" w:w="120"/>
              <w:bottom w:type="dxa" w:w="80"/>
              <w:right w:type="dxa" w:w="120"/>
            </w:tcMar>
          </w:tcPr>
          <w:p>
            <w:r>
              <w:rPr>
                <w:rFonts w:ascii="Arial" w:cs="Arial" w:eastAsia="Arial" w:hAnsi="Arial"/>
                <w:b/>
                <w:bCs/>
                <w:color w:val="1A1A1A"/>
                <w:sz w:val="20"/>
                <w:szCs w:val="20"/>
              </w:rPr>
              <w:t xml:space="preserve">Model</w:t>
            </w:r>
          </w:p>
        </w:tc>
        <w:tc>
          <w:tcPr>
            <w:tcW w:type="dxa" w:w="1560"/>
            <w:tcBorders>
              <w:top w:val="single" w:color="DDDDDD" w:sz="1"/>
              <w:left w:val="single" w:color="DDDDDD" w:sz="1"/>
              <w:bottom w:val="single" w:color="DDDDDD" w:sz="1"/>
              <w:right w:val="single" w:color="DDDDDD" w:sz="1"/>
            </w:tcBorders>
            <w:shd w:fill="F0E6D6" w:val="clear"/>
            <w:tcMar>
              <w:top w:type="dxa" w:w="80"/>
              <w:left w:type="dxa" w:w="120"/>
              <w:bottom w:type="dxa" w:w="80"/>
              <w:right w:type="dxa" w:w="120"/>
            </w:tcMar>
          </w:tcPr>
          <w:p>
            <w:r>
              <w:rPr>
                <w:rFonts w:ascii="Arial" w:cs="Arial" w:eastAsia="Arial" w:hAnsi="Arial"/>
                <w:b/>
                <w:bCs/>
                <w:color w:val="1A1A1A"/>
                <w:sz w:val="20"/>
                <w:szCs w:val="20"/>
              </w:rPr>
              <w:t xml:space="preserve">Input tokens</w:t>
            </w:r>
          </w:p>
        </w:tc>
        <w:tc>
          <w:tcPr>
            <w:tcW w:type="dxa" w:w="1560"/>
            <w:tcBorders>
              <w:top w:val="single" w:color="DDDDDD" w:sz="1"/>
              <w:left w:val="single" w:color="DDDDDD" w:sz="1"/>
              <w:bottom w:val="single" w:color="DDDDDD" w:sz="1"/>
              <w:right w:val="single" w:color="DDDDDD" w:sz="1"/>
            </w:tcBorders>
            <w:shd w:fill="F0E6D6" w:val="clear"/>
            <w:tcMar>
              <w:top w:type="dxa" w:w="80"/>
              <w:left w:type="dxa" w:w="120"/>
              <w:bottom w:type="dxa" w:w="80"/>
              <w:right w:type="dxa" w:w="120"/>
            </w:tcMar>
          </w:tcPr>
          <w:p>
            <w:r>
              <w:rPr>
                <w:rFonts w:ascii="Arial" w:cs="Arial" w:eastAsia="Arial" w:hAnsi="Arial"/>
                <w:b/>
                <w:bCs/>
                <w:color w:val="1A1A1A"/>
                <w:sz w:val="20"/>
                <w:szCs w:val="20"/>
              </w:rPr>
              <w:t xml:space="preserve">Output tokens</w:t>
            </w:r>
          </w:p>
        </w:tc>
        <w:tc>
          <w:tcPr>
            <w:tcW w:type="dxa" w:w="1880"/>
            <w:tcBorders>
              <w:top w:val="single" w:color="DDDDDD" w:sz="1"/>
              <w:left w:val="single" w:color="DDDDDD" w:sz="1"/>
              <w:bottom w:val="single" w:color="DDDDDD" w:sz="1"/>
              <w:right w:val="single" w:color="DDDDDD" w:sz="1"/>
            </w:tcBorders>
            <w:shd w:fill="F0E6D6" w:val="clear"/>
            <w:tcMar>
              <w:top w:type="dxa" w:w="80"/>
              <w:left w:type="dxa" w:w="120"/>
              <w:bottom w:type="dxa" w:w="80"/>
              <w:right w:type="dxa" w:w="120"/>
            </w:tcMar>
          </w:tcPr>
          <w:p>
            <w:r>
              <w:rPr>
                <w:rFonts w:ascii="Arial" w:cs="Arial" w:eastAsia="Arial" w:hAnsi="Arial"/>
                <w:b/>
                <w:bCs/>
                <w:color w:val="1A1A1A"/>
                <w:sz w:val="20"/>
                <w:szCs w:val="20"/>
              </w:rPr>
              <w:t xml:space="preserve">Est. cost</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Taste free-text (×4 max)</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Sonnet 4</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~400 each</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~30 each</w:t>
            </w:r>
          </w:p>
        </w:tc>
        <w:tc>
          <w:tcPr>
            <w:tcW w:type="dxa" w:w="1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$0.002</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CU2 analysis (×1 max)</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Sonnet 4</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~500</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~50</w:t>
            </w:r>
          </w:p>
        </w:tc>
        <w:tc>
          <w:tcPr>
            <w:tcW w:type="dxa" w:w="1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$0.002</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Executive brief (×1, gated)</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Opus 4.6</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~1200</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~800</w:t>
            </w:r>
          </w:p>
        </w:tc>
        <w:tc>
          <w:tcPr>
            <w:tcW w:type="dxa" w:w="1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$0.03-0.08</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Total per full assessment</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
            </w:r>
          </w:p>
        </w:tc>
        <w:tc>
          <w:tcPr>
            <w:tcW w:type="dxa" w:w="1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$0.03-0.09</w:t>
            </w:r>
          </w:p>
        </w:tc>
      </w:tr>
    </w:tbl>
    <w:p>
      <w:pPr>
        <w:spacing w:after="160" w:line="340"/>
      </w:pPr>
      <w:r>
        <w:rPr>
          <w:rFonts w:ascii="Arial" w:cs="Arial" w:eastAsia="Arial" w:hAnsi="Arial"/>
          <w:b w:val="false"/>
          <w:bCs w:val="false"/>
          <w:i w:val="false"/>
          <w:iCs w:val="false"/>
          <w:color w:val="444444"/>
          <w:sz w:val="22"/>
          <w:szCs w:val="22"/>
        </w:rPr>
        <w:t xml:space="preserve"/>
      </w:r>
    </w:p>
    <w:p>
      <w:pPr>
        <w:spacing w:after="160" w:line="340"/>
      </w:pPr>
      <w:r>
        <w:rPr>
          <w:rFonts w:ascii="Arial" w:cs="Arial" w:eastAsia="Arial" w:hAnsi="Arial"/>
          <w:b w:val="false"/>
          <w:bCs w:val="false"/>
          <w:i w:val="false"/>
          <w:iCs w:val="false"/>
          <w:color w:val="444444"/>
          <w:sz w:val="22"/>
          <w:szCs w:val="22"/>
        </w:rPr>
        <w:t xml:space="preserve">At 100 daily brief cap: worst case ~$9/day or ~$270/month in API costs. Actual costs will be significantly lower since not every user generates a brief, and most won’t use the optional free-text fields.</w:t>
      </w:r>
    </w:p>
    <w:p>
      <w:pPr>
        <w:spacing w:after="160" w:line="340"/>
      </w:pPr>
      <w:r>
        <w:rPr>
          <w:rFonts w:ascii="Arial" w:cs="Arial" w:eastAsia="Arial" w:hAnsi="Arial"/>
          <w:b w:val="false"/>
          <w:bCs w:val="false"/>
          <w:i w:val="false"/>
          <w:iCs w:val="false"/>
          <w:color w:val="444444"/>
          <w:sz w:val="22"/>
          <w:szCs w:val="22"/>
        </w:rPr>
        <w:t xml:space="preserve">Hosting costs: $0 (Cloudflare free tier). D1 costs: $0 (well within free tier). Total infrastructure cost excluding API: $0/month.</w:t>
      </w:r>
    </w:p>
    <w:p>
      <w:pPr>
        <w:pStyle w:val="Heading2"/>
        <w:spacing w:after="160" w:before="280"/>
      </w:pPr>
      <w:r>
        <w:rPr>
          <w:rFonts w:ascii="Arial" w:cs="Arial" w:eastAsia="Arial" w:hAnsi="Arial"/>
          <w:b/>
          <w:bCs/>
          <w:color w:val="1A1A1A"/>
        </w:rPr>
        <w:t xml:space="preserve">Future Monetization Path</w:t>
      </w:r>
    </w:p>
    <w:p>
      <w:pPr>
        <w:spacing w:after="160" w:line="340"/>
      </w:pPr>
      <w:r>
        <w:rPr>
          <w:rFonts w:ascii="Arial" w:cs="Arial" w:eastAsia="Arial" w:hAnsi="Arial"/>
          <w:b w:val="false"/>
          <w:bCs w:val="false"/>
          <w:i w:val="false"/>
          <w:iCs w:val="false"/>
          <w:color w:val="444444"/>
          <w:sz w:val="22"/>
          <w:szCs w:val="22"/>
        </w:rPr>
        <w:t xml:space="preserve">The gated architecture is designed for future paywall insertion:</w:t>
      </w:r>
    </w:p>
    <w:p>
      <w:pPr>
        <w:pStyle w:val="ListParagraph"/>
        <w:numPr>
          <w:ilvl w:val="0"/>
          <w:numId w:val="2"/>
        </w:numPr>
        <w:spacing w:after="100" w:line="340"/>
      </w:pPr>
      <w:r>
        <w:rPr>
          <w:rFonts w:ascii="Arial" w:cs="Arial" w:eastAsia="Arial" w:hAnsi="Arial"/>
          <w:b/>
          <w:bCs/>
          <w:i w:val="false"/>
          <w:iCs w:val="false"/>
          <w:color w:val="444444"/>
          <w:sz w:val="22"/>
          <w:szCs w:val="22"/>
        </w:rPr>
        <w:t xml:space="preserve">Tier 1 (always free): </w:t>
      </w:r>
      <w:r>
        <w:rPr>
          <w:rFonts w:ascii="Arial" w:cs="Arial" w:eastAsia="Arial" w:hAnsi="Arial"/>
          <w:b w:val="false"/>
          <w:bCs w:val="false"/>
          <w:i w:val="false"/>
          <w:iCs w:val="false"/>
          <w:color w:val="444444"/>
          <w:sz w:val="22"/>
          <w:szCs w:val="22"/>
        </w:rPr>
        <w:t xml:space="preserve">Deterministic results — scores, binding constraint, Taste signature, action plan. Zero API cost.</w:t>
      </w:r>
    </w:p>
    <w:p>
      <w:pPr>
        <w:pStyle w:val="ListParagraph"/>
        <w:numPr>
          <w:ilvl w:val="0"/>
          <w:numId w:val="2"/>
        </w:numPr>
        <w:spacing w:after="100" w:line="340"/>
      </w:pPr>
      <w:r>
        <w:rPr>
          <w:rFonts w:ascii="Arial" w:cs="Arial" w:eastAsia="Arial" w:hAnsi="Arial"/>
          <w:b/>
          <w:bCs/>
          <w:i w:val="false"/>
          <w:iCs w:val="false"/>
          <w:color w:val="444444"/>
          <w:sz w:val="22"/>
          <w:szCs w:val="22"/>
        </w:rPr>
        <w:t xml:space="preserve">Tier 2 (currently free, gate-ready): </w:t>
      </w:r>
      <w:r>
        <w:rPr>
          <w:rFonts w:ascii="Arial" w:cs="Arial" w:eastAsia="Arial" w:hAnsi="Arial"/>
          <w:b w:val="false"/>
          <w:bCs w:val="false"/>
          <w:i w:val="false"/>
          <w:iCs w:val="false"/>
          <w:color w:val="444444"/>
          <w:sz w:val="22"/>
          <w:szCs w:val="22"/>
        </w:rPr>
        <w:t xml:space="preserve">Executive brief. The proxy already checks rate limits; adding payment verification is one conditional.</w:t>
      </w:r>
    </w:p>
    <w:p>
      <w:pPr>
        <w:pStyle w:val="ListParagraph"/>
        <w:numPr>
          <w:ilvl w:val="0"/>
          <w:numId w:val="2"/>
        </w:numPr>
        <w:spacing w:after="100" w:line="340"/>
      </w:pPr>
      <w:r>
        <w:rPr>
          <w:rFonts w:ascii="Arial" w:cs="Arial" w:eastAsia="Arial" w:hAnsi="Arial"/>
          <w:b/>
          <w:bCs/>
          <w:i w:val="false"/>
          <w:iCs w:val="false"/>
          <w:color w:val="444444"/>
          <w:sz w:val="22"/>
          <w:szCs w:val="22"/>
        </w:rPr>
        <w:t xml:space="preserve">Tier 3 (future): </w:t>
      </w:r>
      <w:r>
        <w:rPr>
          <w:rFonts w:ascii="Arial" w:cs="Arial" w:eastAsia="Arial" w:hAnsi="Arial"/>
          <w:b w:val="false"/>
          <w:bCs w:val="false"/>
          <w:i w:val="false"/>
          <w:iCs w:val="false"/>
          <w:color w:val="444444"/>
          <w:sz w:val="22"/>
          <w:szCs w:val="22"/>
        </w:rPr>
        <w:t xml:space="preserve">Email capture for PDF delivery, team assessments, aggregate benchmarking. None of these require architectural changes — only feature additions.</w:t>
      </w:r>
    </w:p>
    <w:p>
      <w:r>
        <w:br w:type="page"/>
      </w:r>
    </w:p>
    <w:p>
      <w:pPr>
        <w:pStyle w:val="Heading1"/>
        <w:spacing w:after="200" w:before="360"/>
      </w:pPr>
      <w:r>
        <w:rPr>
          <w:rFonts w:ascii="Arial" w:cs="Arial" w:eastAsia="Arial" w:hAnsi="Arial"/>
          <w:b/>
          <w:bCs/>
          <w:color w:val="1A1A1A"/>
        </w:rPr>
        <w:t xml:space="preserve">Quality &amp; UX Decisions</w:t>
      </w:r>
    </w:p>
    <w:p>
      <w:pPr>
        <w:pStyle w:val="Heading2"/>
        <w:spacing w:after="160" w:before="280"/>
      </w:pPr>
      <w:r>
        <w:rPr>
          <w:rFonts w:ascii="Arial" w:cs="Arial" w:eastAsia="Arial" w:hAnsi="Arial"/>
          <w:b/>
          <w:bCs/>
          <w:color w:val="1A1A1A"/>
        </w:rPr>
        <w:t xml:space="preserve">Scenario-Specific Reasoning Follow-ups</w:t>
      </w:r>
    </w:p>
    <w:p>
      <w:pPr>
        <w:spacing w:after="160" w:line="340"/>
      </w:pPr>
      <w:r>
        <w:rPr>
          <w:rFonts w:ascii="Arial" w:cs="Arial" w:eastAsia="Arial" w:hAnsi="Arial"/>
          <w:b w:val="false"/>
          <w:bCs w:val="false"/>
          <w:i w:val="false"/>
          <w:iCs w:val="false"/>
          <w:color w:val="444444"/>
          <w:sz w:val="22"/>
          <w:szCs w:val="22"/>
        </w:rPr>
        <w:t xml:space="preserve">The initial implementation used a generic lead-in ("Interesting choice. What was the biggest factor in your thinking?") with generic reasoning options. This was rejected and rebuilt because:</w:t>
      </w:r>
    </w:p>
    <w:p>
      <w:pPr>
        <w:pStyle w:val="ListParagraph"/>
        <w:numPr>
          <w:ilvl w:val="0"/>
          <w:numId w:val="2"/>
        </w:numPr>
        <w:spacing w:after="100" w:line="340"/>
      </w:pPr>
      <w:r>
        <w:rPr>
          <w:rFonts w:ascii="Arial" w:cs="Arial" w:eastAsia="Arial" w:hAnsi="Arial"/>
          <w:b/>
          <w:bCs/>
          <w:i w:val="false"/>
          <w:iCs w:val="false"/>
          <w:color w:val="444444"/>
          <w:sz w:val="22"/>
          <w:szCs w:val="22"/>
        </w:rPr>
        <w:t xml:space="preserve">Generic follow-ups break the conversational illusion. </w:t>
      </w:r>
      <w:r>
        <w:rPr>
          <w:rFonts w:ascii="Arial" w:cs="Arial" w:eastAsia="Arial" w:hAnsi="Arial"/>
          <w:b w:val="false"/>
          <w:bCs w:val="false"/>
          <w:i w:val="false"/>
          <w:iCs w:val="false"/>
          <w:color w:val="444444"/>
          <w:sz w:val="22"/>
          <w:szCs w:val="22"/>
        </w:rPr>
        <w:t xml:space="preserve">The assessment is designed to feel like talking to a sharp consultant, not filling out a form. A consultant who asks the same follow-up regardless of context isn’t listening.</w:t>
      </w:r>
    </w:p>
    <w:p>
      <w:pPr>
        <w:pStyle w:val="ListParagraph"/>
        <w:numPr>
          <w:ilvl w:val="0"/>
          <w:numId w:val="2"/>
        </w:numPr>
        <w:spacing w:after="100" w:line="340"/>
      </w:pPr>
      <w:r>
        <w:rPr>
          <w:rFonts w:ascii="Arial" w:cs="Arial" w:eastAsia="Arial" w:hAnsi="Arial"/>
          <w:b/>
          <w:bCs/>
          <w:i w:val="false"/>
          <w:iCs w:val="false"/>
          <w:color w:val="444444"/>
          <w:sz w:val="22"/>
          <w:szCs w:val="22"/>
        </w:rPr>
        <w:t xml:space="preserve">16 unique lead-in strings </w:t>
      </w:r>
      <w:r>
        <w:rPr>
          <w:rFonts w:ascii="Arial" w:cs="Arial" w:eastAsia="Arial" w:hAnsi="Arial"/>
          <w:b w:val="false"/>
          <w:bCs w:val="false"/>
          <w:i w:val="false"/>
          <w:iCs w:val="false"/>
          <w:color w:val="444444"/>
          <w:sz w:val="22"/>
          <w:szCs w:val="22"/>
        </w:rPr>
        <w:t xml:space="preserve">(4 scenarios × 4 answer choices) were written to reflect the user’s specific choice. If someone chooses to kill a project, the lead-in doesn’t say "Interesting choice" — it says something that acknowledges the weight of that decision.</w:t>
      </w:r>
    </w:p>
    <w:p>
      <w:pPr>
        <w:pStyle w:val="ListParagraph"/>
        <w:numPr>
          <w:ilvl w:val="0"/>
          <w:numId w:val="2"/>
        </w:numPr>
        <w:spacing w:after="100" w:line="340"/>
      </w:pPr>
      <w:r>
        <w:rPr>
          <w:rFonts w:ascii="Arial" w:cs="Arial" w:eastAsia="Arial" w:hAnsi="Arial"/>
          <w:b/>
          <w:bCs/>
          <w:i w:val="false"/>
          <w:iCs w:val="false"/>
          <w:color w:val="444444"/>
          <w:sz w:val="22"/>
          <w:szCs w:val="22"/>
        </w:rPr>
        <w:t xml:space="preserve">Scenario-contextual reasoning options </w:t>
      </w:r>
      <w:r>
        <w:rPr>
          <w:rFonts w:ascii="Arial" w:cs="Arial" w:eastAsia="Arial" w:hAnsi="Arial"/>
          <w:b w:val="false"/>
          <w:bCs w:val="false"/>
          <w:i w:val="false"/>
          <w:iCs w:val="false"/>
          <w:color w:val="444444"/>
          <w:sz w:val="22"/>
          <w:szCs w:val="22"/>
        </w:rPr>
        <w:t xml:space="preserve">reference the specific situation (accuracy gaps, messy Confluence data, sunk costs, refund agents) instead of abstract personality-test language.</w:t>
      </w:r>
    </w:p>
    <w:p>
      <w:pPr>
        <w:pStyle w:val="Heading2"/>
        <w:spacing w:after="160" w:before="280"/>
      </w:pPr>
      <w:r>
        <w:rPr>
          <w:rFonts w:ascii="Arial" w:cs="Arial" w:eastAsia="Arial" w:hAnsi="Arial"/>
          <w:b/>
          <w:bCs/>
          <w:color w:val="1A1A1A"/>
        </w:rPr>
        <w:t xml:space="preserve">Styled "What To Do Monday" Action Cards</w:t>
      </w:r>
    </w:p>
    <w:p>
      <w:pPr>
        <w:spacing w:after="160" w:line="340"/>
      </w:pPr>
      <w:r>
        <w:rPr>
          <w:rFonts w:ascii="Arial" w:cs="Arial" w:eastAsia="Arial" w:hAnsi="Arial"/>
          <w:b w:val="false"/>
          <w:bCs w:val="false"/>
          <w:i w:val="false"/>
          <w:iCs w:val="false"/>
          <w:color w:val="444444"/>
          <w:sz w:val="22"/>
          <w:szCs w:val="22"/>
        </w:rPr>
        <w:t xml:space="preserve">The executive brief’s action section was redesigned from flat markdown bullets to numbered card blocks with:</w:t>
      </w:r>
    </w:p>
    <w:p>
      <w:pPr>
        <w:pStyle w:val="ListParagraph"/>
        <w:numPr>
          <w:ilvl w:val="0"/>
          <w:numId w:val="2"/>
        </w:numPr>
        <w:spacing w:after="100" w:line="340"/>
      </w:pPr>
      <w:r>
        <w:rPr>
          <w:rFonts w:ascii="Arial" w:cs="Arial" w:eastAsia="Arial" w:hAnsi="Arial"/>
          <w:b/>
          <w:bCs/>
          <w:i w:val="false"/>
          <w:iCs w:val="false"/>
          <w:color w:val="444444"/>
          <w:sz w:val="22"/>
          <w:szCs w:val="22"/>
        </w:rPr>
        <w:t xml:space="preserve">Numbered identifiers (01, 02, 03) </w:t>
      </w:r>
      <w:r>
        <w:rPr>
          <w:rFonts w:ascii="Arial" w:cs="Arial" w:eastAsia="Arial" w:hAnsi="Arial"/>
          <w:b w:val="false"/>
          <w:bCs w:val="false"/>
          <w:i w:val="false"/>
          <w:iCs w:val="false"/>
          <w:color w:val="444444"/>
          <w:sz w:val="22"/>
          <w:szCs w:val="22"/>
        </w:rPr>
        <w:t xml:space="preserve">in the accent color, creating a visual sequence.</w:t>
      </w:r>
    </w:p>
    <w:p>
      <w:pPr>
        <w:pStyle w:val="ListParagraph"/>
        <w:numPr>
          <w:ilvl w:val="0"/>
          <w:numId w:val="2"/>
        </w:numPr>
        <w:spacing w:after="100" w:line="340"/>
      </w:pPr>
      <w:r>
        <w:rPr>
          <w:rFonts w:ascii="Arial" w:cs="Arial" w:eastAsia="Arial" w:hAnsi="Arial"/>
          <w:b/>
          <w:bCs/>
          <w:i w:val="false"/>
          <w:iCs w:val="false"/>
          <w:color w:val="444444"/>
          <w:sz w:val="22"/>
          <w:szCs w:val="22"/>
        </w:rPr>
        <w:t xml:space="preserve">Action title separated from explanation </w:t>
      </w:r>
      <w:r>
        <w:rPr>
          <w:rFonts w:ascii="Arial" w:cs="Arial" w:eastAsia="Arial" w:hAnsi="Arial"/>
          <w:b w:val="false"/>
          <w:bCs w:val="false"/>
          <w:i w:val="false"/>
          <w:iCs w:val="false"/>
          <w:color w:val="444444"/>
          <w:sz w:val="22"/>
          <w:szCs w:val="22"/>
        </w:rPr>
        <w:t xml:space="preserve">— the bold directive renders in the display font (Fraunces), the supporting rationale in body font below it.</w:t>
      </w:r>
    </w:p>
    <w:p>
      <w:pPr>
        <w:pStyle w:val="ListParagraph"/>
        <w:numPr>
          <w:ilvl w:val="0"/>
          <w:numId w:val="2"/>
        </w:numPr>
        <w:spacing w:after="100" w:line="340"/>
      </w:pPr>
      <w:r>
        <w:rPr>
          <w:rFonts w:ascii="Arial" w:cs="Arial" w:eastAsia="Arial" w:hAnsi="Arial"/>
          <w:b/>
          <w:bCs/>
          <w:i w:val="false"/>
          <w:iCs w:val="false"/>
          <w:color w:val="444444"/>
          <w:sz w:val="22"/>
          <w:szCs w:val="22"/>
        </w:rPr>
        <w:t xml:space="preserve">Card-block styling </w:t>
      </w:r>
      <w:r>
        <w:rPr>
          <w:rFonts w:ascii="Arial" w:cs="Arial" w:eastAsia="Arial" w:hAnsi="Arial"/>
          <w:b w:val="false"/>
          <w:bCs w:val="false"/>
          <w:i w:val="false"/>
          <w:iCs w:val="false"/>
          <w:color w:val="444444"/>
          <w:sz w:val="22"/>
          <w:szCs w:val="22"/>
        </w:rPr>
        <w:t xml:space="preserve">with background, left accent border, and generous spacing. Each action feels like a discrete deliverable, not a bullet point.</w:t>
      </w:r>
    </w:p>
    <w:p>
      <w:pPr>
        <w:spacing w:after="160" w:line="340"/>
      </w:pPr>
      <w:r>
        <w:rPr>
          <w:rFonts w:ascii="Arial" w:cs="Arial" w:eastAsia="Arial" w:hAnsi="Arial"/>
          <w:b w:val="false"/>
          <w:bCs w:val="false"/>
          <w:i w:val="false"/>
          <w:iCs w:val="false"/>
          <w:color w:val="444444"/>
          <w:sz w:val="22"/>
          <w:szCs w:val="22"/>
        </w:rPr>
        <w:t xml:space="preserve">This is a branding decision as much as a UX decision. The brief should feel like receiving a consulting deliverable, not reading a chat log.</w:t>
      </w:r>
    </w:p>
    <w:p>
      <w:pPr>
        <w:pStyle w:val="Heading2"/>
        <w:spacing w:after="160" w:before="280"/>
      </w:pPr>
      <w:r>
        <w:rPr>
          <w:rFonts w:ascii="Arial" w:cs="Arial" w:eastAsia="Arial" w:hAnsi="Arial"/>
          <w:b/>
          <w:bCs/>
          <w:color w:val="1A1A1A"/>
        </w:rPr>
        <w:t xml:space="preserve">Single-Click Advancement</w:t>
      </w:r>
    </w:p>
    <w:p>
      <w:pPr>
        <w:spacing w:after="160" w:line="340"/>
      </w:pPr>
      <w:r>
        <w:rPr>
          <w:rFonts w:ascii="Arial" w:cs="Arial" w:eastAsia="Arial" w:hAnsi="Arial"/>
          <w:b w:val="false"/>
          <w:bCs w:val="false"/>
          <w:i w:val="false"/>
          <w:iCs w:val="false"/>
          <w:color w:val="444444"/>
          <w:sz w:val="22"/>
          <w:szCs w:val="22"/>
        </w:rPr>
        <w:t xml:space="preserve">The original question flow used a select-then-confirm pattern (click to select, double-click or wait 3 seconds to advance). This was replaced with single-click advancement with a 250ms visual flash. The rationale: the assessment should have zero friction. Every unnecessary interaction adds abandonment risk. Users should feel momentum, not bureaucracy.</w:t>
      </w:r>
    </w:p>
    <w:p>
      <w:pPr>
        <w:pBdr>
          <w:bottom w:val="single" w:color="DDDDDD" w:sz="1" w:space="1"/>
        </w:pBdr>
        <w:spacing w:after="200" w:before="200"/>
      </w:pPr>
      <w:r>
        <w:rPr>
          <w:rFonts w:ascii="Arial" w:cs="Arial" w:eastAsia="Arial" w:hAnsi="Arial"/>
        </w:rPr>
        <w:t xml:space="preserve"/>
      </w:r>
    </w:p>
    <w:p>
      <w:pPr>
        <w:pStyle w:val="Heading1"/>
        <w:spacing w:after="200" w:before="360"/>
      </w:pPr>
      <w:r>
        <w:rPr>
          <w:rFonts w:ascii="Arial" w:cs="Arial" w:eastAsia="Arial" w:hAnsi="Arial"/>
          <w:b/>
          <w:bCs/>
          <w:color w:val="1A1A1A"/>
        </w:rPr>
        <w:t xml:space="preserve">Deployment Log</w:t>
      </w:r>
    </w:p>
    <w:p>
      <w:pPr>
        <w:spacing w:after="160" w:line="340"/>
      </w:pPr>
      <w:r>
        <w:rPr>
          <w:rFonts w:ascii="Arial" w:cs="Arial" w:eastAsia="Arial" w:hAnsi="Arial"/>
          <w:b w:val="false"/>
          <w:bCs w:val="false"/>
          <w:i w:val="false"/>
          <w:iCs w:val="false"/>
          <w:color w:val="444444"/>
          <w:sz w:val="22"/>
          <w:szCs w:val="22"/>
        </w:rPr>
        <w:t xml:space="preserve">Eight production commits on March 28,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160"/>
        <w:gridCol w:w="2800"/>
      </w:tblGrid>
      <w:tr>
        <w:tc>
          <w:tcPr>
            <w:tcW w:type="dxa" w:w="1400"/>
            <w:tcBorders>
              <w:top w:val="single" w:color="DDDDDD" w:sz="1"/>
              <w:left w:val="single" w:color="DDDDDD" w:sz="1"/>
              <w:bottom w:val="single" w:color="DDDDDD" w:sz="1"/>
              <w:right w:val="single" w:color="DDDDDD" w:sz="1"/>
            </w:tcBorders>
            <w:shd w:fill="F0E6D6" w:val="clear"/>
            <w:tcMar>
              <w:top w:type="dxa" w:w="80"/>
              <w:left w:type="dxa" w:w="120"/>
              <w:bottom w:type="dxa" w:w="80"/>
              <w:right w:type="dxa" w:w="120"/>
            </w:tcMar>
          </w:tcPr>
          <w:p>
            <w:r>
              <w:rPr>
                <w:rFonts w:ascii="Arial" w:cs="Arial" w:eastAsia="Arial" w:hAnsi="Arial"/>
                <w:b/>
                <w:bCs/>
                <w:color w:val="1A1A1A"/>
                <w:sz w:val="20"/>
                <w:szCs w:val="20"/>
              </w:rPr>
              <w:t xml:space="preserve">Commit</w:t>
            </w:r>
          </w:p>
        </w:tc>
        <w:tc>
          <w:tcPr>
            <w:tcW w:type="dxa" w:w="5160"/>
            <w:tcBorders>
              <w:top w:val="single" w:color="DDDDDD" w:sz="1"/>
              <w:left w:val="single" w:color="DDDDDD" w:sz="1"/>
              <w:bottom w:val="single" w:color="DDDDDD" w:sz="1"/>
              <w:right w:val="single" w:color="DDDDDD" w:sz="1"/>
            </w:tcBorders>
            <w:shd w:fill="F0E6D6" w:val="clear"/>
            <w:tcMar>
              <w:top w:type="dxa" w:w="80"/>
              <w:left w:type="dxa" w:w="120"/>
              <w:bottom w:type="dxa" w:w="80"/>
              <w:right w:type="dxa" w:w="120"/>
            </w:tcMar>
          </w:tcPr>
          <w:p>
            <w:r>
              <w:rPr>
                <w:rFonts w:ascii="Arial" w:cs="Arial" w:eastAsia="Arial" w:hAnsi="Arial"/>
                <w:b/>
                <w:bCs/>
                <w:color w:val="1A1A1A"/>
                <w:sz w:val="20"/>
                <w:szCs w:val="20"/>
              </w:rPr>
              <w:t xml:space="preserve">Description</w:t>
            </w:r>
          </w:p>
        </w:tc>
        <w:tc>
          <w:tcPr>
            <w:tcW w:type="dxa" w:w="2800"/>
            <w:tcBorders>
              <w:top w:val="single" w:color="DDDDDD" w:sz="1"/>
              <w:left w:val="single" w:color="DDDDDD" w:sz="1"/>
              <w:bottom w:val="single" w:color="DDDDDD" w:sz="1"/>
              <w:right w:val="single" w:color="DDDDDD" w:sz="1"/>
            </w:tcBorders>
            <w:shd w:fill="F0E6D6" w:val="clear"/>
            <w:tcMar>
              <w:top w:type="dxa" w:w="80"/>
              <w:left w:type="dxa" w:w="120"/>
              <w:bottom w:type="dxa" w:w="80"/>
              <w:right w:type="dxa" w:w="120"/>
            </w:tcMar>
          </w:tcPr>
          <w:p>
            <w:r>
              <w:rPr>
                <w:rFonts w:ascii="Arial" w:cs="Arial" w:eastAsia="Arial" w:hAnsi="Arial"/>
                <w:b/>
                <w:bCs/>
                <w:color w:val="1A1A1A"/>
                <w:sz w:val="20"/>
                <w:szCs w:val="20"/>
              </w:rPr>
              <w:t xml:space="preserve">Impact</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1</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API proxy + client wrapper + D1 migration</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Infrastructure foundation</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2</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Taste reasoning follow-ups + consistent site nav</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Feature 1 + site housekeeping</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3</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CU2 open-ended response with API analysis</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Feature 2</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4</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Executive brief with streaming + rate limiting</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Feature 3 (main event)</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5</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Scenario-specific reasoning + scoring caps</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Quality refinement</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6</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Graceful D1 fallback in proxy</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Production bug fix</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7</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Homepage fixes (Coming Soon, links)</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User-facing polish</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8</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Styled action cards + single-click flow</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UX refinement</w:t>
            </w:r>
          </w:p>
        </w:tc>
      </w:tr>
    </w:tbl>
    <w:p>
      <w:r>
        <w:br w:type="page"/>
      </w:r>
    </w:p>
    <w:p>
      <w:pPr>
        <w:pStyle w:val="Heading1"/>
        <w:spacing w:after="200" w:before="360"/>
      </w:pPr>
      <w:r>
        <w:rPr>
          <w:rFonts w:ascii="Arial" w:cs="Arial" w:eastAsia="Arial" w:hAnsi="Arial"/>
          <w:b/>
          <w:bCs/>
          <w:color w:val="1A1A1A"/>
        </w:rPr>
        <w:t xml:space="preserve">Interview Talking Points</w:t>
      </w:r>
    </w:p>
    <w:p>
      <w:pPr>
        <w:spacing w:after="160" w:line="340"/>
      </w:pPr>
      <w:r>
        <w:rPr>
          <w:rFonts w:ascii="Arial" w:cs="Arial" w:eastAsia="Arial" w:hAnsi="Arial"/>
          <w:b w:val="false"/>
          <w:bCs w:val="false"/>
          <w:i w:val="false"/>
          <w:iCs w:val="false"/>
          <w:color w:val="444444"/>
          <w:sz w:val="22"/>
          <w:szCs w:val="22"/>
        </w:rPr>
        <w:t xml:space="preserve">The following points are structured for a $300K+ AI Strategy / Solutions Director conversation. Each connects a technical decision to a business principle.</w:t>
      </w:r>
    </w:p>
    <w:p>
      <w:pPr>
        <w:spacing w:after="100" w:before="200"/>
      </w:pPr>
      <w:r>
        <w:rPr>
          <w:rFonts w:ascii="Arial" w:cs="Arial" w:eastAsia="Arial" w:hAnsi="Arial"/>
          <w:b/>
          <w:bCs/>
          <w:caps/>
          <w:color w:val="C67A2E"/>
          <w:sz w:val="20"/>
          <w:szCs w:val="20"/>
        </w:rPr>
        <w:t xml:space="preserve">On Model Selection</w:t>
      </w:r>
    </w:p>
    <w:p>
      <w:pPr>
        <w:spacing w:after="160" w:line="340"/>
      </w:pPr>
      <w:r>
        <w:rPr>
          <w:rFonts w:ascii="Arial" w:cs="Arial" w:eastAsia="Arial" w:hAnsi="Arial"/>
          <w:b w:val="false"/>
          <w:bCs w:val="false"/>
          <w:i w:val="false"/>
          <w:iCs w:val="false"/>
          <w:color w:val="444444"/>
          <w:sz w:val="22"/>
          <w:szCs w:val="22"/>
        </w:rPr>
        <w:t xml:space="preserve">"We route different features to different models based on task requirements. Classification tasks get a fast, cheap model. Generative showcase features get the best model available. This is how you control AI costs at scale — not by picking one model, but by matching model capability to business value."</w:t>
      </w:r>
    </w:p>
    <w:p>
      <w:pPr>
        <w:spacing w:after="100" w:before="200"/>
      </w:pPr>
      <w:r>
        <w:rPr>
          <w:rFonts w:ascii="Arial" w:cs="Arial" w:eastAsia="Arial" w:hAnsi="Arial"/>
          <w:b/>
          <w:bCs/>
          <w:caps/>
          <w:color w:val="C67A2E"/>
          <w:sz w:val="20"/>
          <w:szCs w:val="20"/>
        </w:rPr>
        <w:t xml:space="preserve">On Build vs. Buy</w:t>
      </w:r>
    </w:p>
    <w:p>
      <w:pPr>
        <w:spacing w:after="160" w:line="340"/>
      </w:pPr>
      <w:r>
        <w:rPr>
          <w:rFonts w:ascii="Arial" w:cs="Arial" w:eastAsia="Arial" w:hAnsi="Arial"/>
          <w:b w:val="false"/>
          <w:bCs w:val="false"/>
          <w:i w:val="false"/>
          <w:iCs w:val="false"/>
          <w:color w:val="444444"/>
          <w:sz w:val="22"/>
          <w:szCs w:val="22"/>
        </w:rPr>
        <w:t xml:space="preserve">"The assessment’s core scoring engine is entirely deterministic — no AI involved. We only integrated AI where it provides irreplaceable value: analyzing ambiguous free text and generating personalized narratives. If you can solve it with a lookup table, you should. AI is expensive, non-deterministic, and introduces a dependency. Use it where it’s the only option, not where it’s a convenient one."</w:t>
      </w:r>
    </w:p>
    <w:p>
      <w:pPr>
        <w:spacing w:after="100" w:before="200"/>
      </w:pPr>
      <w:r>
        <w:rPr>
          <w:rFonts w:ascii="Arial" w:cs="Arial" w:eastAsia="Arial" w:hAnsi="Arial"/>
          <w:b/>
          <w:bCs/>
          <w:caps/>
          <w:color w:val="C67A2E"/>
          <w:sz w:val="20"/>
          <w:szCs w:val="20"/>
        </w:rPr>
        <w:t xml:space="preserve">On Cost Architecture</w:t>
      </w:r>
    </w:p>
    <w:p>
      <w:pPr>
        <w:spacing w:after="160" w:line="340"/>
      </w:pPr>
      <w:r>
        <w:rPr>
          <w:rFonts w:ascii="Arial" w:cs="Arial" w:eastAsia="Arial" w:hAnsi="Arial"/>
          <w:b w:val="false"/>
          <w:bCs w:val="false"/>
          <w:i w:val="false"/>
          <w:iCs w:val="false"/>
          <w:color w:val="444444"/>
          <w:sz w:val="22"/>
          <w:szCs w:val="22"/>
        </w:rPr>
        <w:t xml:space="preserve">"We built the cost controls before the features. Rate limiting, gated generation, per-IP caps — all in place before the first user sees the brief. This isn’t optimization; it’s architecture. An AI feature without cost controls is a liability, not an asset."</w:t>
      </w:r>
    </w:p>
    <w:p>
      <w:pPr>
        <w:spacing w:after="100" w:before="200"/>
      </w:pPr>
      <w:r>
        <w:rPr>
          <w:rFonts w:ascii="Arial" w:cs="Arial" w:eastAsia="Arial" w:hAnsi="Arial"/>
          <w:b/>
          <w:bCs/>
          <w:caps/>
          <w:color w:val="C67A2E"/>
          <w:sz w:val="20"/>
          <w:szCs w:val="20"/>
        </w:rPr>
        <w:t xml:space="preserve">On Deterministic Fallback</w:t>
      </w:r>
    </w:p>
    <w:p>
      <w:pPr>
        <w:spacing w:after="160" w:line="340"/>
      </w:pPr>
      <w:r>
        <w:rPr>
          <w:rFonts w:ascii="Arial" w:cs="Arial" w:eastAsia="Arial" w:hAnsi="Arial"/>
          <w:b w:val="false"/>
          <w:bCs w:val="false"/>
          <w:i w:val="false"/>
          <w:iCs w:val="false"/>
          <w:color w:val="444444"/>
          <w:sz w:val="22"/>
          <w:szCs w:val="22"/>
        </w:rPr>
        <w:t xml:space="preserve">"Every AI-enhanced feature in the assessment degrades gracefully. If the API is down, the user still gets their full diagnostic results. The AI layer is additive, not foundational. This is the principle I’d apply to any enterprise AI deployment: your core business process should never depend on a third-party inference endpoint."</w:t>
      </w:r>
    </w:p>
    <w:p>
      <w:pPr>
        <w:spacing w:after="100" w:before="200"/>
      </w:pPr>
      <w:r>
        <w:rPr>
          <w:rFonts w:ascii="Arial" w:cs="Arial" w:eastAsia="Arial" w:hAnsi="Arial"/>
          <w:b/>
          <w:bCs/>
          <w:caps/>
          <w:color w:val="C67A2E"/>
          <w:sz w:val="20"/>
          <w:szCs w:val="20"/>
        </w:rPr>
        <w:t xml:space="preserve">On Streaming</w:t>
      </w:r>
    </w:p>
    <w:p>
      <w:pPr>
        <w:spacing w:after="160" w:line="340"/>
      </w:pPr>
      <w:r>
        <w:rPr>
          <w:rFonts w:ascii="Arial" w:cs="Arial" w:eastAsia="Arial" w:hAnsi="Arial"/>
          <w:b w:val="false"/>
          <w:bCs w:val="false"/>
          <w:i w:val="false"/>
          <w:iCs w:val="false"/>
          <w:color w:val="444444"/>
          <w:sz w:val="22"/>
          <w:szCs w:val="22"/>
        </w:rPr>
        <w:t xml:space="preserve">"We chose streaming for the executive brief because it solves three problems simultaneously: UX (no blank loading screen), infrastructure (no worker timeout risk), and perception (watching the analysis appear feels more valuable than seeing it all at once). The technical decision serves the business outcome."</w:t>
      </w:r>
    </w:p>
    <w:p>
      <w:pPr>
        <w:spacing w:after="100" w:before="200"/>
      </w:pPr>
      <w:r>
        <w:rPr>
          <w:rFonts w:ascii="Arial" w:cs="Arial" w:eastAsia="Arial" w:hAnsi="Arial"/>
          <w:b/>
          <w:bCs/>
          <w:caps/>
          <w:color w:val="C67A2E"/>
          <w:sz w:val="20"/>
          <w:szCs w:val="20"/>
        </w:rPr>
        <w:t xml:space="preserve">On AI-Assisted Development</w:t>
      </w:r>
    </w:p>
    <w:p>
      <w:pPr>
        <w:spacing w:after="160" w:line="340"/>
      </w:pPr>
      <w:r>
        <w:rPr>
          <w:rFonts w:ascii="Arial" w:cs="Arial" w:eastAsia="Arial" w:hAnsi="Arial"/>
          <w:b w:val="false"/>
          <w:bCs w:val="false"/>
          <w:i w:val="false"/>
          <w:iCs w:val="false"/>
          <w:color w:val="444444"/>
          <w:sz w:val="22"/>
          <w:szCs w:val="22"/>
        </w:rPr>
        <w:t xml:space="preserve">"I built this entire integration in a single evening using Claude Code as my development tool. The value I bring isn’t hand-writing JavaScript — it’s knowing what to build, writing precise specifications, evaluating output quality, and making architectural decisions. That’s the skill set that matters for AI implementation leadership. The question isn’t whether I can write a Cloudflare Worker from memory; it’s whether I can design a system that’s secure, cost-controlled, gracefully degrading, and production-ready."</w:t>
      </w:r>
    </w:p>
    <w:p>
      <w:pPr>
        <w:pBdr>
          <w:bottom w:val="single" w:color="DDDDDD" w:sz="1" w:space="1"/>
        </w:pBdr>
        <w:spacing w:after="200" w:before="200"/>
      </w:pPr>
      <w:r>
        <w:rPr>
          <w:rFonts w:ascii="Arial" w:cs="Arial" w:eastAsia="Arial" w:hAnsi="Arial"/>
        </w:rPr>
        <w:t xml:space="preserve"/>
      </w:r>
    </w:p>
    <w:p>
      <w:pPr>
        <w:spacing w:before="400"/>
        <w:jc w:val="center"/>
      </w:pPr>
      <w:r>
        <w:rPr>
          <w:rFonts w:ascii="Arial" w:cs="Arial" w:eastAsia="Arial" w:hAnsi="Arial"/>
          <w:color w:val="777777"/>
          <w:sz w:val="18"/>
          <w:szCs w:val="18"/>
        </w:rPr>
        <w:t xml:space="preserve">nickjewell.ai  |  github.com/Nickjewell-AI/nickjewell-ai  |  linkedin.com/in/nickjewell-ai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1A1A1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2026-03-29T04:07:59.661Z</dcterms:created>
  <dcterms:modified xsi:type="dcterms:W3CDTF">2026-03-29T04:07:59.662Z</dcterms:modified>
</cp:coreProperties>
</file>

<file path=docProps/custom.xml><?xml version="1.0" encoding="utf-8"?>
<Properties xmlns="http://schemas.openxmlformats.org/officeDocument/2006/custom-properties" xmlns:vt="http://schemas.openxmlformats.org/officeDocument/2006/docPropsVTypes"/>
</file>