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7AD" w:rsidRPr="000D588B" w:rsidRDefault="000D588B" w:rsidP="000D588B">
      <w:pPr>
        <w:jc w:val="center"/>
        <w:rPr>
          <w:b/>
        </w:rPr>
      </w:pPr>
      <w:r w:rsidRPr="000D588B">
        <w:rPr>
          <w:b/>
        </w:rPr>
        <w:t>REGRESIONES INGRESO VS PRECIOS DE LA GASOLINA</w:t>
      </w:r>
    </w:p>
    <w:p w:rsidR="000D588B" w:rsidRDefault="000D588B"/>
    <w:p w:rsidR="000D588B" w:rsidRDefault="000D588B">
      <w:r>
        <w:t xml:space="preserve">La base de datos usada para la estimación es la entregada por la </w:t>
      </w:r>
      <w:proofErr w:type="spellStart"/>
      <w:r>
        <w:t>supersociedades</w:t>
      </w:r>
      <w:proofErr w:type="spellEnd"/>
      <w:r>
        <w:t xml:space="preserve"> en su página web, donde se obtienen los estados financieros. La base está compuesta por todas las empresas en Colombia, entre el 2005 y el 2013, con más de 46.000 registros válidos. </w:t>
      </w:r>
    </w:p>
    <w:p w:rsidR="000D588B" w:rsidRDefault="000D588B"/>
    <w:p w:rsidR="000D588B" w:rsidRDefault="000D588B">
      <w:r>
        <w:t>Para efectos del estudio, se ha concentrado en empresas que comercien alimentos con el consumidor (comercio al por menor). Cada empresa tiene asociado dos códigos CIIU (</w:t>
      </w:r>
      <w:r w:rsidRPr="000D588B">
        <w:t>Clasificación Industrial Internacional Uniforme de todas l</w:t>
      </w:r>
      <w:r>
        <w:t xml:space="preserve">as actividades económicas) basado en la revisión 3.0 adaptada para Colombia –por el DANE. El primer código es el reportado por cada empresa (variable: </w:t>
      </w:r>
      <w:proofErr w:type="spellStart"/>
      <w:r w:rsidRPr="000D588B">
        <w:rPr>
          <w:i/>
        </w:rPr>
        <w:t>ciiuc</w:t>
      </w:r>
      <w:proofErr w:type="spellEnd"/>
      <w:r>
        <w:t xml:space="preserve">) y el segundo es construido a partir de la actividad con mayor proporción de ventas (que supere al menos el 50% del total de ventas de la empresa. Variable: </w:t>
      </w:r>
      <w:r>
        <w:rPr>
          <w:i/>
        </w:rPr>
        <w:t>sectorppal2</w:t>
      </w:r>
      <w:r>
        <w:t>).</w:t>
      </w:r>
      <w:r w:rsidR="00913055">
        <w:t xml:space="preserve"> La tabla 1 presenta los resultados de las desagregaciones.</w:t>
      </w:r>
    </w:p>
    <w:p w:rsidR="00913055" w:rsidRPr="00EB7423" w:rsidRDefault="00913055"/>
    <w:p w:rsidR="00EB7423" w:rsidRPr="00EB7423" w:rsidRDefault="00EB7423" w:rsidP="00EB7423">
      <w:pPr>
        <w:pStyle w:val="Descripcin"/>
        <w:keepNext/>
        <w:jc w:val="center"/>
        <w:rPr>
          <w:i w:val="0"/>
          <w:color w:val="auto"/>
          <w:sz w:val="24"/>
        </w:rPr>
      </w:pPr>
      <w:r w:rsidRPr="00EB7423">
        <w:rPr>
          <w:b/>
          <w:i w:val="0"/>
          <w:color w:val="auto"/>
          <w:sz w:val="24"/>
        </w:rPr>
        <w:t xml:space="preserve">Tabla </w:t>
      </w:r>
      <w:r w:rsidRPr="00EB7423">
        <w:rPr>
          <w:b/>
          <w:i w:val="0"/>
          <w:color w:val="auto"/>
          <w:sz w:val="24"/>
        </w:rPr>
        <w:fldChar w:fldCharType="begin"/>
      </w:r>
      <w:r w:rsidRPr="00EB7423">
        <w:rPr>
          <w:b/>
          <w:i w:val="0"/>
          <w:color w:val="auto"/>
          <w:sz w:val="24"/>
        </w:rPr>
        <w:instrText xml:space="preserve"> SEQ Tabla \* ARABIC </w:instrText>
      </w:r>
      <w:r w:rsidRPr="00EB7423">
        <w:rPr>
          <w:b/>
          <w:i w:val="0"/>
          <w:color w:val="auto"/>
          <w:sz w:val="24"/>
        </w:rPr>
        <w:fldChar w:fldCharType="separate"/>
      </w:r>
      <w:r w:rsidR="008E590F">
        <w:rPr>
          <w:b/>
          <w:i w:val="0"/>
          <w:noProof/>
          <w:color w:val="auto"/>
          <w:sz w:val="24"/>
        </w:rPr>
        <w:t>1</w:t>
      </w:r>
      <w:r w:rsidRPr="00EB7423">
        <w:rPr>
          <w:b/>
          <w:i w:val="0"/>
          <w:color w:val="auto"/>
          <w:sz w:val="24"/>
        </w:rPr>
        <w:fldChar w:fldCharType="end"/>
      </w:r>
      <w:r w:rsidRPr="00EB7423">
        <w:rPr>
          <w:b/>
          <w:i w:val="0"/>
          <w:color w:val="auto"/>
          <w:sz w:val="24"/>
        </w:rPr>
        <w:t>.</w:t>
      </w:r>
      <w:r w:rsidRPr="00EB7423">
        <w:rPr>
          <w:i w:val="0"/>
          <w:color w:val="auto"/>
          <w:sz w:val="24"/>
        </w:rPr>
        <w:t xml:space="preserve"> Estructura CIIU rev</w:t>
      </w:r>
      <w:r w:rsidR="000C67AD">
        <w:rPr>
          <w:i w:val="0"/>
          <w:color w:val="auto"/>
          <w:sz w:val="24"/>
        </w:rPr>
        <w:t>isión</w:t>
      </w:r>
      <w:r w:rsidRPr="00EB7423">
        <w:rPr>
          <w:i w:val="0"/>
          <w:color w:val="auto"/>
          <w:sz w:val="24"/>
        </w:rPr>
        <w:t xml:space="preserve"> 3.0 A.C.</w:t>
      </w:r>
    </w:p>
    <w:tbl>
      <w:tblPr>
        <w:tblStyle w:val="Tablanormal2"/>
        <w:tblW w:w="0" w:type="auto"/>
        <w:tblLayout w:type="fixed"/>
        <w:tblLook w:val="04A0" w:firstRow="1" w:lastRow="0" w:firstColumn="1" w:lastColumn="0" w:noHBand="0" w:noVBand="1"/>
      </w:tblPr>
      <w:tblGrid>
        <w:gridCol w:w="1134"/>
        <w:gridCol w:w="851"/>
        <w:gridCol w:w="850"/>
        <w:gridCol w:w="3544"/>
        <w:gridCol w:w="992"/>
        <w:gridCol w:w="1457"/>
      </w:tblGrid>
      <w:tr w:rsidR="00913055" w:rsidRPr="00913055" w:rsidTr="00913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r w:rsidRPr="00913055">
              <w:rPr>
                <w:rFonts w:cs="Arial"/>
                <w:sz w:val="18"/>
                <w:szCs w:val="18"/>
              </w:rPr>
              <w:t>Sección/División</w:t>
            </w:r>
          </w:p>
        </w:tc>
        <w:tc>
          <w:tcPr>
            <w:tcW w:w="851" w:type="dxa"/>
            <w:vAlign w:val="center"/>
          </w:tcPr>
          <w:p w:rsidR="00913055" w:rsidRPr="00913055" w:rsidRDefault="00913055" w:rsidP="00913055">
            <w:pPr>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Grupo</w:t>
            </w:r>
          </w:p>
        </w:tc>
        <w:tc>
          <w:tcPr>
            <w:tcW w:w="850" w:type="dxa"/>
            <w:vAlign w:val="center"/>
          </w:tcPr>
          <w:p w:rsidR="00913055" w:rsidRPr="00913055" w:rsidRDefault="00913055" w:rsidP="00913055">
            <w:pPr>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Clase</w:t>
            </w:r>
          </w:p>
        </w:tc>
        <w:tc>
          <w:tcPr>
            <w:tcW w:w="3544" w:type="dxa"/>
            <w:vAlign w:val="center"/>
          </w:tcPr>
          <w:p w:rsidR="00913055" w:rsidRPr="00913055" w:rsidRDefault="00913055" w:rsidP="00913055">
            <w:pPr>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Descripción</w:t>
            </w:r>
          </w:p>
        </w:tc>
        <w:tc>
          <w:tcPr>
            <w:tcW w:w="992" w:type="dxa"/>
            <w:vAlign w:val="center"/>
          </w:tcPr>
          <w:p w:rsidR="00913055" w:rsidRPr="00913055" w:rsidRDefault="00913055" w:rsidP="00913055">
            <w:pPr>
              <w:jc w:val="center"/>
              <w:cnfStyle w:val="100000000000" w:firstRow="1" w:lastRow="0" w:firstColumn="0" w:lastColumn="0" w:oddVBand="0" w:evenVBand="0" w:oddHBand="0" w:evenHBand="0" w:firstRowFirstColumn="0" w:firstRowLastColumn="0" w:lastRowFirstColumn="0" w:lastRowLastColumn="0"/>
              <w:rPr>
                <w:rFonts w:cs="Arial"/>
                <w:i/>
                <w:sz w:val="18"/>
                <w:szCs w:val="18"/>
              </w:rPr>
            </w:pPr>
            <w:proofErr w:type="spellStart"/>
            <w:r w:rsidRPr="00913055">
              <w:rPr>
                <w:rFonts w:cs="Arial"/>
                <w:sz w:val="18"/>
                <w:szCs w:val="18"/>
              </w:rPr>
              <w:t>Frec</w:t>
            </w:r>
            <w:proofErr w:type="spellEnd"/>
            <w:r w:rsidRPr="00913055">
              <w:rPr>
                <w:rFonts w:cs="Arial"/>
                <w:sz w:val="18"/>
                <w:szCs w:val="18"/>
              </w:rPr>
              <w:t xml:space="preserve">. </w:t>
            </w:r>
            <w:proofErr w:type="spellStart"/>
            <w:r w:rsidRPr="00913055">
              <w:rPr>
                <w:rFonts w:cs="Arial"/>
                <w:i/>
                <w:sz w:val="18"/>
                <w:szCs w:val="18"/>
              </w:rPr>
              <w:t>ciiuc</w:t>
            </w:r>
            <w:proofErr w:type="spellEnd"/>
          </w:p>
        </w:tc>
        <w:tc>
          <w:tcPr>
            <w:tcW w:w="1457" w:type="dxa"/>
            <w:vAlign w:val="center"/>
          </w:tcPr>
          <w:p w:rsidR="00913055" w:rsidRPr="00913055" w:rsidRDefault="00913055" w:rsidP="00913055">
            <w:pPr>
              <w:jc w:val="center"/>
              <w:cnfStyle w:val="100000000000" w:firstRow="1" w:lastRow="0" w:firstColumn="0" w:lastColumn="0" w:oddVBand="0" w:evenVBand="0" w:oddHBand="0" w:evenHBand="0" w:firstRowFirstColumn="0" w:firstRowLastColumn="0" w:lastRowFirstColumn="0" w:lastRowLastColumn="0"/>
              <w:rPr>
                <w:rFonts w:cs="Arial"/>
                <w:i/>
                <w:sz w:val="18"/>
                <w:szCs w:val="18"/>
              </w:rPr>
            </w:pPr>
            <w:proofErr w:type="spellStart"/>
            <w:r w:rsidRPr="00913055">
              <w:rPr>
                <w:rFonts w:cs="Arial"/>
                <w:sz w:val="18"/>
                <w:szCs w:val="18"/>
              </w:rPr>
              <w:t>Frec</w:t>
            </w:r>
            <w:proofErr w:type="spellEnd"/>
            <w:r w:rsidRPr="00913055">
              <w:rPr>
                <w:rFonts w:cs="Arial"/>
                <w:sz w:val="18"/>
                <w:szCs w:val="18"/>
              </w:rPr>
              <w:t xml:space="preserve">. </w:t>
            </w:r>
            <w:r w:rsidRPr="00913055">
              <w:rPr>
                <w:rFonts w:cs="Arial"/>
                <w:i/>
                <w:sz w:val="18"/>
                <w:szCs w:val="18"/>
              </w:rPr>
              <w:t>sectorppal2</w:t>
            </w:r>
          </w:p>
        </w:tc>
      </w:tr>
      <w:tr w:rsidR="00913055" w:rsidRPr="00913055" w:rsidTr="00913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r w:rsidRPr="00913055">
              <w:rPr>
                <w:rFonts w:cs="Arial"/>
                <w:sz w:val="18"/>
                <w:szCs w:val="18"/>
              </w:rPr>
              <w:t>G</w:t>
            </w:r>
          </w:p>
        </w:tc>
        <w:tc>
          <w:tcPr>
            <w:tcW w:w="851"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3544" w:type="dxa"/>
            <w:vAlign w:val="center"/>
          </w:tcPr>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sz w:val="18"/>
                <w:szCs w:val="18"/>
              </w:rPr>
              <w:t>COMERCIO AL POR MAYOR Y AL POR MENOR; REPARACIÓN DE VEHÍCULOS AUTOMOTORES, MOTOCICLETAS, EFECTOS PERSONALES Y ENSERES DOMÉSTICOS</w:t>
            </w:r>
          </w:p>
        </w:tc>
        <w:tc>
          <w:tcPr>
            <w:tcW w:w="992"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457"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r>
      <w:tr w:rsidR="00913055" w:rsidRPr="00913055" w:rsidTr="00913055">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r w:rsidRPr="00913055">
              <w:rPr>
                <w:rFonts w:cs="Arial"/>
                <w:sz w:val="18"/>
                <w:szCs w:val="18"/>
              </w:rPr>
              <w:t>52</w:t>
            </w:r>
          </w:p>
        </w:tc>
        <w:tc>
          <w:tcPr>
            <w:tcW w:w="851"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3544" w:type="dxa"/>
            <w:vAlign w:val="center"/>
          </w:tcPr>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sz w:val="18"/>
                <w:szCs w:val="18"/>
              </w:rPr>
              <w:t>Comercio al por menor, excepto el comercio de vehículos automotores y motocicletas; reparación de efectos personales y enseres domésticos</w:t>
            </w:r>
          </w:p>
        </w:tc>
        <w:tc>
          <w:tcPr>
            <w:tcW w:w="992"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457"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913055" w:rsidRPr="00913055" w:rsidTr="00913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521</w:t>
            </w:r>
          </w:p>
        </w:tc>
        <w:tc>
          <w:tcPr>
            <w:tcW w:w="850"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3544" w:type="dxa"/>
            <w:vAlign w:val="center"/>
          </w:tcPr>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Comercio al por menor en establecimientos no especializados</w:t>
            </w:r>
          </w:p>
        </w:tc>
        <w:tc>
          <w:tcPr>
            <w:tcW w:w="992" w:type="dxa"/>
            <w:vAlign w:val="center"/>
          </w:tcPr>
          <w:p w:rsidR="00913055" w:rsidRPr="00913055" w:rsidRDefault="00C31ED1"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72</w:t>
            </w:r>
          </w:p>
        </w:tc>
        <w:tc>
          <w:tcPr>
            <w:tcW w:w="1457" w:type="dxa"/>
            <w:vAlign w:val="center"/>
          </w:tcPr>
          <w:p w:rsidR="00913055" w:rsidRPr="00913055" w:rsidRDefault="00C31ED1"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68</w:t>
            </w:r>
          </w:p>
        </w:tc>
      </w:tr>
      <w:tr w:rsidR="00913055" w:rsidRPr="00913055" w:rsidTr="00913055">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5211</w:t>
            </w:r>
          </w:p>
        </w:tc>
        <w:tc>
          <w:tcPr>
            <w:tcW w:w="3544" w:type="dxa"/>
            <w:vAlign w:val="center"/>
          </w:tcPr>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Comercio al por menor, en establecimientos no especializados, con surtido compuesto</w:t>
            </w:r>
          </w:p>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principalmente de alimentos (víveres en general), bebidas y tabaco</w:t>
            </w:r>
          </w:p>
        </w:tc>
        <w:tc>
          <w:tcPr>
            <w:tcW w:w="992"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33</w:t>
            </w:r>
          </w:p>
        </w:tc>
        <w:tc>
          <w:tcPr>
            <w:tcW w:w="1457"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32</w:t>
            </w:r>
          </w:p>
        </w:tc>
      </w:tr>
      <w:tr w:rsidR="00913055" w:rsidRPr="00913055" w:rsidTr="00913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5219</w:t>
            </w:r>
          </w:p>
        </w:tc>
        <w:tc>
          <w:tcPr>
            <w:tcW w:w="3544" w:type="dxa"/>
            <w:vAlign w:val="center"/>
          </w:tcPr>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Comercio al por menor en establecimientos no especializados, con surtido compuesto</w:t>
            </w:r>
          </w:p>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principalmente por productos diferentes de alimentos (víveres en general), bebidas y tabaco</w:t>
            </w:r>
          </w:p>
        </w:tc>
        <w:tc>
          <w:tcPr>
            <w:tcW w:w="992"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39</w:t>
            </w:r>
          </w:p>
        </w:tc>
        <w:tc>
          <w:tcPr>
            <w:tcW w:w="1457"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36</w:t>
            </w:r>
          </w:p>
        </w:tc>
      </w:tr>
      <w:tr w:rsidR="00913055" w:rsidRPr="00913055" w:rsidTr="00913055">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522</w:t>
            </w:r>
          </w:p>
        </w:tc>
        <w:tc>
          <w:tcPr>
            <w:tcW w:w="850"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3544" w:type="dxa"/>
            <w:vAlign w:val="center"/>
          </w:tcPr>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Comercio al por menor de alimentos (víveres en general), bebidas y tabaco, en</w:t>
            </w:r>
          </w:p>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establecimientos especializados</w:t>
            </w:r>
          </w:p>
        </w:tc>
        <w:tc>
          <w:tcPr>
            <w:tcW w:w="992" w:type="dxa"/>
            <w:vAlign w:val="center"/>
          </w:tcPr>
          <w:p w:rsidR="00913055" w:rsidRPr="00913055" w:rsidRDefault="00C31ED1"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92</w:t>
            </w:r>
          </w:p>
        </w:tc>
        <w:tc>
          <w:tcPr>
            <w:tcW w:w="1457" w:type="dxa"/>
            <w:vAlign w:val="center"/>
          </w:tcPr>
          <w:p w:rsidR="00913055" w:rsidRPr="00913055" w:rsidRDefault="00C31ED1"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92</w:t>
            </w:r>
          </w:p>
        </w:tc>
      </w:tr>
      <w:tr w:rsidR="00913055" w:rsidRPr="00913055" w:rsidTr="00913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5221</w:t>
            </w:r>
          </w:p>
        </w:tc>
        <w:tc>
          <w:tcPr>
            <w:tcW w:w="3544" w:type="dxa"/>
            <w:vAlign w:val="center"/>
          </w:tcPr>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Comercio al por menor de frutas y verduras, en establecimientos especializados</w:t>
            </w:r>
          </w:p>
        </w:tc>
        <w:tc>
          <w:tcPr>
            <w:tcW w:w="992"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4</w:t>
            </w:r>
          </w:p>
        </w:tc>
        <w:tc>
          <w:tcPr>
            <w:tcW w:w="1457"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3</w:t>
            </w:r>
          </w:p>
        </w:tc>
      </w:tr>
      <w:tr w:rsidR="00913055" w:rsidRPr="00913055" w:rsidTr="00913055">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5222</w:t>
            </w:r>
          </w:p>
        </w:tc>
        <w:tc>
          <w:tcPr>
            <w:tcW w:w="3544" w:type="dxa"/>
            <w:vAlign w:val="center"/>
          </w:tcPr>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Comercio al por menor de leche, productos lácteos y huevos, en establecimientos</w:t>
            </w:r>
          </w:p>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especializados</w:t>
            </w:r>
          </w:p>
        </w:tc>
        <w:tc>
          <w:tcPr>
            <w:tcW w:w="992"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13</w:t>
            </w:r>
          </w:p>
        </w:tc>
        <w:tc>
          <w:tcPr>
            <w:tcW w:w="1457"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11</w:t>
            </w:r>
          </w:p>
        </w:tc>
      </w:tr>
      <w:tr w:rsidR="00913055" w:rsidRPr="00913055" w:rsidTr="00913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5223</w:t>
            </w:r>
          </w:p>
        </w:tc>
        <w:tc>
          <w:tcPr>
            <w:tcW w:w="3544" w:type="dxa"/>
            <w:vAlign w:val="center"/>
          </w:tcPr>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Comercio al por menor de carnes (incluye aves de corral), productos cárnicos, pescados y</w:t>
            </w:r>
          </w:p>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productos de mar, en establecimientos especializados</w:t>
            </w:r>
          </w:p>
        </w:tc>
        <w:tc>
          <w:tcPr>
            <w:tcW w:w="992"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19</w:t>
            </w:r>
          </w:p>
        </w:tc>
        <w:tc>
          <w:tcPr>
            <w:tcW w:w="1457"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19</w:t>
            </w:r>
          </w:p>
        </w:tc>
      </w:tr>
      <w:tr w:rsidR="00913055" w:rsidRPr="00913055" w:rsidTr="00913055">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5224</w:t>
            </w:r>
          </w:p>
        </w:tc>
        <w:tc>
          <w:tcPr>
            <w:tcW w:w="3544" w:type="dxa"/>
            <w:vAlign w:val="center"/>
          </w:tcPr>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Comercio al por menor de productos de confitería, en establecimientos especializados</w:t>
            </w:r>
          </w:p>
        </w:tc>
        <w:tc>
          <w:tcPr>
            <w:tcW w:w="992"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w:t>
            </w:r>
          </w:p>
        </w:tc>
        <w:tc>
          <w:tcPr>
            <w:tcW w:w="1457"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w:t>
            </w:r>
          </w:p>
        </w:tc>
      </w:tr>
      <w:tr w:rsidR="00913055" w:rsidRPr="00913055" w:rsidTr="00913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5225</w:t>
            </w:r>
          </w:p>
        </w:tc>
        <w:tc>
          <w:tcPr>
            <w:tcW w:w="3544" w:type="dxa"/>
            <w:vAlign w:val="center"/>
          </w:tcPr>
          <w:p w:rsidR="00913055" w:rsidRPr="00913055" w:rsidRDefault="00913055" w:rsidP="00913055">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913055">
              <w:rPr>
                <w:rFonts w:cs="Arial"/>
                <w:sz w:val="18"/>
                <w:szCs w:val="18"/>
              </w:rPr>
              <w:t>Comercio al por menor de bebidas y productos del tabaco, en establecimientos especializados</w:t>
            </w:r>
          </w:p>
        </w:tc>
        <w:tc>
          <w:tcPr>
            <w:tcW w:w="992"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4</w:t>
            </w:r>
          </w:p>
        </w:tc>
        <w:tc>
          <w:tcPr>
            <w:tcW w:w="1457" w:type="dxa"/>
            <w:vAlign w:val="center"/>
          </w:tcPr>
          <w:p w:rsidR="00913055" w:rsidRPr="00913055"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5</w:t>
            </w:r>
          </w:p>
        </w:tc>
      </w:tr>
      <w:tr w:rsidR="00913055" w:rsidRPr="00913055" w:rsidTr="00913055">
        <w:tc>
          <w:tcPr>
            <w:cnfStyle w:val="001000000000" w:firstRow="0" w:lastRow="0" w:firstColumn="1" w:lastColumn="0" w:oddVBand="0" w:evenVBand="0" w:oddHBand="0" w:evenHBand="0" w:firstRowFirstColumn="0" w:firstRowLastColumn="0" w:lastRowFirstColumn="0" w:lastRowLastColumn="0"/>
            <w:tcW w:w="1134" w:type="dxa"/>
            <w:vAlign w:val="center"/>
          </w:tcPr>
          <w:p w:rsidR="00913055" w:rsidRPr="00913055" w:rsidRDefault="00913055" w:rsidP="00913055">
            <w:pPr>
              <w:jc w:val="center"/>
              <w:rPr>
                <w:rFonts w:cs="Arial"/>
                <w:sz w:val="18"/>
                <w:szCs w:val="18"/>
              </w:rPr>
            </w:pPr>
          </w:p>
        </w:tc>
        <w:tc>
          <w:tcPr>
            <w:tcW w:w="851"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50" w:type="dxa"/>
            <w:vAlign w:val="center"/>
          </w:tcPr>
          <w:p w:rsidR="00913055" w:rsidRPr="00913055" w:rsidRDefault="00913055"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5229</w:t>
            </w:r>
          </w:p>
        </w:tc>
        <w:tc>
          <w:tcPr>
            <w:tcW w:w="3544" w:type="dxa"/>
            <w:vAlign w:val="center"/>
          </w:tcPr>
          <w:p w:rsidR="00913055" w:rsidRPr="00913055" w:rsidRDefault="00913055" w:rsidP="00913055">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913055">
              <w:rPr>
                <w:rFonts w:cs="Arial"/>
                <w:sz w:val="18"/>
                <w:szCs w:val="18"/>
              </w:rPr>
              <w:t xml:space="preserve">Comercio al por menor de otros productos alimenticios </w:t>
            </w:r>
            <w:proofErr w:type="spellStart"/>
            <w:r w:rsidRPr="00913055">
              <w:rPr>
                <w:rFonts w:cs="Arial"/>
                <w:sz w:val="18"/>
                <w:szCs w:val="18"/>
              </w:rPr>
              <w:t>ncp</w:t>
            </w:r>
            <w:proofErr w:type="spellEnd"/>
            <w:r w:rsidRPr="00913055">
              <w:rPr>
                <w:rFonts w:cs="Arial"/>
                <w:sz w:val="18"/>
                <w:szCs w:val="18"/>
              </w:rPr>
              <w:t>, en establecimientos especializados</w:t>
            </w:r>
          </w:p>
        </w:tc>
        <w:tc>
          <w:tcPr>
            <w:tcW w:w="992"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51</w:t>
            </w:r>
          </w:p>
        </w:tc>
        <w:tc>
          <w:tcPr>
            <w:tcW w:w="1457" w:type="dxa"/>
            <w:vAlign w:val="center"/>
          </w:tcPr>
          <w:p w:rsidR="00913055" w:rsidRPr="00913055"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53</w:t>
            </w:r>
          </w:p>
        </w:tc>
      </w:tr>
      <w:tr w:rsidR="00EB7423" w:rsidRPr="00913055" w:rsidTr="000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gridSpan w:val="4"/>
            <w:vAlign w:val="center"/>
          </w:tcPr>
          <w:p w:rsidR="00EB7423" w:rsidRPr="00913055" w:rsidRDefault="00EB7423" w:rsidP="00EB7423">
            <w:pPr>
              <w:jc w:val="center"/>
              <w:rPr>
                <w:rFonts w:cs="Arial"/>
                <w:sz w:val="18"/>
                <w:szCs w:val="18"/>
              </w:rPr>
            </w:pPr>
            <w:r>
              <w:rPr>
                <w:rFonts w:cs="Arial"/>
                <w:sz w:val="18"/>
                <w:szCs w:val="18"/>
              </w:rPr>
              <w:t>OTROS*</w:t>
            </w:r>
          </w:p>
        </w:tc>
        <w:tc>
          <w:tcPr>
            <w:tcW w:w="992" w:type="dxa"/>
            <w:vAlign w:val="center"/>
          </w:tcPr>
          <w:p w:rsidR="00EB7423"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6</w:t>
            </w:r>
          </w:p>
        </w:tc>
        <w:tc>
          <w:tcPr>
            <w:tcW w:w="1457" w:type="dxa"/>
            <w:vAlign w:val="center"/>
          </w:tcPr>
          <w:p w:rsidR="00EB7423" w:rsidRDefault="00EB7423" w:rsidP="00913055">
            <w:pPr>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10</w:t>
            </w:r>
          </w:p>
        </w:tc>
      </w:tr>
      <w:tr w:rsidR="00EB7423" w:rsidRPr="00913055" w:rsidTr="000C67AD">
        <w:tc>
          <w:tcPr>
            <w:cnfStyle w:val="001000000000" w:firstRow="0" w:lastRow="0" w:firstColumn="1" w:lastColumn="0" w:oddVBand="0" w:evenVBand="0" w:oddHBand="0" w:evenHBand="0" w:firstRowFirstColumn="0" w:firstRowLastColumn="0" w:lastRowFirstColumn="0" w:lastRowLastColumn="0"/>
            <w:tcW w:w="6379" w:type="dxa"/>
            <w:gridSpan w:val="4"/>
            <w:vAlign w:val="center"/>
          </w:tcPr>
          <w:p w:rsidR="00EB7423" w:rsidRDefault="00EB7423" w:rsidP="00EB7423">
            <w:pPr>
              <w:jc w:val="center"/>
              <w:rPr>
                <w:rFonts w:cs="Arial"/>
                <w:sz w:val="18"/>
                <w:szCs w:val="18"/>
              </w:rPr>
            </w:pPr>
            <w:r>
              <w:rPr>
                <w:rFonts w:cs="Arial"/>
                <w:sz w:val="18"/>
                <w:szCs w:val="18"/>
              </w:rPr>
              <w:t>TOTAL</w:t>
            </w:r>
          </w:p>
        </w:tc>
        <w:tc>
          <w:tcPr>
            <w:tcW w:w="992" w:type="dxa"/>
            <w:vAlign w:val="center"/>
          </w:tcPr>
          <w:p w:rsidR="00EB7423"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170</w:t>
            </w:r>
          </w:p>
        </w:tc>
        <w:tc>
          <w:tcPr>
            <w:tcW w:w="1457" w:type="dxa"/>
            <w:vAlign w:val="center"/>
          </w:tcPr>
          <w:p w:rsidR="00EB7423" w:rsidRDefault="00EB7423" w:rsidP="00913055">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170</w:t>
            </w:r>
          </w:p>
        </w:tc>
      </w:tr>
    </w:tbl>
    <w:p w:rsidR="00EB7423" w:rsidRDefault="00EB7423">
      <w:pPr>
        <w:rPr>
          <w:sz w:val="18"/>
        </w:rPr>
      </w:pPr>
      <w:r>
        <w:rPr>
          <w:b/>
          <w:sz w:val="18"/>
        </w:rPr>
        <w:t xml:space="preserve">Fuente: </w:t>
      </w:r>
      <w:r>
        <w:rPr>
          <w:sz w:val="18"/>
        </w:rPr>
        <w:t xml:space="preserve">Elaboración propia con datos del DANE y base de datos de </w:t>
      </w:r>
      <w:proofErr w:type="spellStart"/>
      <w:r>
        <w:rPr>
          <w:sz w:val="18"/>
        </w:rPr>
        <w:t>SuperSociedades</w:t>
      </w:r>
      <w:proofErr w:type="spellEnd"/>
      <w:r>
        <w:rPr>
          <w:sz w:val="18"/>
        </w:rPr>
        <w:t>.</w:t>
      </w:r>
    </w:p>
    <w:p w:rsidR="00EB7423" w:rsidRPr="00EB7423" w:rsidRDefault="00EB7423" w:rsidP="00EB7423">
      <w:pPr>
        <w:rPr>
          <w:sz w:val="18"/>
        </w:rPr>
      </w:pPr>
      <w:r>
        <w:rPr>
          <w:sz w:val="18"/>
        </w:rPr>
        <w:tab/>
        <w:t>*Representa las observaciones ‘</w:t>
      </w:r>
      <w:proofErr w:type="spellStart"/>
      <w:r>
        <w:rPr>
          <w:sz w:val="18"/>
        </w:rPr>
        <w:t>unmatched</w:t>
      </w:r>
      <w:proofErr w:type="spellEnd"/>
      <w:r>
        <w:rPr>
          <w:sz w:val="18"/>
        </w:rPr>
        <w:t>’ entre las dos variables.</w:t>
      </w:r>
    </w:p>
    <w:p w:rsidR="000D588B" w:rsidRDefault="000D588B"/>
    <w:p w:rsidR="000D588B" w:rsidRDefault="000D588B">
      <w:r>
        <w:t>El resultado obtenido es de 170 observaciones</w:t>
      </w:r>
      <w:r w:rsidR="00EB7423">
        <w:t xml:space="preserve"> –considerado como una empresa que comercia víveres en alguna de las dos definiciones– con 164 observaciones en la variable </w:t>
      </w:r>
      <w:proofErr w:type="spellStart"/>
      <w:r w:rsidR="00EB7423">
        <w:rPr>
          <w:i/>
        </w:rPr>
        <w:t>ciiuc</w:t>
      </w:r>
      <w:proofErr w:type="spellEnd"/>
      <w:r w:rsidR="00EB7423">
        <w:t xml:space="preserve"> y 160 observaciones en </w:t>
      </w:r>
      <w:r w:rsidR="00EB7423">
        <w:rPr>
          <w:i/>
        </w:rPr>
        <w:t>sectorppal2</w:t>
      </w:r>
      <w:r w:rsidR="00EB7423">
        <w:t>. La tabla 2 muestra cómo se encuentra distribuida la variable a través de los años.</w:t>
      </w:r>
    </w:p>
    <w:p w:rsidR="00EB7423" w:rsidRDefault="00EB7423"/>
    <w:p w:rsidR="00C31ED1" w:rsidRPr="00C31ED1" w:rsidRDefault="00C31ED1" w:rsidP="00C31ED1">
      <w:pPr>
        <w:pStyle w:val="Descripcin"/>
        <w:keepNext/>
        <w:jc w:val="center"/>
        <w:rPr>
          <w:color w:val="auto"/>
          <w:sz w:val="24"/>
          <w:szCs w:val="24"/>
        </w:rPr>
      </w:pPr>
      <w:r w:rsidRPr="00C31ED1">
        <w:rPr>
          <w:b/>
          <w:i w:val="0"/>
          <w:color w:val="auto"/>
          <w:sz w:val="24"/>
          <w:szCs w:val="24"/>
        </w:rPr>
        <w:t xml:space="preserve">Tabla </w:t>
      </w:r>
      <w:r w:rsidRPr="00C31ED1">
        <w:rPr>
          <w:b/>
          <w:i w:val="0"/>
          <w:color w:val="auto"/>
          <w:sz w:val="24"/>
          <w:szCs w:val="24"/>
        </w:rPr>
        <w:fldChar w:fldCharType="begin"/>
      </w:r>
      <w:r w:rsidRPr="00C31ED1">
        <w:rPr>
          <w:b/>
          <w:i w:val="0"/>
          <w:color w:val="auto"/>
          <w:sz w:val="24"/>
          <w:szCs w:val="24"/>
        </w:rPr>
        <w:instrText xml:space="preserve"> SEQ Tabla \* ARABIC </w:instrText>
      </w:r>
      <w:r w:rsidRPr="00C31ED1">
        <w:rPr>
          <w:b/>
          <w:i w:val="0"/>
          <w:color w:val="auto"/>
          <w:sz w:val="24"/>
          <w:szCs w:val="24"/>
        </w:rPr>
        <w:fldChar w:fldCharType="separate"/>
      </w:r>
      <w:r w:rsidR="008E590F">
        <w:rPr>
          <w:b/>
          <w:i w:val="0"/>
          <w:noProof/>
          <w:color w:val="auto"/>
          <w:sz w:val="24"/>
          <w:szCs w:val="24"/>
        </w:rPr>
        <w:t>2</w:t>
      </w:r>
      <w:r w:rsidRPr="00C31ED1">
        <w:rPr>
          <w:b/>
          <w:i w:val="0"/>
          <w:color w:val="auto"/>
          <w:sz w:val="24"/>
          <w:szCs w:val="24"/>
        </w:rPr>
        <w:fldChar w:fldCharType="end"/>
      </w:r>
      <w:r>
        <w:rPr>
          <w:b/>
          <w:i w:val="0"/>
          <w:color w:val="auto"/>
          <w:sz w:val="24"/>
          <w:szCs w:val="24"/>
        </w:rPr>
        <w:t>.</w:t>
      </w:r>
      <w:r>
        <w:rPr>
          <w:color w:val="auto"/>
          <w:sz w:val="24"/>
          <w:szCs w:val="24"/>
        </w:rPr>
        <w:t xml:space="preserve"> </w:t>
      </w:r>
      <w:r w:rsidRPr="00C31ED1">
        <w:rPr>
          <w:i w:val="0"/>
          <w:color w:val="auto"/>
          <w:sz w:val="24"/>
          <w:szCs w:val="24"/>
        </w:rPr>
        <w:t>Distribución por años</w:t>
      </w:r>
      <w:r>
        <w:rPr>
          <w:i w:val="0"/>
          <w:color w:val="auto"/>
          <w:sz w:val="24"/>
          <w:szCs w:val="24"/>
        </w:rPr>
        <w:t>.</w:t>
      </w:r>
    </w:p>
    <w:tbl>
      <w:tblPr>
        <w:tblStyle w:val="Tablanormal3"/>
        <w:tblW w:w="0" w:type="auto"/>
        <w:jc w:val="center"/>
        <w:tblLook w:val="04A0" w:firstRow="1" w:lastRow="0" w:firstColumn="1" w:lastColumn="0" w:noHBand="0" w:noVBand="1"/>
      </w:tblPr>
      <w:tblGrid>
        <w:gridCol w:w="1498"/>
        <w:gridCol w:w="1790"/>
        <w:gridCol w:w="1957"/>
        <w:gridCol w:w="1843"/>
      </w:tblGrid>
      <w:tr w:rsidR="00EB7423" w:rsidTr="00C31E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8" w:type="dxa"/>
          </w:tcPr>
          <w:p w:rsidR="00EB7423" w:rsidRDefault="00EB7423" w:rsidP="00EB7423">
            <w:pPr>
              <w:jc w:val="center"/>
            </w:pPr>
            <w:r>
              <w:t>Año</w:t>
            </w:r>
          </w:p>
        </w:tc>
        <w:tc>
          <w:tcPr>
            <w:tcW w:w="1790" w:type="dxa"/>
          </w:tcPr>
          <w:p w:rsidR="00EB7423" w:rsidRDefault="00EB7423" w:rsidP="00EB7423">
            <w:pPr>
              <w:jc w:val="center"/>
              <w:cnfStyle w:val="100000000000" w:firstRow="1" w:lastRow="0" w:firstColumn="0" w:lastColumn="0" w:oddVBand="0" w:evenVBand="0" w:oddHBand="0" w:evenHBand="0" w:firstRowFirstColumn="0" w:firstRowLastColumn="0" w:lastRowFirstColumn="0" w:lastRowLastColumn="0"/>
            </w:pPr>
            <w:r>
              <w:t>Frecuencia</w:t>
            </w:r>
          </w:p>
        </w:tc>
        <w:tc>
          <w:tcPr>
            <w:tcW w:w="1957" w:type="dxa"/>
          </w:tcPr>
          <w:p w:rsidR="00EB7423" w:rsidRDefault="00EB7423" w:rsidP="00EB7423">
            <w:pPr>
              <w:jc w:val="center"/>
              <w:cnfStyle w:val="100000000000" w:firstRow="1" w:lastRow="0" w:firstColumn="0" w:lastColumn="0" w:oddVBand="0" w:evenVBand="0" w:oddHBand="0" w:evenHBand="0" w:firstRowFirstColumn="0" w:firstRowLastColumn="0" w:lastRowFirstColumn="0" w:lastRowLastColumn="0"/>
            </w:pPr>
            <w:r>
              <w:t>Porcentaje</w:t>
            </w:r>
          </w:p>
        </w:tc>
        <w:tc>
          <w:tcPr>
            <w:tcW w:w="1843" w:type="dxa"/>
          </w:tcPr>
          <w:p w:rsidR="00EB7423" w:rsidRDefault="00EB7423" w:rsidP="00EB7423">
            <w:pPr>
              <w:jc w:val="center"/>
              <w:cnfStyle w:val="100000000000" w:firstRow="1" w:lastRow="0" w:firstColumn="0" w:lastColumn="0" w:oddVBand="0" w:evenVBand="0" w:oddHBand="0" w:evenHBand="0" w:firstRowFirstColumn="0" w:firstRowLastColumn="0" w:lastRowFirstColumn="0" w:lastRowLastColumn="0"/>
            </w:pPr>
            <w:r>
              <w:t>Frec. Acum</w:t>
            </w:r>
          </w:p>
        </w:tc>
      </w:tr>
      <w:tr w:rsidR="00EB7423" w:rsidTr="00C31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2005</w:t>
            </w:r>
          </w:p>
        </w:tc>
        <w:tc>
          <w:tcPr>
            <w:tcW w:w="1790" w:type="dxa"/>
          </w:tcPr>
          <w:p w:rsidR="00EB7423" w:rsidRDefault="00EB7423" w:rsidP="00EB7423">
            <w:pPr>
              <w:jc w:val="center"/>
              <w:cnfStyle w:val="000000100000" w:firstRow="0" w:lastRow="0" w:firstColumn="0" w:lastColumn="0" w:oddVBand="0" w:evenVBand="0" w:oddHBand="1" w:evenHBand="0" w:firstRowFirstColumn="0" w:firstRowLastColumn="0" w:lastRowFirstColumn="0" w:lastRowLastColumn="0"/>
            </w:pPr>
            <w:r>
              <w:t>14</w:t>
            </w:r>
          </w:p>
        </w:tc>
        <w:tc>
          <w:tcPr>
            <w:tcW w:w="1957" w:type="dxa"/>
          </w:tcPr>
          <w:p w:rsidR="00EB7423" w:rsidRDefault="00EB7423" w:rsidP="00EB7423">
            <w:pPr>
              <w:jc w:val="center"/>
              <w:cnfStyle w:val="000000100000" w:firstRow="0" w:lastRow="0" w:firstColumn="0" w:lastColumn="0" w:oddVBand="0" w:evenVBand="0" w:oddHBand="1" w:evenHBand="0" w:firstRowFirstColumn="0" w:firstRowLastColumn="0" w:lastRowFirstColumn="0" w:lastRowLastColumn="0"/>
            </w:pPr>
            <w:r>
              <w:t>8,24</w:t>
            </w:r>
          </w:p>
        </w:tc>
        <w:tc>
          <w:tcPr>
            <w:tcW w:w="1843"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8,24</w:t>
            </w:r>
          </w:p>
        </w:tc>
      </w:tr>
      <w:tr w:rsidR="00EB7423" w:rsidTr="00C31ED1">
        <w:trPr>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2006</w:t>
            </w:r>
          </w:p>
        </w:tc>
        <w:tc>
          <w:tcPr>
            <w:tcW w:w="1790"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r>
              <w:t>12</w:t>
            </w:r>
          </w:p>
        </w:tc>
        <w:tc>
          <w:tcPr>
            <w:tcW w:w="1957"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r>
              <w:t>7,06</w:t>
            </w:r>
          </w:p>
        </w:tc>
        <w:tc>
          <w:tcPr>
            <w:tcW w:w="1843" w:type="dxa"/>
          </w:tcPr>
          <w:p w:rsidR="00EB7423" w:rsidRDefault="00C31ED1" w:rsidP="00EB7423">
            <w:pPr>
              <w:jc w:val="center"/>
              <w:cnfStyle w:val="000000000000" w:firstRow="0" w:lastRow="0" w:firstColumn="0" w:lastColumn="0" w:oddVBand="0" w:evenVBand="0" w:oddHBand="0" w:evenHBand="0" w:firstRowFirstColumn="0" w:firstRowLastColumn="0" w:lastRowFirstColumn="0" w:lastRowLastColumn="0"/>
            </w:pPr>
            <w:r>
              <w:t>15,29</w:t>
            </w:r>
          </w:p>
        </w:tc>
      </w:tr>
      <w:tr w:rsidR="00EB7423" w:rsidTr="00C31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2007</w:t>
            </w:r>
          </w:p>
        </w:tc>
        <w:tc>
          <w:tcPr>
            <w:tcW w:w="1790" w:type="dxa"/>
          </w:tcPr>
          <w:p w:rsidR="00EB7423" w:rsidRDefault="00EB7423" w:rsidP="00EB7423">
            <w:pPr>
              <w:jc w:val="center"/>
              <w:cnfStyle w:val="000000100000" w:firstRow="0" w:lastRow="0" w:firstColumn="0" w:lastColumn="0" w:oddVBand="0" w:evenVBand="0" w:oddHBand="1" w:evenHBand="0" w:firstRowFirstColumn="0" w:firstRowLastColumn="0" w:lastRowFirstColumn="0" w:lastRowLastColumn="0"/>
            </w:pPr>
            <w:r>
              <w:t>18</w:t>
            </w:r>
          </w:p>
        </w:tc>
        <w:tc>
          <w:tcPr>
            <w:tcW w:w="1957" w:type="dxa"/>
          </w:tcPr>
          <w:p w:rsidR="00EB7423" w:rsidRDefault="00EB7423" w:rsidP="00EB7423">
            <w:pPr>
              <w:jc w:val="center"/>
              <w:cnfStyle w:val="000000100000" w:firstRow="0" w:lastRow="0" w:firstColumn="0" w:lastColumn="0" w:oddVBand="0" w:evenVBand="0" w:oddHBand="1" w:evenHBand="0" w:firstRowFirstColumn="0" w:firstRowLastColumn="0" w:lastRowFirstColumn="0" w:lastRowLastColumn="0"/>
            </w:pPr>
            <w:r>
              <w:t>10,59</w:t>
            </w:r>
          </w:p>
        </w:tc>
        <w:tc>
          <w:tcPr>
            <w:tcW w:w="1843"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25,88</w:t>
            </w:r>
          </w:p>
        </w:tc>
      </w:tr>
      <w:tr w:rsidR="00EB7423" w:rsidTr="00C31ED1">
        <w:trPr>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2008</w:t>
            </w:r>
          </w:p>
        </w:tc>
        <w:tc>
          <w:tcPr>
            <w:tcW w:w="1790"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r>
              <w:t>21</w:t>
            </w:r>
          </w:p>
        </w:tc>
        <w:tc>
          <w:tcPr>
            <w:tcW w:w="1957"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r>
              <w:t>12,35</w:t>
            </w:r>
          </w:p>
        </w:tc>
        <w:tc>
          <w:tcPr>
            <w:tcW w:w="1843" w:type="dxa"/>
          </w:tcPr>
          <w:p w:rsidR="00EB7423" w:rsidRDefault="00C31ED1" w:rsidP="00EB7423">
            <w:pPr>
              <w:jc w:val="center"/>
              <w:cnfStyle w:val="000000000000" w:firstRow="0" w:lastRow="0" w:firstColumn="0" w:lastColumn="0" w:oddVBand="0" w:evenVBand="0" w:oddHBand="0" w:evenHBand="0" w:firstRowFirstColumn="0" w:firstRowLastColumn="0" w:lastRowFirstColumn="0" w:lastRowLastColumn="0"/>
            </w:pPr>
            <w:r>
              <w:t>38,24</w:t>
            </w:r>
          </w:p>
        </w:tc>
      </w:tr>
      <w:tr w:rsidR="00EB7423" w:rsidTr="00C31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2009</w:t>
            </w:r>
          </w:p>
        </w:tc>
        <w:tc>
          <w:tcPr>
            <w:tcW w:w="1790" w:type="dxa"/>
          </w:tcPr>
          <w:p w:rsidR="00EB7423" w:rsidRDefault="00EB7423" w:rsidP="00EB7423">
            <w:pPr>
              <w:jc w:val="center"/>
              <w:cnfStyle w:val="000000100000" w:firstRow="0" w:lastRow="0" w:firstColumn="0" w:lastColumn="0" w:oddVBand="0" w:evenVBand="0" w:oddHBand="1" w:evenHBand="0" w:firstRowFirstColumn="0" w:firstRowLastColumn="0" w:lastRowFirstColumn="0" w:lastRowLastColumn="0"/>
            </w:pPr>
            <w:r>
              <w:t>28</w:t>
            </w:r>
          </w:p>
        </w:tc>
        <w:tc>
          <w:tcPr>
            <w:tcW w:w="1957"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16,47</w:t>
            </w:r>
          </w:p>
        </w:tc>
        <w:tc>
          <w:tcPr>
            <w:tcW w:w="1843"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54,71</w:t>
            </w:r>
          </w:p>
        </w:tc>
      </w:tr>
      <w:tr w:rsidR="00EB7423" w:rsidTr="00C31ED1">
        <w:trPr>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2010</w:t>
            </w:r>
          </w:p>
        </w:tc>
        <w:tc>
          <w:tcPr>
            <w:tcW w:w="1790"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r>
              <w:t>15</w:t>
            </w:r>
          </w:p>
        </w:tc>
        <w:tc>
          <w:tcPr>
            <w:tcW w:w="1957" w:type="dxa"/>
          </w:tcPr>
          <w:p w:rsidR="00EB7423" w:rsidRDefault="00C31ED1" w:rsidP="00EB7423">
            <w:pPr>
              <w:jc w:val="center"/>
              <w:cnfStyle w:val="000000000000" w:firstRow="0" w:lastRow="0" w:firstColumn="0" w:lastColumn="0" w:oddVBand="0" w:evenVBand="0" w:oddHBand="0" w:evenHBand="0" w:firstRowFirstColumn="0" w:firstRowLastColumn="0" w:lastRowFirstColumn="0" w:lastRowLastColumn="0"/>
            </w:pPr>
            <w:r>
              <w:t>8,82</w:t>
            </w:r>
          </w:p>
        </w:tc>
        <w:tc>
          <w:tcPr>
            <w:tcW w:w="1843" w:type="dxa"/>
          </w:tcPr>
          <w:p w:rsidR="00EB7423" w:rsidRDefault="00C31ED1" w:rsidP="00EB7423">
            <w:pPr>
              <w:jc w:val="center"/>
              <w:cnfStyle w:val="000000000000" w:firstRow="0" w:lastRow="0" w:firstColumn="0" w:lastColumn="0" w:oddVBand="0" w:evenVBand="0" w:oddHBand="0" w:evenHBand="0" w:firstRowFirstColumn="0" w:firstRowLastColumn="0" w:lastRowFirstColumn="0" w:lastRowLastColumn="0"/>
            </w:pPr>
            <w:r>
              <w:t>63,53</w:t>
            </w:r>
          </w:p>
        </w:tc>
      </w:tr>
      <w:tr w:rsidR="00EB7423" w:rsidTr="00C31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2011</w:t>
            </w:r>
          </w:p>
        </w:tc>
        <w:tc>
          <w:tcPr>
            <w:tcW w:w="1790" w:type="dxa"/>
          </w:tcPr>
          <w:p w:rsidR="00EB7423" w:rsidRDefault="00EB7423" w:rsidP="00EB7423">
            <w:pPr>
              <w:jc w:val="center"/>
              <w:cnfStyle w:val="000000100000" w:firstRow="0" w:lastRow="0" w:firstColumn="0" w:lastColumn="0" w:oddVBand="0" w:evenVBand="0" w:oddHBand="1" w:evenHBand="0" w:firstRowFirstColumn="0" w:firstRowLastColumn="0" w:lastRowFirstColumn="0" w:lastRowLastColumn="0"/>
            </w:pPr>
            <w:r>
              <w:t>21</w:t>
            </w:r>
          </w:p>
        </w:tc>
        <w:tc>
          <w:tcPr>
            <w:tcW w:w="1957"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12,35</w:t>
            </w:r>
          </w:p>
        </w:tc>
        <w:tc>
          <w:tcPr>
            <w:tcW w:w="1843"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75,88</w:t>
            </w:r>
          </w:p>
        </w:tc>
      </w:tr>
      <w:tr w:rsidR="00EB7423" w:rsidTr="00C31ED1">
        <w:trPr>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2012</w:t>
            </w:r>
          </w:p>
        </w:tc>
        <w:tc>
          <w:tcPr>
            <w:tcW w:w="1790"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r>
              <w:t>22</w:t>
            </w:r>
          </w:p>
        </w:tc>
        <w:tc>
          <w:tcPr>
            <w:tcW w:w="1957" w:type="dxa"/>
          </w:tcPr>
          <w:p w:rsidR="00EB7423" w:rsidRDefault="00C31ED1" w:rsidP="00EB7423">
            <w:pPr>
              <w:jc w:val="center"/>
              <w:cnfStyle w:val="000000000000" w:firstRow="0" w:lastRow="0" w:firstColumn="0" w:lastColumn="0" w:oddVBand="0" w:evenVBand="0" w:oddHBand="0" w:evenHBand="0" w:firstRowFirstColumn="0" w:firstRowLastColumn="0" w:lastRowFirstColumn="0" w:lastRowLastColumn="0"/>
            </w:pPr>
            <w:r>
              <w:t>12,94</w:t>
            </w:r>
          </w:p>
        </w:tc>
        <w:tc>
          <w:tcPr>
            <w:tcW w:w="1843" w:type="dxa"/>
          </w:tcPr>
          <w:p w:rsidR="00EB7423" w:rsidRDefault="00C31ED1" w:rsidP="00EB7423">
            <w:pPr>
              <w:jc w:val="center"/>
              <w:cnfStyle w:val="000000000000" w:firstRow="0" w:lastRow="0" w:firstColumn="0" w:lastColumn="0" w:oddVBand="0" w:evenVBand="0" w:oddHBand="0" w:evenHBand="0" w:firstRowFirstColumn="0" w:firstRowLastColumn="0" w:lastRowFirstColumn="0" w:lastRowLastColumn="0"/>
            </w:pPr>
            <w:r>
              <w:t>88,82</w:t>
            </w:r>
          </w:p>
        </w:tc>
      </w:tr>
      <w:tr w:rsidR="00EB7423" w:rsidTr="00C31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2013</w:t>
            </w:r>
          </w:p>
        </w:tc>
        <w:tc>
          <w:tcPr>
            <w:tcW w:w="1790" w:type="dxa"/>
          </w:tcPr>
          <w:p w:rsidR="00EB7423" w:rsidRDefault="00EB7423" w:rsidP="00EB7423">
            <w:pPr>
              <w:jc w:val="center"/>
              <w:cnfStyle w:val="000000100000" w:firstRow="0" w:lastRow="0" w:firstColumn="0" w:lastColumn="0" w:oddVBand="0" w:evenVBand="0" w:oddHBand="1" w:evenHBand="0" w:firstRowFirstColumn="0" w:firstRowLastColumn="0" w:lastRowFirstColumn="0" w:lastRowLastColumn="0"/>
            </w:pPr>
            <w:r>
              <w:t>19</w:t>
            </w:r>
          </w:p>
        </w:tc>
        <w:tc>
          <w:tcPr>
            <w:tcW w:w="1957"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11,18</w:t>
            </w:r>
          </w:p>
        </w:tc>
        <w:tc>
          <w:tcPr>
            <w:tcW w:w="1843" w:type="dxa"/>
          </w:tcPr>
          <w:p w:rsidR="00EB7423" w:rsidRDefault="00C31ED1" w:rsidP="00EB7423">
            <w:pPr>
              <w:jc w:val="center"/>
              <w:cnfStyle w:val="000000100000" w:firstRow="0" w:lastRow="0" w:firstColumn="0" w:lastColumn="0" w:oddVBand="0" w:evenVBand="0" w:oddHBand="1" w:evenHBand="0" w:firstRowFirstColumn="0" w:firstRowLastColumn="0" w:lastRowFirstColumn="0" w:lastRowLastColumn="0"/>
            </w:pPr>
            <w:r>
              <w:t>100,00</w:t>
            </w:r>
          </w:p>
        </w:tc>
      </w:tr>
      <w:tr w:rsidR="00EB7423" w:rsidTr="00C31ED1">
        <w:trPr>
          <w:jc w:val="center"/>
        </w:trPr>
        <w:tc>
          <w:tcPr>
            <w:cnfStyle w:val="001000000000" w:firstRow="0" w:lastRow="0" w:firstColumn="1" w:lastColumn="0" w:oddVBand="0" w:evenVBand="0" w:oddHBand="0" w:evenHBand="0" w:firstRowFirstColumn="0" w:firstRowLastColumn="0" w:lastRowFirstColumn="0" w:lastRowLastColumn="0"/>
            <w:tcW w:w="1498" w:type="dxa"/>
          </w:tcPr>
          <w:p w:rsidR="00EB7423" w:rsidRDefault="00EB7423" w:rsidP="00EB7423">
            <w:pPr>
              <w:jc w:val="center"/>
            </w:pPr>
            <w:r>
              <w:t>Total</w:t>
            </w:r>
          </w:p>
        </w:tc>
        <w:tc>
          <w:tcPr>
            <w:tcW w:w="1790"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r>
              <w:t>170</w:t>
            </w:r>
          </w:p>
        </w:tc>
        <w:tc>
          <w:tcPr>
            <w:tcW w:w="1957" w:type="dxa"/>
          </w:tcPr>
          <w:p w:rsidR="00EB7423" w:rsidRDefault="00C31ED1" w:rsidP="00EB7423">
            <w:pPr>
              <w:jc w:val="center"/>
              <w:cnfStyle w:val="000000000000" w:firstRow="0" w:lastRow="0" w:firstColumn="0" w:lastColumn="0" w:oddVBand="0" w:evenVBand="0" w:oddHBand="0" w:evenHBand="0" w:firstRowFirstColumn="0" w:firstRowLastColumn="0" w:lastRowFirstColumn="0" w:lastRowLastColumn="0"/>
            </w:pPr>
            <w:r>
              <w:t>100,00</w:t>
            </w:r>
          </w:p>
        </w:tc>
        <w:tc>
          <w:tcPr>
            <w:tcW w:w="1843" w:type="dxa"/>
          </w:tcPr>
          <w:p w:rsidR="00EB7423" w:rsidRDefault="00EB7423" w:rsidP="00EB7423">
            <w:pPr>
              <w:jc w:val="center"/>
              <w:cnfStyle w:val="000000000000" w:firstRow="0" w:lastRow="0" w:firstColumn="0" w:lastColumn="0" w:oddVBand="0" w:evenVBand="0" w:oddHBand="0" w:evenHBand="0" w:firstRowFirstColumn="0" w:firstRowLastColumn="0" w:lastRowFirstColumn="0" w:lastRowLastColumn="0"/>
            </w:pPr>
          </w:p>
        </w:tc>
      </w:tr>
    </w:tbl>
    <w:p w:rsidR="00C31ED1" w:rsidRDefault="00C31ED1" w:rsidP="00C31ED1">
      <w:pPr>
        <w:ind w:left="708"/>
        <w:rPr>
          <w:sz w:val="18"/>
        </w:rPr>
      </w:pPr>
      <w:r>
        <w:rPr>
          <w:b/>
          <w:sz w:val="18"/>
        </w:rPr>
        <w:t xml:space="preserve">   Fuente: </w:t>
      </w:r>
      <w:r>
        <w:rPr>
          <w:sz w:val="18"/>
        </w:rPr>
        <w:t xml:space="preserve">Elaboración propia con datos del DANE y base de datos de </w:t>
      </w:r>
      <w:proofErr w:type="spellStart"/>
      <w:r>
        <w:rPr>
          <w:sz w:val="18"/>
        </w:rPr>
        <w:t>SuperSociedades</w:t>
      </w:r>
      <w:proofErr w:type="spellEnd"/>
      <w:r>
        <w:rPr>
          <w:sz w:val="18"/>
        </w:rPr>
        <w:t>.</w:t>
      </w:r>
    </w:p>
    <w:p w:rsidR="00EB7423" w:rsidRDefault="00EB7423" w:rsidP="00C31ED1"/>
    <w:p w:rsidR="005515AE" w:rsidRDefault="005515AE" w:rsidP="00C31ED1">
      <w:r>
        <w:t xml:space="preserve">Las variables reportadas en la </w:t>
      </w:r>
      <w:proofErr w:type="spellStart"/>
      <w:r>
        <w:t>SuperSociedades</w:t>
      </w:r>
      <w:proofErr w:type="spellEnd"/>
      <w:r>
        <w:t xml:space="preserve"> están dadas en pesos corrientes, por lo que es necesario deflactar la variable dependiente de la regresión, con el fin de tener precios comparables. Para esto, se usan </w:t>
      </w:r>
      <w:r w:rsidR="00AD0199">
        <w:t>tres</w:t>
      </w:r>
      <w:r>
        <w:t xml:space="preserve"> deflactores, el IPC con base </w:t>
      </w:r>
      <w:r>
        <w:lastRenderedPageBreak/>
        <w:t>en diciembre 2012</w:t>
      </w:r>
      <w:r>
        <w:rPr>
          <w:rStyle w:val="Refdenotaalpie"/>
        </w:rPr>
        <w:footnoteReference w:id="1"/>
      </w:r>
      <w:r w:rsidR="00AD0199">
        <w:t>,</w:t>
      </w:r>
      <w:r>
        <w:t xml:space="preserve"> el IPP con la misma base</w:t>
      </w:r>
      <w:r>
        <w:rPr>
          <w:rStyle w:val="Refdenotaalpie"/>
        </w:rPr>
        <w:footnoteReference w:id="2"/>
      </w:r>
      <w:r w:rsidR="00AD0199">
        <w:t xml:space="preserve"> y el IPP desagregado por sectores con base junio 2005</w:t>
      </w:r>
      <w:r w:rsidR="00AD0199">
        <w:rPr>
          <w:rStyle w:val="Refdenotaalpie"/>
        </w:rPr>
        <w:footnoteReference w:id="3"/>
      </w:r>
      <w:r>
        <w:t>. Las demás variables no se hacen necesarias deflactarlas, ya que se usarán como controles, por lo que en un principio la deflactación no modifica su ordenamiento –es decir, la firma de mayor tamaño en activos en pesos corrientes, seguirá siendo la de mayor tamaño en pesos constantes –; más aún, se crean ratios contables con el fin de eliminar el efecto peso y tener indicadores más acertados.</w:t>
      </w:r>
    </w:p>
    <w:p w:rsidR="005515AE" w:rsidRDefault="005515AE" w:rsidP="00C31ED1"/>
    <w:p w:rsidR="005515AE" w:rsidRDefault="005515AE" w:rsidP="00C31ED1">
      <w:r>
        <w:t>Los indicadores usados como variables de control son:</w:t>
      </w:r>
    </w:p>
    <w:p w:rsidR="005515AE" w:rsidRDefault="00AD0199" w:rsidP="005515AE">
      <w:pPr>
        <w:pStyle w:val="Prrafodelista"/>
        <w:numPr>
          <w:ilvl w:val="0"/>
          <w:numId w:val="2"/>
        </w:numPr>
      </w:pPr>
      <w:r>
        <w:t xml:space="preserve">Rentabilidad Neta: Indicador que muestra la capacidad de los activos para generar utilidades. </w:t>
      </w:r>
      <m:oMath>
        <m:r>
          <w:rPr>
            <w:rFonts w:ascii="Cambria Math" w:hAnsi="Cambria Math"/>
          </w:rPr>
          <m:t xml:space="preserve">Rentabilidad Neta= </m:t>
        </m:r>
        <m:f>
          <m:fPr>
            <m:ctrlPr>
              <w:rPr>
                <w:rFonts w:ascii="Cambria Math" w:hAnsi="Cambria Math"/>
                <w:i/>
              </w:rPr>
            </m:ctrlPr>
          </m:fPr>
          <m:num>
            <m:r>
              <w:rPr>
                <w:rFonts w:ascii="Cambria Math" w:hAnsi="Cambria Math"/>
              </w:rPr>
              <m:t>Beneficio Neto</m:t>
            </m:r>
          </m:num>
          <m:den>
            <m:r>
              <w:rPr>
                <w:rFonts w:ascii="Cambria Math" w:hAnsi="Cambria Math"/>
              </w:rPr>
              <m:t>Activo Total</m:t>
            </m:r>
          </m:den>
        </m:f>
      </m:oMath>
    </w:p>
    <w:p w:rsidR="00AD0199" w:rsidRDefault="00AD0199" w:rsidP="005515AE">
      <w:pPr>
        <w:pStyle w:val="Prrafodelista"/>
        <w:numPr>
          <w:ilvl w:val="0"/>
          <w:numId w:val="2"/>
        </w:numPr>
      </w:pPr>
      <w:r>
        <w:t>Tamaño: De acuerdo a la tabla 3, se clasifican las empresas de acuerdo al valor de sus activos.</w:t>
      </w:r>
      <w:r w:rsidR="0087660B">
        <w:t xml:space="preserve"> </w:t>
      </w:r>
    </w:p>
    <w:p w:rsidR="005515AE" w:rsidRPr="00AD0199" w:rsidRDefault="005515AE" w:rsidP="00AD0199">
      <w:pPr>
        <w:jc w:val="center"/>
        <w:rPr>
          <w:szCs w:val="24"/>
        </w:rPr>
      </w:pPr>
    </w:p>
    <w:p w:rsidR="00AD0199" w:rsidRPr="00AD0199" w:rsidRDefault="00AD0199" w:rsidP="00AD0199">
      <w:pPr>
        <w:pStyle w:val="Descripcin"/>
        <w:keepNext/>
        <w:jc w:val="center"/>
        <w:rPr>
          <w:i w:val="0"/>
          <w:color w:val="auto"/>
          <w:sz w:val="24"/>
          <w:szCs w:val="24"/>
        </w:rPr>
      </w:pPr>
      <w:r w:rsidRPr="00AD0199">
        <w:rPr>
          <w:b/>
          <w:i w:val="0"/>
          <w:color w:val="auto"/>
          <w:sz w:val="24"/>
          <w:szCs w:val="24"/>
        </w:rPr>
        <w:t xml:space="preserve">Tabla </w:t>
      </w:r>
      <w:r w:rsidRPr="00AD0199">
        <w:rPr>
          <w:b/>
          <w:i w:val="0"/>
          <w:color w:val="auto"/>
          <w:sz w:val="24"/>
          <w:szCs w:val="24"/>
        </w:rPr>
        <w:fldChar w:fldCharType="begin"/>
      </w:r>
      <w:r w:rsidRPr="00AD0199">
        <w:rPr>
          <w:b/>
          <w:i w:val="0"/>
          <w:color w:val="auto"/>
          <w:sz w:val="24"/>
          <w:szCs w:val="24"/>
        </w:rPr>
        <w:instrText xml:space="preserve"> SEQ Tabla \* ARABIC </w:instrText>
      </w:r>
      <w:r w:rsidRPr="00AD0199">
        <w:rPr>
          <w:b/>
          <w:i w:val="0"/>
          <w:color w:val="auto"/>
          <w:sz w:val="24"/>
          <w:szCs w:val="24"/>
        </w:rPr>
        <w:fldChar w:fldCharType="separate"/>
      </w:r>
      <w:r w:rsidR="008E590F">
        <w:rPr>
          <w:b/>
          <w:i w:val="0"/>
          <w:noProof/>
          <w:color w:val="auto"/>
          <w:sz w:val="24"/>
          <w:szCs w:val="24"/>
        </w:rPr>
        <w:t>3</w:t>
      </w:r>
      <w:r w:rsidRPr="00AD0199">
        <w:rPr>
          <w:b/>
          <w:i w:val="0"/>
          <w:color w:val="auto"/>
          <w:sz w:val="24"/>
          <w:szCs w:val="24"/>
        </w:rPr>
        <w:fldChar w:fldCharType="end"/>
      </w:r>
      <w:r w:rsidRPr="00AD0199">
        <w:rPr>
          <w:b/>
          <w:i w:val="0"/>
          <w:color w:val="auto"/>
          <w:sz w:val="24"/>
          <w:szCs w:val="24"/>
        </w:rPr>
        <w:t>.</w:t>
      </w:r>
      <w:r w:rsidRPr="00AD0199">
        <w:rPr>
          <w:i w:val="0"/>
          <w:color w:val="auto"/>
          <w:sz w:val="24"/>
          <w:szCs w:val="24"/>
        </w:rPr>
        <w:t xml:space="preserve"> Tipo de PYME.</w:t>
      </w:r>
    </w:p>
    <w:p w:rsidR="005515AE" w:rsidRPr="00AD0199" w:rsidRDefault="00AD0199" w:rsidP="00C31ED1">
      <w:pPr>
        <w:rPr>
          <w:b/>
          <w:sz w:val="18"/>
        </w:rPr>
      </w:pPr>
      <w:r>
        <w:rPr>
          <w:noProof/>
          <w:lang w:eastAsia="es-CO"/>
        </w:rPr>
        <w:drawing>
          <wp:inline distT="0" distB="0" distL="0" distR="0" wp14:anchorId="402EDDFB" wp14:editId="07AD0B51">
            <wp:extent cx="5612130" cy="25285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28570"/>
                    </a:xfrm>
                    <a:prstGeom prst="rect">
                      <a:avLst/>
                    </a:prstGeom>
                  </pic:spPr>
                </pic:pic>
              </a:graphicData>
            </a:graphic>
          </wp:inline>
        </w:drawing>
      </w:r>
      <w:r>
        <w:rPr>
          <w:b/>
          <w:sz w:val="18"/>
        </w:rPr>
        <w:t xml:space="preserve">Fuente: </w:t>
      </w:r>
      <w:proofErr w:type="spellStart"/>
      <w:r w:rsidRPr="00AD0199">
        <w:rPr>
          <w:sz w:val="18"/>
        </w:rPr>
        <w:t>MiPymes</w:t>
      </w:r>
      <w:proofErr w:type="spellEnd"/>
      <w:r>
        <w:rPr>
          <w:rStyle w:val="Refdenotaalpie"/>
          <w:sz w:val="18"/>
        </w:rPr>
        <w:footnoteReference w:id="4"/>
      </w:r>
      <w:r>
        <w:rPr>
          <w:sz w:val="18"/>
        </w:rPr>
        <w:t xml:space="preserve"> con información de la ley 905 de 2004.</w:t>
      </w:r>
    </w:p>
    <w:p w:rsidR="00AD0199" w:rsidRDefault="00AD0199" w:rsidP="00C31ED1"/>
    <w:p w:rsidR="00C31ED1" w:rsidRDefault="00CD3D34" w:rsidP="00C31ED1">
      <w:r>
        <w:t xml:space="preserve">Para hacer las regresiones con respecto al precio de la gasolina, se ha obtenido la variable </w:t>
      </w:r>
      <w:proofErr w:type="spellStart"/>
      <w:r>
        <w:rPr>
          <w:i/>
        </w:rPr>
        <w:t>ca_price</w:t>
      </w:r>
      <w:proofErr w:type="spellEnd"/>
      <w:r>
        <w:t xml:space="preserve"> que corresponde al precio promedio anual de un tipo de combustible por ciudad:</w:t>
      </w:r>
    </w:p>
    <w:p w:rsidR="00CD3D34" w:rsidRPr="00CD3D34" w:rsidRDefault="00CD3D34" w:rsidP="00C31ED1">
      <w:pPr>
        <w:rPr>
          <w:rFonts w:eastAsiaTheme="minorEastAsia"/>
        </w:rPr>
      </w:pPr>
      <m:oMathPara>
        <m:oMath>
          <m:r>
            <w:rPr>
              <w:rFonts w:ascii="Cambria Math" w:hAnsi="Cambria Math"/>
            </w:rPr>
            <m:t>ca_pric</m:t>
          </m:r>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jy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nary>
                <m:naryPr>
                  <m:chr m:val="∑"/>
                  <m:limLoc m:val="undOvr"/>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y</m:t>
                  </m:r>
                </m:sup>
                <m:e>
                  <m:r>
                    <w:rPr>
                      <w:rFonts w:ascii="Cambria Math" w:eastAsiaTheme="minorEastAsia" w:hAnsi="Cambria Math"/>
                    </w:rPr>
                    <m:t>pric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imjk</m:t>
                      </m:r>
                    </m:sub>
                  </m:sSub>
                </m:e>
              </m:nary>
            </m:e>
          </m:nary>
        </m:oMath>
      </m:oMathPara>
    </w:p>
    <w:p w:rsidR="00CD3D34" w:rsidRDefault="00CD3D34" w:rsidP="00C31ED1">
      <w:pPr>
        <w:rPr>
          <w:rFonts w:eastAsiaTheme="minorEastAsia"/>
        </w:rPr>
      </w:pPr>
      <w:r>
        <w:rPr>
          <w:rFonts w:eastAsiaTheme="minorEastAsia"/>
        </w:rPr>
        <w:lastRenderedPageBreak/>
        <w:t xml:space="preserve">Donde </w:t>
      </w:r>
      <m:oMath>
        <m:r>
          <w:rPr>
            <w:rFonts w:ascii="Cambria Math" w:eastAsiaTheme="minorEastAsia" w:hAnsi="Cambria Math"/>
          </w:rPr>
          <m:t>pric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imj</m:t>
            </m:r>
            <m:r>
              <w:rPr>
                <w:rFonts w:ascii="Cambria Math" w:eastAsiaTheme="minorEastAsia" w:hAnsi="Cambria Math"/>
              </w:rPr>
              <m:t>k</m:t>
            </m:r>
          </m:sub>
        </m:sSub>
      </m:oMath>
      <w:r>
        <w:rPr>
          <w:rFonts w:eastAsiaTheme="minorEastAsia"/>
        </w:rPr>
        <w:t xml:space="preserve"> corresponde al precio de un producto </w:t>
      </w:r>
      <m:oMath>
        <m:r>
          <w:rPr>
            <w:rFonts w:ascii="Cambria Math" w:eastAsiaTheme="minorEastAsia" w:hAnsi="Cambria Math"/>
          </w:rPr>
          <m:t>j</m:t>
        </m:r>
      </m:oMath>
      <w:r>
        <w:rPr>
          <w:rFonts w:eastAsiaTheme="minorEastAsia"/>
        </w:rPr>
        <w:t xml:space="preserve"> en una estación de servicio </w:t>
      </w:r>
      <m:oMath>
        <m:r>
          <w:rPr>
            <w:rFonts w:ascii="Cambria Math" w:eastAsiaTheme="minorEastAsia" w:hAnsi="Cambria Math"/>
          </w:rPr>
          <m:t>k</m:t>
        </m:r>
      </m:oMath>
      <w:r>
        <w:rPr>
          <w:rFonts w:eastAsiaTheme="minorEastAsia"/>
        </w:rPr>
        <w:t xml:space="preserve"> en la ciudad </w:t>
      </w:r>
      <m:oMath>
        <m:r>
          <w:rPr>
            <w:rFonts w:ascii="Cambria Math" w:eastAsiaTheme="minorEastAsia" w:hAnsi="Cambria Math"/>
          </w:rPr>
          <m:t>i</m:t>
        </m:r>
      </m:oMath>
      <w:r w:rsidR="005515AE">
        <w:rPr>
          <w:rFonts w:eastAsiaTheme="minorEastAsia"/>
        </w:rPr>
        <w:t xml:space="preserve"> para el mes </w:t>
      </w:r>
      <m:oMath>
        <m:r>
          <w:rPr>
            <w:rFonts w:ascii="Cambria Math" w:eastAsiaTheme="minorEastAsia" w:hAnsi="Cambria Math"/>
          </w:rPr>
          <m:t>m</m:t>
        </m:r>
      </m:oMath>
      <w:r w:rsidR="005515AE">
        <w:rPr>
          <w:rFonts w:eastAsiaTheme="minorEastAsia"/>
        </w:rPr>
        <w:t xml:space="preserve">. Se promedia el precio para cada mes en el año </w:t>
      </w:r>
      <m:oMath>
        <m:r>
          <w:rPr>
            <w:rFonts w:ascii="Cambria Math" w:eastAsiaTheme="minorEastAsia" w:hAnsi="Cambria Math"/>
          </w:rPr>
          <m:t>y</m:t>
        </m:r>
      </m:oMath>
      <w:r w:rsidR="005515AE">
        <w:rPr>
          <w:rFonts w:eastAsiaTheme="minorEastAsia"/>
        </w:rPr>
        <w:t xml:space="preserve"> y para cada EDS en la ciudad.</w:t>
      </w:r>
    </w:p>
    <w:p w:rsidR="005515AE" w:rsidRDefault="005515AE" w:rsidP="00C31ED1">
      <w:pPr>
        <w:rPr>
          <w:rFonts w:eastAsiaTheme="minorEastAsia"/>
        </w:rPr>
      </w:pPr>
    </w:p>
    <w:p w:rsidR="003D6E7D" w:rsidRDefault="003D6E7D" w:rsidP="00C31ED1">
      <w:r>
        <w:t>Debido que ni los consumidores ni los productores responden de sobremanera a las variaciones en el precio de la Gasolina Extra, esta se ha eliminado de la base de datos.</w:t>
      </w:r>
    </w:p>
    <w:p w:rsidR="003D6E7D" w:rsidRDefault="003D6E7D" w:rsidP="00C31ED1"/>
    <w:p w:rsidR="003D6E7D" w:rsidRDefault="003D6E7D" w:rsidP="00C31ED1">
      <w:r>
        <w:t>La base de datos de las firmas está entre el periodo 2005 – 2013, mientras la base de datos de estaciones de servicio está entre 2011 – 2018, por lo cual, al realizar la combinación de las bases de datos, el periodo de superposición es 2011 – 2013. El resultado es de 62 observaciones en la base de datos.</w:t>
      </w:r>
    </w:p>
    <w:p w:rsidR="003D6E7D" w:rsidRDefault="003D6E7D" w:rsidP="00C31ED1">
      <w:bookmarkStart w:id="0" w:name="_GoBack"/>
      <w:bookmarkEnd w:id="0"/>
    </w:p>
    <w:p w:rsidR="00BB7835" w:rsidRPr="008E590F" w:rsidRDefault="00BB7835" w:rsidP="00BB7835">
      <w:pPr>
        <w:pStyle w:val="Descripcin"/>
        <w:keepNext/>
        <w:jc w:val="center"/>
        <w:rPr>
          <w:i w:val="0"/>
          <w:color w:val="auto"/>
          <w:sz w:val="24"/>
        </w:rPr>
      </w:pPr>
      <w:r w:rsidRPr="008E590F">
        <w:rPr>
          <w:b/>
          <w:i w:val="0"/>
          <w:color w:val="auto"/>
          <w:sz w:val="24"/>
        </w:rPr>
        <w:t xml:space="preserve">Tabla </w:t>
      </w:r>
      <w:r w:rsidRPr="008E590F">
        <w:rPr>
          <w:b/>
          <w:i w:val="0"/>
          <w:color w:val="auto"/>
          <w:sz w:val="24"/>
        </w:rPr>
        <w:fldChar w:fldCharType="begin"/>
      </w:r>
      <w:r w:rsidRPr="008E590F">
        <w:rPr>
          <w:b/>
          <w:i w:val="0"/>
          <w:color w:val="auto"/>
          <w:sz w:val="24"/>
        </w:rPr>
        <w:instrText xml:space="preserve"> SEQ Tabla \* ARABIC </w:instrText>
      </w:r>
      <w:r w:rsidRPr="008E590F">
        <w:rPr>
          <w:b/>
          <w:i w:val="0"/>
          <w:color w:val="auto"/>
          <w:sz w:val="24"/>
        </w:rPr>
        <w:fldChar w:fldCharType="separate"/>
      </w:r>
      <w:r w:rsidRPr="008E590F">
        <w:rPr>
          <w:b/>
          <w:i w:val="0"/>
          <w:noProof/>
          <w:color w:val="auto"/>
          <w:sz w:val="24"/>
        </w:rPr>
        <w:t>4</w:t>
      </w:r>
      <w:r w:rsidRPr="008E590F">
        <w:rPr>
          <w:b/>
          <w:i w:val="0"/>
          <w:color w:val="auto"/>
          <w:sz w:val="24"/>
        </w:rPr>
        <w:fldChar w:fldCharType="end"/>
      </w:r>
      <w:r w:rsidRPr="008E590F">
        <w:rPr>
          <w:b/>
          <w:i w:val="0"/>
          <w:color w:val="auto"/>
          <w:sz w:val="24"/>
        </w:rPr>
        <w:t>.</w:t>
      </w:r>
      <w:r w:rsidRPr="008E590F">
        <w:rPr>
          <w:i w:val="0"/>
          <w:color w:val="auto"/>
          <w:sz w:val="24"/>
        </w:rPr>
        <w:t xml:space="preserve"> Regresión Ingreso Vs Precios de la Gasolina</w:t>
      </w:r>
    </w:p>
    <w:tbl>
      <w:tblPr>
        <w:tblStyle w:val="Tablanormal5"/>
        <w:tblW w:w="9440" w:type="dxa"/>
        <w:tblLook w:val="04A0" w:firstRow="1" w:lastRow="0" w:firstColumn="1" w:lastColumn="0" w:noHBand="0" w:noVBand="1"/>
      </w:tblPr>
      <w:tblGrid>
        <w:gridCol w:w="1889"/>
        <w:gridCol w:w="1230"/>
        <w:gridCol w:w="2551"/>
        <w:gridCol w:w="1276"/>
        <w:gridCol w:w="2494"/>
      </w:tblGrid>
      <w:tr w:rsidR="00BB7835" w:rsidRPr="008E590F" w:rsidTr="00BB7835">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1889" w:type="dxa"/>
            <w:vAlign w:val="center"/>
            <w:hideMark/>
          </w:tcPr>
          <w:p w:rsidR="00BB7835" w:rsidRPr="008E590F" w:rsidRDefault="00BB7835" w:rsidP="00BB7835">
            <w:pPr>
              <w:spacing w:line="240" w:lineRule="auto"/>
              <w:jc w:val="center"/>
              <w:rPr>
                <w:rFonts w:ascii="Times New Roman" w:eastAsia="Times New Roman" w:hAnsi="Times New Roman" w:cs="Times New Roman"/>
                <w:sz w:val="20"/>
                <w:szCs w:val="24"/>
                <w:lang w:eastAsia="es-CO"/>
              </w:rPr>
            </w:pPr>
          </w:p>
        </w:tc>
        <w:tc>
          <w:tcPr>
            <w:tcW w:w="1230" w:type="dxa"/>
            <w:vAlign w:val="center"/>
            <w:hideMark/>
          </w:tcPr>
          <w:p w:rsidR="00BB7835" w:rsidRPr="008E590F" w:rsidRDefault="00BB7835" w:rsidP="00BB783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CO"/>
              </w:rPr>
            </w:pPr>
            <w:proofErr w:type="spellStart"/>
            <w:r w:rsidRPr="008E590F">
              <w:rPr>
                <w:rFonts w:eastAsia="Times New Roman" w:cs="Arial"/>
                <w:color w:val="000000"/>
                <w:sz w:val="22"/>
                <w:lang w:eastAsia="es-CO"/>
              </w:rPr>
              <w:t>Income</w:t>
            </w:r>
            <w:proofErr w:type="spellEnd"/>
            <w:r w:rsidRPr="008E590F">
              <w:rPr>
                <w:rFonts w:eastAsia="Times New Roman" w:cs="Arial"/>
                <w:color w:val="000000"/>
                <w:sz w:val="22"/>
                <w:lang w:eastAsia="es-CO"/>
              </w:rPr>
              <w:br/>
              <w:t>(1)</w:t>
            </w:r>
          </w:p>
        </w:tc>
        <w:tc>
          <w:tcPr>
            <w:tcW w:w="2551" w:type="dxa"/>
            <w:vAlign w:val="center"/>
            <w:hideMark/>
          </w:tcPr>
          <w:p w:rsidR="00BB7835" w:rsidRPr="008E590F" w:rsidRDefault="00BB7835" w:rsidP="00BB783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CO"/>
              </w:rPr>
            </w:pPr>
            <w:proofErr w:type="spellStart"/>
            <w:r w:rsidRPr="008E590F">
              <w:rPr>
                <w:rFonts w:eastAsia="Times New Roman" w:cs="Arial"/>
                <w:color w:val="000000"/>
                <w:sz w:val="22"/>
                <w:lang w:eastAsia="es-CO"/>
              </w:rPr>
              <w:t>Income</w:t>
            </w:r>
            <w:proofErr w:type="spellEnd"/>
            <w:r w:rsidRPr="008E590F">
              <w:rPr>
                <w:rFonts w:eastAsia="Times New Roman" w:cs="Arial"/>
                <w:color w:val="000000"/>
                <w:sz w:val="22"/>
                <w:lang w:eastAsia="es-CO"/>
              </w:rPr>
              <w:t xml:space="preserve"> </w:t>
            </w:r>
            <w:proofErr w:type="spellStart"/>
            <w:r w:rsidRPr="008E590F">
              <w:rPr>
                <w:rFonts w:eastAsia="Times New Roman" w:cs="Arial"/>
                <w:color w:val="000000"/>
                <w:sz w:val="22"/>
                <w:lang w:eastAsia="es-CO"/>
              </w:rPr>
              <w:t>deflated</w:t>
            </w:r>
            <w:proofErr w:type="spellEnd"/>
            <w:r w:rsidRPr="008E590F">
              <w:rPr>
                <w:rFonts w:eastAsia="Times New Roman" w:cs="Arial"/>
                <w:color w:val="000000"/>
                <w:sz w:val="22"/>
                <w:lang w:eastAsia="es-CO"/>
              </w:rPr>
              <w:t xml:space="preserve"> IPC12</w:t>
            </w:r>
            <w:r w:rsidRPr="008E590F">
              <w:rPr>
                <w:rFonts w:eastAsia="Times New Roman" w:cs="Arial"/>
                <w:color w:val="000000"/>
                <w:sz w:val="22"/>
                <w:lang w:eastAsia="es-CO"/>
              </w:rPr>
              <w:br/>
              <w:t>(2)</w:t>
            </w:r>
          </w:p>
        </w:tc>
        <w:tc>
          <w:tcPr>
            <w:tcW w:w="1276" w:type="dxa"/>
            <w:vAlign w:val="center"/>
            <w:hideMark/>
          </w:tcPr>
          <w:p w:rsidR="00BB7835" w:rsidRPr="008E590F" w:rsidRDefault="00BB7835" w:rsidP="00BB783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CO"/>
              </w:rPr>
            </w:pPr>
            <w:proofErr w:type="spellStart"/>
            <w:r w:rsidRPr="008E590F">
              <w:rPr>
                <w:rFonts w:eastAsia="Times New Roman" w:cs="Arial"/>
                <w:color w:val="000000"/>
                <w:sz w:val="22"/>
                <w:lang w:eastAsia="es-CO"/>
              </w:rPr>
              <w:t>Income</w:t>
            </w:r>
            <w:proofErr w:type="spellEnd"/>
            <w:r w:rsidRPr="008E590F">
              <w:rPr>
                <w:rFonts w:eastAsia="Times New Roman" w:cs="Arial"/>
                <w:color w:val="000000"/>
                <w:sz w:val="22"/>
                <w:lang w:eastAsia="es-CO"/>
              </w:rPr>
              <w:br/>
              <w:t>(1)</w:t>
            </w:r>
          </w:p>
        </w:tc>
        <w:tc>
          <w:tcPr>
            <w:tcW w:w="2494" w:type="dxa"/>
            <w:vAlign w:val="center"/>
            <w:hideMark/>
          </w:tcPr>
          <w:p w:rsidR="00BB7835" w:rsidRPr="008E590F" w:rsidRDefault="00BB7835" w:rsidP="00BB783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CO"/>
              </w:rPr>
            </w:pPr>
            <w:proofErr w:type="spellStart"/>
            <w:r w:rsidRPr="008E590F">
              <w:rPr>
                <w:rFonts w:eastAsia="Times New Roman" w:cs="Arial"/>
                <w:color w:val="000000"/>
                <w:sz w:val="22"/>
                <w:lang w:eastAsia="es-CO"/>
              </w:rPr>
              <w:t>Income</w:t>
            </w:r>
            <w:proofErr w:type="spellEnd"/>
            <w:r w:rsidRPr="008E590F">
              <w:rPr>
                <w:rFonts w:eastAsia="Times New Roman" w:cs="Arial"/>
                <w:color w:val="000000"/>
                <w:sz w:val="22"/>
                <w:lang w:eastAsia="es-CO"/>
              </w:rPr>
              <w:t xml:space="preserve"> </w:t>
            </w:r>
            <w:proofErr w:type="spellStart"/>
            <w:r w:rsidRPr="008E590F">
              <w:rPr>
                <w:rFonts w:eastAsia="Times New Roman" w:cs="Arial"/>
                <w:color w:val="000000"/>
                <w:sz w:val="22"/>
                <w:lang w:eastAsia="es-CO"/>
              </w:rPr>
              <w:t>deflated</w:t>
            </w:r>
            <w:proofErr w:type="spellEnd"/>
            <w:r w:rsidRPr="008E590F">
              <w:rPr>
                <w:rFonts w:eastAsia="Times New Roman" w:cs="Arial"/>
                <w:color w:val="000000"/>
                <w:sz w:val="22"/>
                <w:lang w:eastAsia="es-CO"/>
              </w:rPr>
              <w:t xml:space="preserve"> IPC12</w:t>
            </w:r>
            <w:r w:rsidRPr="008E590F">
              <w:rPr>
                <w:rFonts w:eastAsia="Times New Roman" w:cs="Arial"/>
                <w:color w:val="000000"/>
                <w:sz w:val="22"/>
                <w:lang w:eastAsia="es-CO"/>
              </w:rPr>
              <w:br/>
              <w:t>(2)</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r w:rsidRPr="008E590F">
              <w:rPr>
                <w:rFonts w:eastAsia="Times New Roman" w:cs="Arial"/>
                <w:color w:val="000000"/>
                <w:sz w:val="22"/>
                <w:lang w:eastAsia="es-CO"/>
              </w:rPr>
              <w:t>Fuel Price</w:t>
            </w:r>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17.687**</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17.281**</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5.250*</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4.804</w:t>
            </w: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(8.025)</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(7.916)</w:t>
            </w: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(2.956)</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(2.928)</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roofErr w:type="spellStart"/>
            <w:r w:rsidRPr="008E590F">
              <w:rPr>
                <w:rFonts w:eastAsia="Times New Roman" w:cs="Arial"/>
                <w:color w:val="000000"/>
                <w:sz w:val="22"/>
                <w:lang w:eastAsia="es-CO"/>
              </w:rPr>
              <w:t>Size</w:t>
            </w:r>
            <w:proofErr w:type="spellEnd"/>
            <w:r w:rsidRPr="008E590F">
              <w:rPr>
                <w:rFonts w:eastAsia="Times New Roman" w:cs="Arial"/>
                <w:color w:val="000000"/>
                <w:sz w:val="22"/>
                <w:lang w:eastAsia="es-CO"/>
              </w:rPr>
              <w:t>: Medium</w:t>
            </w:r>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-0.109</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-0.116</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-0.198</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-0.206</w:t>
            </w: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(0.558)</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(0.551)</w:t>
            </w: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(0.563)</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(0.557)</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roofErr w:type="spellStart"/>
            <w:r w:rsidRPr="008E590F">
              <w:rPr>
                <w:rFonts w:eastAsia="Times New Roman" w:cs="Arial"/>
                <w:color w:val="000000"/>
                <w:sz w:val="22"/>
                <w:lang w:eastAsia="es-CO"/>
              </w:rPr>
              <w:t>Size</w:t>
            </w:r>
            <w:proofErr w:type="spellEnd"/>
            <w:r w:rsidRPr="008E590F">
              <w:rPr>
                <w:rFonts w:eastAsia="Times New Roman" w:cs="Arial"/>
                <w:color w:val="000000"/>
                <w:sz w:val="22"/>
                <w:lang w:eastAsia="es-CO"/>
              </w:rPr>
              <w:t>: Small</w:t>
            </w:r>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-3.364***</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-3.367***</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-3.526***</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-3.560***</w:t>
            </w: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(1.229)</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(1.211)</w:t>
            </w: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(1.244)</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(1.230)</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roofErr w:type="spellStart"/>
            <w:r w:rsidRPr="008E590F">
              <w:rPr>
                <w:rFonts w:eastAsia="Times New Roman" w:cs="Arial"/>
                <w:color w:val="000000"/>
                <w:sz w:val="22"/>
                <w:lang w:eastAsia="es-CO"/>
              </w:rPr>
              <w:t>Size</w:t>
            </w:r>
            <w:proofErr w:type="spellEnd"/>
            <w:r w:rsidRPr="008E590F">
              <w:rPr>
                <w:rFonts w:eastAsia="Times New Roman" w:cs="Arial"/>
                <w:color w:val="000000"/>
                <w:sz w:val="22"/>
                <w:lang w:eastAsia="es-CO"/>
              </w:rPr>
              <w:t>: Micro</w:t>
            </w:r>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-3.001***</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-3.005***</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-3.102***</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-3.108***</w:t>
            </w: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(0.576)</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(0.570)</w:t>
            </w: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(0.580)</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(0.576)</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r w:rsidRPr="008E590F">
              <w:rPr>
                <w:rFonts w:eastAsia="Times New Roman" w:cs="Arial"/>
                <w:color w:val="000000"/>
                <w:sz w:val="22"/>
                <w:lang w:eastAsia="es-CO"/>
              </w:rPr>
              <w:t xml:space="preserve">Net </w:t>
            </w:r>
            <w:proofErr w:type="spellStart"/>
            <w:r w:rsidRPr="008E590F">
              <w:rPr>
                <w:rFonts w:eastAsia="Times New Roman" w:cs="Arial"/>
                <w:color w:val="000000"/>
                <w:sz w:val="22"/>
                <w:lang w:eastAsia="es-CO"/>
              </w:rPr>
              <w:t>Profit</w:t>
            </w:r>
            <w:proofErr w:type="spellEnd"/>
            <w:r w:rsidRPr="008E590F">
              <w:rPr>
                <w:rFonts w:eastAsia="Times New Roman" w:cs="Arial"/>
                <w:color w:val="000000"/>
                <w:sz w:val="22"/>
                <w:lang w:eastAsia="es-CO"/>
              </w:rPr>
              <w:t xml:space="preserve"> Ratio</w:t>
            </w:r>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-0.374</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-0.222</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ascii="Times New Roman" w:eastAsia="Times New Roman" w:hAnsi="Times New Roman" w:cs="Times New Roman"/>
                <w:sz w:val="20"/>
                <w:szCs w:val="20"/>
                <w:lang w:eastAsia="es-CO"/>
              </w:rPr>
            </w:pP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(2.437)</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(2.468)</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roofErr w:type="spellStart"/>
            <w:r w:rsidRPr="008E590F">
              <w:rPr>
                <w:rFonts w:eastAsia="Times New Roman" w:cs="Arial"/>
                <w:color w:val="000000"/>
                <w:sz w:val="22"/>
                <w:lang w:eastAsia="es-CO"/>
              </w:rPr>
              <w:t>Constant</w:t>
            </w:r>
            <w:proofErr w:type="spellEnd"/>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-143.372*</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-139.696*</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-30.237</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-26.227</w:t>
            </w: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(72.726)</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(71.748)</w:t>
            </w: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(26.556)</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(26.309)</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roofErr w:type="spellStart"/>
            <w:r w:rsidRPr="008E590F">
              <w:rPr>
                <w:rFonts w:eastAsia="Times New Roman" w:cs="Arial"/>
                <w:color w:val="000000"/>
                <w:sz w:val="22"/>
                <w:lang w:eastAsia="es-CO"/>
              </w:rPr>
              <w:t>Observations</w:t>
            </w:r>
            <w:proofErr w:type="spellEnd"/>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62</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62</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62</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62</w:t>
            </w: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r w:rsidRPr="008E590F">
              <w:rPr>
                <w:rFonts w:eastAsia="Times New Roman" w:cs="Arial"/>
                <w:color w:val="000000"/>
                <w:sz w:val="22"/>
                <w:lang w:eastAsia="es-CO"/>
              </w:rPr>
              <w:t>R2</w:t>
            </w: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0.681</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0.681</w:t>
            </w: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0.671</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0.670</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proofErr w:type="spellStart"/>
            <w:r w:rsidRPr="008E590F">
              <w:rPr>
                <w:rFonts w:eastAsia="Times New Roman" w:cs="Arial"/>
                <w:color w:val="000000"/>
                <w:sz w:val="22"/>
                <w:lang w:eastAsia="es-CO"/>
              </w:rPr>
              <w:t>Adjusted</w:t>
            </w:r>
            <w:proofErr w:type="spellEnd"/>
            <w:r w:rsidRPr="008E590F">
              <w:rPr>
                <w:rFonts w:eastAsia="Times New Roman" w:cs="Arial"/>
                <w:color w:val="000000"/>
                <w:sz w:val="22"/>
                <w:lang w:eastAsia="es-CO"/>
              </w:rPr>
              <w:t xml:space="preserve"> R2</w:t>
            </w:r>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0.652</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0.659</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0.642</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0.647</w:t>
            </w:r>
          </w:p>
        </w:tc>
      </w:tr>
      <w:tr w:rsidR="00BB7835" w:rsidRPr="008E590F" w:rsidTr="00BB7835">
        <w:trPr>
          <w:trHeight w:val="715"/>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r w:rsidRPr="008E590F">
              <w:rPr>
                <w:rFonts w:eastAsia="Times New Roman" w:cs="Arial"/>
                <w:color w:val="000000"/>
                <w:sz w:val="22"/>
                <w:lang w:eastAsia="es-CO"/>
              </w:rPr>
              <w:t xml:space="preserve">Residual </w:t>
            </w:r>
            <w:proofErr w:type="spellStart"/>
            <w:r w:rsidRPr="008E590F">
              <w:rPr>
                <w:rFonts w:eastAsia="Times New Roman" w:cs="Arial"/>
                <w:color w:val="000000"/>
                <w:sz w:val="22"/>
                <w:lang w:eastAsia="es-CO"/>
              </w:rPr>
              <w:t>Std</w:t>
            </w:r>
            <w:proofErr w:type="spellEnd"/>
            <w:r w:rsidRPr="008E590F">
              <w:rPr>
                <w:rFonts w:eastAsia="Times New Roman" w:cs="Arial"/>
                <w:color w:val="000000"/>
                <w:sz w:val="22"/>
                <w:lang w:eastAsia="es-CO"/>
              </w:rPr>
              <w:t>. Error</w:t>
            </w:r>
          </w:p>
        </w:tc>
        <w:tc>
          <w:tcPr>
            <w:tcW w:w="1230"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1.046</w:t>
            </w:r>
          </w:p>
        </w:tc>
        <w:tc>
          <w:tcPr>
            <w:tcW w:w="2551"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1.036</w:t>
            </w:r>
          </w:p>
        </w:tc>
        <w:tc>
          <w:tcPr>
            <w:tcW w:w="1276"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1.061</w:t>
            </w:r>
          </w:p>
        </w:tc>
        <w:tc>
          <w:tcPr>
            <w:tcW w:w="2494" w:type="dxa"/>
            <w:noWrap/>
            <w:vAlign w:val="center"/>
            <w:hideMark/>
          </w:tcPr>
          <w:p w:rsidR="00BB7835" w:rsidRPr="008E590F" w:rsidRDefault="00BB7835" w:rsidP="00BB783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1.054</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9" w:type="dxa"/>
            <w:noWrap/>
            <w:vAlign w:val="center"/>
            <w:hideMark/>
          </w:tcPr>
          <w:p w:rsidR="00BB7835" w:rsidRPr="008E590F" w:rsidRDefault="00BB7835" w:rsidP="00BB7835">
            <w:pPr>
              <w:spacing w:line="240" w:lineRule="auto"/>
              <w:jc w:val="center"/>
              <w:rPr>
                <w:rFonts w:eastAsia="Times New Roman" w:cs="Arial"/>
                <w:color w:val="000000"/>
                <w:sz w:val="22"/>
                <w:lang w:eastAsia="es-CO"/>
              </w:rPr>
            </w:pPr>
            <w:r w:rsidRPr="008E590F">
              <w:rPr>
                <w:rFonts w:eastAsia="Times New Roman" w:cs="Arial"/>
                <w:color w:val="000000"/>
                <w:sz w:val="22"/>
                <w:lang w:eastAsia="es-CO"/>
              </w:rPr>
              <w:t xml:space="preserve">F </w:t>
            </w:r>
            <w:proofErr w:type="spellStart"/>
            <w:r w:rsidRPr="008E590F">
              <w:rPr>
                <w:rFonts w:eastAsia="Times New Roman" w:cs="Arial"/>
                <w:color w:val="000000"/>
                <w:sz w:val="22"/>
                <w:lang w:eastAsia="es-CO"/>
              </w:rPr>
              <w:t>Statistic</w:t>
            </w:r>
            <w:proofErr w:type="spellEnd"/>
          </w:p>
        </w:tc>
        <w:tc>
          <w:tcPr>
            <w:tcW w:w="1230"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23.874***</w:t>
            </w:r>
          </w:p>
        </w:tc>
        <w:tc>
          <w:tcPr>
            <w:tcW w:w="2551"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30.413***</w:t>
            </w:r>
          </w:p>
        </w:tc>
        <w:tc>
          <w:tcPr>
            <w:tcW w:w="1276"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22.892***</w:t>
            </w:r>
          </w:p>
        </w:tc>
        <w:tc>
          <w:tcPr>
            <w:tcW w:w="2494" w:type="dxa"/>
            <w:noWrap/>
            <w:vAlign w:val="center"/>
            <w:hideMark/>
          </w:tcPr>
          <w:p w:rsidR="00BB7835" w:rsidRPr="008E590F" w:rsidRDefault="00BB7835" w:rsidP="00BB783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CO"/>
              </w:rPr>
            </w:pPr>
            <w:r w:rsidRPr="008E590F">
              <w:rPr>
                <w:rFonts w:eastAsia="Times New Roman" w:cs="Arial"/>
                <w:color w:val="000000"/>
                <w:sz w:val="22"/>
                <w:lang w:eastAsia="es-CO"/>
              </w:rPr>
              <w:t>28.913***</w:t>
            </w:r>
          </w:p>
        </w:tc>
      </w:tr>
      <w:tr w:rsidR="00BB7835" w:rsidRPr="008E590F" w:rsidTr="00BB7835">
        <w:trPr>
          <w:trHeight w:val="300"/>
        </w:trPr>
        <w:tc>
          <w:tcPr>
            <w:cnfStyle w:val="001000000000" w:firstRow="0" w:lastRow="0" w:firstColumn="1" w:lastColumn="0" w:oddVBand="0" w:evenVBand="0" w:oddHBand="0" w:evenHBand="0" w:firstRowFirstColumn="0" w:firstRowLastColumn="0" w:lastRowFirstColumn="0" w:lastRowLastColumn="0"/>
            <w:tcW w:w="1889" w:type="dxa"/>
            <w:tcBorders>
              <w:right w:val="none" w:sz="0" w:space="0" w:color="auto"/>
            </w:tcBorders>
            <w:shd w:val="clear" w:color="auto" w:fill="auto"/>
            <w:noWrap/>
            <w:vAlign w:val="center"/>
            <w:hideMark/>
          </w:tcPr>
          <w:p w:rsidR="00BB7835" w:rsidRPr="008E590F" w:rsidRDefault="00BB7835" w:rsidP="00BB7835">
            <w:pPr>
              <w:spacing w:line="240" w:lineRule="auto"/>
              <w:jc w:val="center"/>
              <w:rPr>
                <w:rFonts w:eastAsia="Times New Roman" w:cs="Arial"/>
                <w:b/>
                <w:bCs/>
                <w:color w:val="000000"/>
                <w:sz w:val="18"/>
                <w:szCs w:val="18"/>
                <w:lang w:eastAsia="es-CO"/>
              </w:rPr>
            </w:pPr>
            <w:r w:rsidRPr="008E590F">
              <w:rPr>
                <w:rFonts w:eastAsia="Times New Roman" w:cs="Arial"/>
                <w:b/>
                <w:bCs/>
                <w:color w:val="000000"/>
                <w:sz w:val="18"/>
                <w:szCs w:val="18"/>
                <w:lang w:eastAsia="es-CO"/>
              </w:rPr>
              <w:t>Note:</w:t>
            </w:r>
          </w:p>
        </w:tc>
        <w:tc>
          <w:tcPr>
            <w:tcW w:w="7551" w:type="dxa"/>
            <w:gridSpan w:val="4"/>
            <w:shd w:val="clear" w:color="auto" w:fill="auto"/>
            <w:noWrap/>
            <w:vAlign w:val="center"/>
            <w:hideMark/>
          </w:tcPr>
          <w:p w:rsidR="00BB7835" w:rsidRPr="008E590F" w:rsidRDefault="00BB7835" w:rsidP="00BB7835">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8"/>
                <w:lang w:eastAsia="es-CO"/>
              </w:rPr>
            </w:pPr>
            <w:r w:rsidRPr="008E590F">
              <w:rPr>
                <w:rFonts w:eastAsia="Times New Roman" w:cs="Arial"/>
                <w:color w:val="000000"/>
                <w:sz w:val="18"/>
                <w:szCs w:val="18"/>
                <w:lang w:eastAsia="es-CO"/>
              </w:rPr>
              <w:t>*p&lt;0.1; **p&lt;0.05; ***p&lt;0.01</w:t>
            </w:r>
          </w:p>
        </w:tc>
      </w:tr>
      <w:tr w:rsidR="00BB7835" w:rsidRPr="008E590F" w:rsidTr="00BB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40" w:type="dxa"/>
            <w:gridSpan w:val="5"/>
            <w:tcBorders>
              <w:right w:val="none" w:sz="0" w:space="0" w:color="auto"/>
            </w:tcBorders>
            <w:noWrap/>
            <w:vAlign w:val="center"/>
            <w:hideMark/>
          </w:tcPr>
          <w:p w:rsidR="00BB7835" w:rsidRPr="008E590F" w:rsidRDefault="00BB7835" w:rsidP="00BB7835">
            <w:pPr>
              <w:spacing w:line="240" w:lineRule="auto"/>
              <w:jc w:val="right"/>
              <w:rPr>
                <w:rFonts w:eastAsia="Times New Roman" w:cs="Arial"/>
                <w:color w:val="000000"/>
                <w:sz w:val="18"/>
                <w:szCs w:val="18"/>
                <w:lang w:val="en-US" w:eastAsia="es-CO"/>
              </w:rPr>
            </w:pPr>
            <w:r w:rsidRPr="008E590F">
              <w:rPr>
                <w:rFonts w:eastAsia="Times New Roman" w:cs="Arial"/>
                <w:color w:val="000000"/>
                <w:sz w:val="18"/>
                <w:szCs w:val="18"/>
                <w:lang w:val="en-US" w:eastAsia="es-CO"/>
              </w:rPr>
              <w:t>Estimation (1) and (2) use gasoline price, (3) and (4) use ACPM price. Standard Errors in parentheses.</w:t>
            </w:r>
          </w:p>
        </w:tc>
      </w:tr>
    </w:tbl>
    <w:p w:rsidR="00BB7835" w:rsidRPr="00BB7835" w:rsidRDefault="00BB7835" w:rsidP="00C31ED1">
      <w:pPr>
        <w:rPr>
          <w:lang w:val="en-US"/>
        </w:rPr>
      </w:pPr>
    </w:p>
    <w:p w:rsidR="003D6E7D" w:rsidRDefault="003D6E7D" w:rsidP="00C31ED1">
      <w:r>
        <w:t xml:space="preserve">La tabla 4 muestras los resultados de las estimaciones. En el anexo entregado se encuentran todas las regresiones realizadas, sin embargo, sólo se presentan cuatro, ya que las demás tienen un comportamiento muy similar. En general, el precio del </w:t>
      </w:r>
      <w:r>
        <w:lastRenderedPageBreak/>
        <w:t>combustible es, estadística y económicamente, significativo – más para la gasolina que para el ACPM. El tamaño de las firmas importa, excepto en el caso de las firmas de tamaño mediano, frente a las de gran tamaño. Por el contrario, la rentabilidad neta de los activos no es significativa en ningún caso, por lo cual se retira en las estimaciones (2) y (4), pero el comportamiento no cambia significativamente – ni el R</w:t>
      </w:r>
      <w:r>
        <w:rPr>
          <w:vertAlign w:val="superscript"/>
        </w:rPr>
        <w:t>2</w:t>
      </w:r>
      <w:r>
        <w:t xml:space="preserve"> ajustado. El caso particular se presenta en la estimación (4) donde, usando el ingreso deflactado con el IPC en base 2012 y con el precio del ACPM, el resultado muestra que no es significativo para explicar las variaciones del ingreso.</w:t>
      </w:r>
    </w:p>
    <w:sectPr w:rsidR="003D6E7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A7E" w:rsidRDefault="00F71A7E" w:rsidP="000D588B">
      <w:pPr>
        <w:spacing w:line="240" w:lineRule="auto"/>
      </w:pPr>
      <w:r>
        <w:separator/>
      </w:r>
    </w:p>
  </w:endnote>
  <w:endnote w:type="continuationSeparator" w:id="0">
    <w:p w:rsidR="00F71A7E" w:rsidRDefault="00F71A7E" w:rsidP="000D58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A7E" w:rsidRDefault="00F71A7E" w:rsidP="000D588B">
      <w:pPr>
        <w:spacing w:line="240" w:lineRule="auto"/>
      </w:pPr>
      <w:r>
        <w:separator/>
      </w:r>
    </w:p>
  </w:footnote>
  <w:footnote w:type="continuationSeparator" w:id="0">
    <w:p w:rsidR="00F71A7E" w:rsidRDefault="00F71A7E" w:rsidP="000D588B">
      <w:pPr>
        <w:spacing w:line="240" w:lineRule="auto"/>
      </w:pPr>
      <w:r>
        <w:continuationSeparator/>
      </w:r>
    </w:p>
  </w:footnote>
  <w:footnote w:id="1">
    <w:p w:rsidR="005515AE" w:rsidRDefault="005515AE">
      <w:pPr>
        <w:pStyle w:val="Textonotapie"/>
      </w:pPr>
      <w:r>
        <w:rPr>
          <w:rStyle w:val="Refdenotaalpie"/>
        </w:rPr>
        <w:footnoteRef/>
      </w:r>
      <w:r>
        <w:t xml:space="preserve"> La base original es diciembre 2008, pero se ha hecho cambio de base y se ha promediado para todos los meses en el año.</w:t>
      </w:r>
    </w:p>
  </w:footnote>
  <w:footnote w:id="2">
    <w:p w:rsidR="005515AE" w:rsidRPr="005515AE" w:rsidRDefault="005515AE">
      <w:pPr>
        <w:pStyle w:val="Textonotapie"/>
      </w:pPr>
      <w:r>
        <w:rPr>
          <w:rStyle w:val="Refdenotaalpie"/>
        </w:rPr>
        <w:footnoteRef/>
      </w:r>
      <w:r>
        <w:t xml:space="preserve"> </w:t>
      </w:r>
      <w:proofErr w:type="spellStart"/>
      <w:r>
        <w:rPr>
          <w:i/>
        </w:rPr>
        <w:t>Ibid</w:t>
      </w:r>
      <w:proofErr w:type="spellEnd"/>
      <w:r>
        <w:rPr>
          <w:i/>
        </w:rPr>
        <w:t>.</w:t>
      </w:r>
    </w:p>
  </w:footnote>
  <w:footnote w:id="3">
    <w:p w:rsidR="00AD0199" w:rsidRDefault="00AD0199">
      <w:pPr>
        <w:pStyle w:val="Textonotapie"/>
      </w:pPr>
      <w:r>
        <w:rPr>
          <w:rStyle w:val="Refdenotaalpie"/>
        </w:rPr>
        <w:footnoteRef/>
      </w:r>
      <w:r>
        <w:t xml:space="preserve"> La variable fue entregada por la profesional del Banco de la República, Stefany Moreno.</w:t>
      </w:r>
    </w:p>
  </w:footnote>
  <w:footnote w:id="4">
    <w:p w:rsidR="00AD0199" w:rsidRDefault="00AD0199">
      <w:pPr>
        <w:pStyle w:val="Textonotapie"/>
      </w:pPr>
      <w:r>
        <w:rPr>
          <w:rStyle w:val="Refdenotaalpie"/>
        </w:rPr>
        <w:footnoteRef/>
      </w:r>
      <w:r>
        <w:t xml:space="preserve"> </w:t>
      </w:r>
      <w:r w:rsidRPr="00AD0199">
        <w:t>http://archive.is/qwzDX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D" w:rsidRPr="00BB7835" w:rsidRDefault="000C67AD">
    <w:pPr>
      <w:pStyle w:val="Encabezado"/>
      <w:rPr>
        <w:sz w:val="20"/>
      </w:rPr>
    </w:pPr>
    <w:r w:rsidRPr="00BB7835">
      <w:rPr>
        <w:sz w:val="20"/>
      </w:rPr>
      <w:t>INFORME UNO. Febrero 2018</w:t>
    </w:r>
  </w:p>
  <w:p w:rsidR="000C67AD" w:rsidRPr="00BB7835" w:rsidRDefault="000C67AD">
    <w:pPr>
      <w:pStyle w:val="Encabezado"/>
      <w:rPr>
        <w:sz w:val="20"/>
      </w:rPr>
    </w:pPr>
    <w:r w:rsidRPr="00BB7835">
      <w:rPr>
        <w:sz w:val="20"/>
      </w:rPr>
      <w:t>Nicolás Romero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D5358"/>
    <w:multiLevelType w:val="hybridMultilevel"/>
    <w:tmpl w:val="A4BA1FA2"/>
    <w:lvl w:ilvl="0" w:tplc="1EC25A04">
      <w:numFmt w:val="bullet"/>
      <w:lvlText w:val=""/>
      <w:lvlJc w:val="left"/>
      <w:pPr>
        <w:ind w:left="1065" w:hanging="360"/>
      </w:pPr>
      <w:rPr>
        <w:rFonts w:ascii="Symbol" w:eastAsiaTheme="minorHAnsi" w:hAnsi="Symbol" w:cstheme="minorBid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5D194B44"/>
    <w:multiLevelType w:val="hybridMultilevel"/>
    <w:tmpl w:val="5F2CB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8B"/>
    <w:rsid w:val="00056B01"/>
    <w:rsid w:val="000C67AD"/>
    <w:rsid w:val="000D588B"/>
    <w:rsid w:val="0013527A"/>
    <w:rsid w:val="00255518"/>
    <w:rsid w:val="002F571F"/>
    <w:rsid w:val="003A6003"/>
    <w:rsid w:val="003D6E7D"/>
    <w:rsid w:val="00473781"/>
    <w:rsid w:val="004748AD"/>
    <w:rsid w:val="005515AE"/>
    <w:rsid w:val="00653E3C"/>
    <w:rsid w:val="0087660B"/>
    <w:rsid w:val="008E590F"/>
    <w:rsid w:val="00913055"/>
    <w:rsid w:val="00AD0199"/>
    <w:rsid w:val="00B86FBA"/>
    <w:rsid w:val="00BB7835"/>
    <w:rsid w:val="00C31ED1"/>
    <w:rsid w:val="00CD3D34"/>
    <w:rsid w:val="00DE70F3"/>
    <w:rsid w:val="00EB7423"/>
    <w:rsid w:val="00F71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49481-B877-4106-B049-B68A699F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B01"/>
    <w:pPr>
      <w:spacing w:after="0" w:line="276"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588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D588B"/>
    <w:rPr>
      <w:rFonts w:ascii="Arial" w:hAnsi="Arial"/>
      <w:sz w:val="24"/>
    </w:rPr>
  </w:style>
  <w:style w:type="paragraph" w:styleId="Piedepgina">
    <w:name w:val="footer"/>
    <w:basedOn w:val="Normal"/>
    <w:link w:val="PiedepginaCar"/>
    <w:uiPriority w:val="99"/>
    <w:unhideWhenUsed/>
    <w:rsid w:val="000D588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D588B"/>
    <w:rPr>
      <w:rFonts w:ascii="Arial" w:hAnsi="Arial"/>
      <w:sz w:val="24"/>
    </w:rPr>
  </w:style>
  <w:style w:type="table" w:styleId="Tablaconcuadrcula">
    <w:name w:val="Table Grid"/>
    <w:basedOn w:val="Tablanormal"/>
    <w:uiPriority w:val="39"/>
    <w:rsid w:val="00913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130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EB7423"/>
    <w:pPr>
      <w:ind w:left="720"/>
      <w:contextualSpacing/>
    </w:pPr>
  </w:style>
  <w:style w:type="paragraph" w:styleId="Descripcin">
    <w:name w:val="caption"/>
    <w:basedOn w:val="Normal"/>
    <w:next w:val="Normal"/>
    <w:uiPriority w:val="35"/>
    <w:unhideWhenUsed/>
    <w:qFormat/>
    <w:rsid w:val="00EB7423"/>
    <w:pPr>
      <w:spacing w:after="200" w:line="240" w:lineRule="auto"/>
    </w:pPr>
    <w:rPr>
      <w:i/>
      <w:iCs/>
      <w:color w:val="44546A" w:themeColor="text2"/>
      <w:sz w:val="18"/>
      <w:szCs w:val="18"/>
    </w:rPr>
  </w:style>
  <w:style w:type="table" w:styleId="Tablanormal5">
    <w:name w:val="Plain Table 5"/>
    <w:basedOn w:val="Tablanormal"/>
    <w:uiPriority w:val="45"/>
    <w:rsid w:val="00C31E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C31E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CD3D34"/>
    <w:rPr>
      <w:color w:val="808080"/>
    </w:rPr>
  </w:style>
  <w:style w:type="paragraph" w:styleId="Textonotapie">
    <w:name w:val="footnote text"/>
    <w:basedOn w:val="Normal"/>
    <w:link w:val="TextonotapieCar"/>
    <w:uiPriority w:val="99"/>
    <w:semiHidden/>
    <w:unhideWhenUsed/>
    <w:rsid w:val="005515AE"/>
    <w:pPr>
      <w:spacing w:line="240" w:lineRule="auto"/>
    </w:pPr>
    <w:rPr>
      <w:sz w:val="20"/>
      <w:szCs w:val="20"/>
    </w:rPr>
  </w:style>
  <w:style w:type="character" w:customStyle="1" w:styleId="TextonotapieCar">
    <w:name w:val="Texto nota pie Car"/>
    <w:basedOn w:val="Fuentedeprrafopredeter"/>
    <w:link w:val="Textonotapie"/>
    <w:uiPriority w:val="99"/>
    <w:semiHidden/>
    <w:rsid w:val="005515AE"/>
    <w:rPr>
      <w:rFonts w:ascii="Arial" w:hAnsi="Arial"/>
      <w:sz w:val="20"/>
      <w:szCs w:val="20"/>
    </w:rPr>
  </w:style>
  <w:style w:type="character" w:styleId="Refdenotaalpie">
    <w:name w:val="footnote reference"/>
    <w:basedOn w:val="Fuentedeprrafopredeter"/>
    <w:uiPriority w:val="99"/>
    <w:semiHidden/>
    <w:unhideWhenUsed/>
    <w:rsid w:val="00551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46000">
      <w:bodyDiv w:val="1"/>
      <w:marLeft w:val="0"/>
      <w:marRight w:val="0"/>
      <w:marTop w:val="0"/>
      <w:marBottom w:val="0"/>
      <w:divBdr>
        <w:top w:val="none" w:sz="0" w:space="0" w:color="auto"/>
        <w:left w:val="none" w:sz="0" w:space="0" w:color="auto"/>
        <w:bottom w:val="none" w:sz="0" w:space="0" w:color="auto"/>
        <w:right w:val="none" w:sz="0" w:space="0" w:color="auto"/>
      </w:divBdr>
    </w:div>
    <w:div w:id="763186173">
      <w:bodyDiv w:val="1"/>
      <w:marLeft w:val="0"/>
      <w:marRight w:val="0"/>
      <w:marTop w:val="0"/>
      <w:marBottom w:val="0"/>
      <w:divBdr>
        <w:top w:val="none" w:sz="0" w:space="0" w:color="auto"/>
        <w:left w:val="none" w:sz="0" w:space="0" w:color="auto"/>
        <w:bottom w:val="none" w:sz="0" w:space="0" w:color="auto"/>
        <w:right w:val="none" w:sz="0" w:space="0" w:color="auto"/>
      </w:divBdr>
    </w:div>
    <w:div w:id="837311902">
      <w:bodyDiv w:val="1"/>
      <w:marLeft w:val="0"/>
      <w:marRight w:val="0"/>
      <w:marTop w:val="0"/>
      <w:marBottom w:val="0"/>
      <w:divBdr>
        <w:top w:val="none" w:sz="0" w:space="0" w:color="auto"/>
        <w:left w:val="none" w:sz="0" w:space="0" w:color="auto"/>
        <w:bottom w:val="none" w:sz="0" w:space="0" w:color="auto"/>
        <w:right w:val="none" w:sz="0" w:space="0" w:color="auto"/>
      </w:divBdr>
    </w:div>
    <w:div w:id="104845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AA97-BD70-45B2-983A-97AF4B42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1138</Words>
  <Characters>6263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Castano Nicolas</dc:creator>
  <cp:keywords/>
  <dc:description/>
  <cp:lastModifiedBy>Romero Castano Nicolas</cp:lastModifiedBy>
  <cp:revision>9</cp:revision>
  <dcterms:created xsi:type="dcterms:W3CDTF">2018-02-12T16:01:00Z</dcterms:created>
  <dcterms:modified xsi:type="dcterms:W3CDTF">2018-02-13T19:50:00Z</dcterms:modified>
</cp:coreProperties>
</file>