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79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colaborador79@outlook.com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9708600063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92345671098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7839203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ORG4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PLATAFORMA BAIXA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3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75938447155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09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75938447155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12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09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7839203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1973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3DE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79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79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92345671098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79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92345671098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ORG4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79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