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both"/>
      </w:pPr>
      <w:r>
        <w:rPr>
          <w:rFonts w:ascii="Times New Roman" w:hAnsi="Times New Roman"/>
          <w:sz w:val="22"/>
        </w:rPr>
        <w:t>DRAFT v4 — Chapter 6 (merged Chapters 6 and 7, V_g = 500 V, gain-scheduled PR)</w:t>
      </w:r>
    </w:p>
    <w:p>
      <w:pPr>
        <w:spacing w:line="360" w:lineRule="auto" w:after="120"/>
        <w:jc w:val="both"/>
      </w:pPr>
      <w:r>
        <w:rPr>
          <w:rFonts w:ascii="Times New Roman" w:hAnsi="Times New Roman"/>
          <w:sz w:val="22"/>
        </w:rPr>
        <w:t>Author: A.-U. Asi, University of Leeds</w:t>
      </w:r>
    </w:p>
    <w:p>
      <w:pPr>
        <w:spacing w:line="360" w:lineRule="auto" w:after="120"/>
        <w:jc w:val="both"/>
      </w:pPr>
      <w:r>
        <w:rPr>
          <w:rFonts w:ascii="Times New Roman" w:hAnsi="Times New Roman"/>
          <w:sz w:val="22"/>
        </w:rPr>
        <w:t>Last updated: June 2026</w:t>
      </w:r>
    </w:p>
    <w:p/>
    <w:p>
      <w:pPr>
        <w:shd w:val="clear" w:color="auto" w:fill="E1F0FF"/>
      </w:pPr>
      <w:r>
        <w:rPr>
          <w:rFonts w:ascii="Calibri" w:hAnsi="Calibri"/>
          <w:b/>
          <w:i/>
          <w:sz w:val="20"/>
        </w:rPr>
        <w:t xml:space="preserve">[EDITORIAL NOTE: </w:t>
      </w:r>
      <w:r>
        <w:rPr>
          <w:rFonts w:ascii="Calibri" w:hAnsi="Calibri"/>
          <w:i/>
          <w:sz w:val="20"/>
        </w:rPr>
        <w:t>This is v4 of the merged Chapter 6. Compared to v3, gain scheduling of the PR DC-injection compensator has been restored as the central novelty contribution, directly addressing the examiner's specific recommendation that 'the candidate should explore the design of PR controller gains and consider developing self-tuning or gain scheduling techniques to address the issue of uncertainty or varying gain values under different operating conditions.' All other v3 decisions are preserved: V_g = 500 V, M_nominal = 0.65, 10 series panels, UK 230 V grid, parameters set in block masks. Chapter 6 remains simulation-only; experimental validation of the new contributions is provided in Chapter 5 (the αβ-CDSC-SOGI-PLL on the F28P65X hardware platform).]</w:t>
      </w:r>
    </w:p>
    <w:p/>
    <w:p>
      <w:pPr>
        <w:jc w:val="center"/>
      </w:pPr>
      <w:r>
        <w:rPr>
          <w:b/>
          <w:sz w:val="28"/>
        </w:rPr>
        <w:t>CHAPTER 6</w:t>
      </w:r>
    </w:p>
    <w:p>
      <w:pPr>
        <w:spacing w:after="480"/>
        <w:jc w:val="center"/>
      </w:pPr>
      <w:r>
        <w:rPr>
          <w:b/>
          <w:sz w:val="28"/>
        </w:rPr>
        <w:t>Closed-Loop Control of the Single-Stage Semi-Z-Source Inverter with Gain-Scheduled DC-Injection Compensation for Grid-Connected Photovoltaic Applications</w:t>
      </w:r>
    </w:p>
    <w:p>
      <w:pPr>
        <w:pStyle w:val="Heading1"/>
        <w:spacing w:before="360" w:after="160"/>
      </w:pPr>
      <w:r>
        <w:rPr>
          <w:rFonts w:ascii="Times New Roman" w:hAnsi="Times New Roman"/>
          <w:b/>
          <w:color w:val="000000"/>
          <w:sz w:val="32"/>
        </w:rPr>
        <w:t>6.1 Introduction</w:t>
      </w:r>
    </w:p>
    <w:p>
      <w:pPr>
        <w:spacing w:line="360" w:lineRule="auto" w:after="120"/>
        <w:jc w:val="both"/>
      </w:pPr>
      <w:r>
        <w:rPr>
          <w:rFonts w:ascii="Times New Roman" w:hAnsi="Times New Roman"/>
          <w:sz w:val="22"/>
        </w:rPr>
        <w:t>Grid-connected inverters are central to renewable energy systems, enabling the conversion of direct-current (DC) power from photovoltaic (PV) arrays into alternating-current (AC) power suitable for injection into the public utility grid. Inverters for these applications fall into two main categories: isolated (transformer-based) and non-isolated (transformerless). Isolated inverters provide galvanic isolation through either a low-frequency transformer at the output or a high-frequency transformer within a DC-DC stage. Although they offer boosting capability and safety advantages, isolated inverters typically exhibit higher losses, larger physical footprint, greater complexity, and increased manufacturing cost. Transformerless inverters have, in consequence, gained significant traction for low-power residential applications, offering approximately four percent higher efficiency than their transformer-based counterparts, a more compact form factor, and reduced cost.</w:t>
      </w:r>
    </w:p>
    <w:p>
      <w:pPr>
        <w:spacing w:line="360" w:lineRule="auto" w:after="120"/>
        <w:ind w:firstLine="283"/>
        <w:jc w:val="both"/>
      </w:pPr>
      <w:r>
        <w:rPr>
          <w:rFonts w:ascii="Times New Roman" w:hAnsi="Times New Roman"/>
          <w:sz w:val="22"/>
        </w:rPr>
        <w:t>The absence of galvanic isolation in transformerless inverters introduces two specific technical challenges. The first is common-mode leakage current, which arises from the parasitic capacitance between the PV array and earth and can compromise both safety and electromagnetic compatibility. The second is the risk of DC current injection into the grid, which the isolation transformer would otherwise block. DC injection arises from asymmetries in switching, quantisation errors in the digital control system, non-ideal characteristics of the semiconductor devices, minor DC biases in the reference signals, and offset drift in the current sensors. The consequences of uncorrected DC injection include saturation of distribution transformers further along the network, distortion of magnetising currents, increased core losses, metering inaccuracies, and accelerated corrosion of grounding conductors.</w:t>
      </w:r>
    </w:p>
    <w:p>
      <w:pPr>
        <w:spacing w:line="360" w:lineRule="auto" w:after="120"/>
        <w:ind w:firstLine="283"/>
        <w:jc w:val="both"/>
      </w:pPr>
      <w:r>
        <w:rPr>
          <w:rFonts w:ascii="Times New Roman" w:hAnsi="Times New Roman"/>
          <w:sz w:val="22"/>
        </w:rPr>
        <w:t>Several inverter topologies have been developed to address these challenges. Z-source inverter topologies have attracted particular attention because the Z-source impedance network provides both a voltage-boosting capability and an inherent ground-coupling property that reduces common-mode leakage current. The single-stage Z-source inverter, presented by Asi et al. in 2020, uses only two switching devices and a unique impedance network to generate a single-phase sinusoidal output with adjustable frequency and amplitude. The topology features a doubly grounded design analogous to that of traditional H-bridge circuits, reducing common-mode leakage current and enhancing reliability while substantially decreasing component count.</w:t>
      </w:r>
    </w:p>
    <w:p>
      <w:pPr>
        <w:spacing w:line="360" w:lineRule="auto" w:after="120"/>
        <w:ind w:firstLine="283"/>
        <w:jc w:val="both"/>
      </w:pPr>
      <w:r>
        <w:rPr>
          <w:rFonts w:ascii="Times New Roman" w:hAnsi="Times New Roman"/>
          <w:sz w:val="22"/>
        </w:rPr>
        <w:t>The principal limitation of the 2020 design, and a key motivation for the present chapter, is that the parallel proportional-resonant (PR) controller used to suppress DC current injection was designed with fixed gains tuned at a single operating point. Across the practical operating envelope of a real PV system, the modulation index varies with both irradiance and grid conditions, and the small-signal plant presented to the PR controller changes accordingly. A fixed-gain controller tuned for one operating point provides suboptimal compensation at others, with consequent degradation in DC injection suppression performance under realistic operating conditions. This limitation is the central technical problem addressed by the gain scheduling contribution developed in §6.11 of the present chapter.</w:t>
      </w:r>
    </w:p>
    <w:p>
      <w:pPr>
        <w:spacing w:line="360" w:lineRule="auto" w:after="120"/>
        <w:ind w:firstLine="283"/>
        <w:jc w:val="both"/>
      </w:pPr>
      <w:r>
        <w:rPr>
          <w:rFonts w:ascii="Times New Roman" w:hAnsi="Times New Roman"/>
          <w:sz w:val="22"/>
        </w:rPr>
        <w:t>The present chapter extends the single-stage Z-source inverter of the 2020 paper into a complete grid-tied PV system suitable for UK residential installation, with several novel contributions:</w:t>
      </w:r>
    </w:p>
    <w:p>
      <w:pPr>
        <w:pStyle w:val="ListBullet"/>
        <w:spacing w:line="360" w:lineRule="auto" w:after="80"/>
      </w:pPr>
      <w:r>
        <w:rPr>
          <w:rFonts w:ascii="Times New Roman" w:hAnsi="Times New Roman"/>
          <w:sz w:val="22"/>
        </w:rPr>
        <w:t>Development of a gain-scheduled proportional-resonant DC-injection compensator (§6.11), in which the proportional and resonant gains are computed analytically at multiple operating points and stored in a lookup table indexed by the operating-point modulation index. This addresses the principal limitation of the 2020 fixed-gain design and was specifically recommended by the viva examiners as the means by which the controller design could be made an additional contribution to the field.</w:t>
      </w:r>
    </w:p>
    <w:p>
      <w:pPr>
        <w:pStyle w:val="ListBullet"/>
        <w:spacing w:line="360" w:lineRule="auto" w:after="80"/>
      </w:pPr>
      <w:r>
        <w:rPr>
          <w:rFonts w:ascii="Times New Roman" w:hAnsi="Times New Roman"/>
          <w:sz w:val="22"/>
        </w:rPr>
        <w:t>Replacement of the controlled current source used in the original paper with a proper single-diode PV array model (§6.5), enabling realistic evaluation of converter behaviour under varying irradiance and temperature.</w:t>
      </w:r>
    </w:p>
    <w:p>
      <w:pPr>
        <w:pStyle w:val="ListBullet"/>
        <w:spacing w:line="360" w:lineRule="auto" w:after="80"/>
      </w:pPr>
      <w:r>
        <w:rPr>
          <w:rFonts w:ascii="Times New Roman" w:hAnsi="Times New Roman"/>
          <w:sz w:val="22"/>
        </w:rPr>
        <w:t>Integration of a perturb-and-observe (P&amp;O) maximum power point tracking algorithm (§6.6), making the system a complete grid-tied PV solution rather than a fixed-input converter.</w:t>
      </w:r>
    </w:p>
    <w:p>
      <w:pPr>
        <w:pStyle w:val="ListBullet"/>
        <w:spacing w:line="360" w:lineRule="auto" w:after="80"/>
      </w:pPr>
      <w:r>
        <w:rPr>
          <w:rFonts w:ascii="Times New Roman" w:hAnsi="Times New Roman"/>
          <w:sz w:val="22"/>
        </w:rPr>
        <w:t>Integration of the αβ-CDSC-SOGI-PLL grid synchronisation scheme developed in Chapter 4 (§6.7), providing robust phase and frequency estimation under harmonic distortion and grid frequency variation.</w:t>
      </w:r>
    </w:p>
    <w:p>
      <w:pPr>
        <w:pStyle w:val="ListBullet"/>
        <w:spacing w:line="360" w:lineRule="auto" w:after="80"/>
      </w:pPr>
      <w:r>
        <w:rPr>
          <w:rFonts w:ascii="Times New Roman" w:hAnsi="Times New Roman"/>
          <w:sz w:val="22"/>
        </w:rPr>
        <w:t>Comprehensive validation against UK grid standards G99 and EN 50160 (§6.13), establishing compliance across the full range of operating conditions defined by those standards.</w:t>
      </w:r>
    </w:p>
    <w:p>
      <w:pPr>
        <w:pStyle w:val="ListBullet"/>
        <w:spacing w:line="360" w:lineRule="auto" w:after="80"/>
      </w:pPr>
      <w:r>
        <w:rPr>
          <w:rFonts w:ascii="Times New Roman" w:hAnsi="Times New Roman"/>
          <w:sz w:val="22"/>
        </w:rPr>
        <w:t>Demonstration of electric vehicle interoperability in both day mode and night mode (§6.12), establishing the converter's suitability for combined PV-EV residential charging applications.</w:t>
      </w:r>
    </w:p>
    <w:p>
      <w:pPr>
        <w:pStyle w:val="ListBullet"/>
        <w:spacing w:line="360" w:lineRule="auto" w:after="80"/>
      </w:pPr>
      <w:r>
        <w:rPr>
          <w:rFonts w:ascii="Times New Roman" w:hAnsi="Times New Roman"/>
          <w:sz w:val="22"/>
        </w:rPr>
        <w:t>Quantitative loss model and efficiency evaluation across multiple operating conditions (§6.14), addressing the viva examiner's specific request.</w:t>
      </w:r>
    </w:p>
    <w:p>
      <w:pPr>
        <w:pStyle w:val="ListBullet"/>
        <w:spacing w:line="360" w:lineRule="auto" w:after="80"/>
      </w:pPr>
      <w:r>
        <w:rPr>
          <w:rFonts w:ascii="Times New Roman" w:hAnsi="Times New Roman"/>
          <w:sz w:val="22"/>
        </w:rPr>
        <w:t>Comprehensive documented simulation methodology supporting reproducibility of all results (§6.15), addressing a further specific examiner request.</w:t>
      </w:r>
    </w:p>
    <w:p>
      <w:pPr>
        <w:spacing w:line="360" w:lineRule="auto" w:after="120"/>
        <w:ind w:firstLine="283"/>
        <w:jc w:val="both"/>
      </w:pPr>
      <w:r>
        <w:rPr>
          <w:rFonts w:ascii="Times New Roman" w:hAnsi="Times New Roman"/>
          <w:sz w:val="22"/>
        </w:rPr>
        <w:t>The gain-scheduled PR controller is the headline contribution of this chapter and is the primary technical novelty distinguishing the present work from the author's 2020 publication. The remaining contributions extend the 2020 work in scope and rigour, supporting the gain-scheduled controller's evaluation in a realistic, standards-compliant grid-tied PV system. Experimental validation of the αβ-CDSC-SOGI-PLL on the TI LAUNCHXL-F28P65X hardware platform is presented in Chapter 5; the present chapter focuses on simulation-based design and validation of the gain-scheduled controller.</w:t>
      </w:r>
    </w:p>
    <w:p>
      <w:pPr>
        <w:spacing w:line="360" w:lineRule="auto" w:after="120"/>
        <w:ind w:firstLine="283"/>
        <w:jc w:val="both"/>
      </w:pPr>
      <w:r>
        <w:rPr>
          <w:rFonts w:ascii="Times New Roman" w:hAnsi="Times New Roman"/>
          <w:sz w:val="22"/>
        </w:rPr>
        <w:t>The chapter is organised as follows. Section 6.2 reviews the topology of the semi-Z-source inverter and its operating principle, including the comparison with the conventional H-bridge inverter and the doubly grounded feature that enables transformerless operation. Section 6.3 develops the modified sinusoidal pulse-width modulation scheme required for single-stage operation. Section 6.4 introduces the closed-loop control architecture, justifying the choice of voltage-oriented control with PR compensation over alternative schemes such as model predictive control. Section 6.5 describes the single-diode PV array model. Section 6.6 presents the P&amp;O maximum power point tracking algorithm. Section 6.7 covers the integration of the αβ-CDSC-SOGI-PLL. Sections 6.8, 6.9, and 6.10 develop the DC voltage controller, the dq-frame current controller, and the L-filter design respectively. Section 6.11 presents the gain-scheduled PR DC-injection compensator, including the analytical design procedure, the lookup table implementation, and the stability margin analysis across the operating envelope. Section 6.12 addresses electric vehicle interoperability. Section 6.13 sets out the UK grid standards compliance framework. Section 6.14 develops the loss model used to compute converter efficiency. Section 6.15 documents the simulation methodology and reproducibility procedures. Section 6.16 contrasts the present contributions with the author's 2020 published work. Section 6.17 presents the full simulation study suite. Section 6.18 discusses topology comparison and prospective applications. Section 6.19 concludes with a summary of contributions and an assessment of limitations.</w:t>
      </w:r>
    </w:p>
    <w:p>
      <w:pPr>
        <w:pStyle w:val="Heading1"/>
        <w:spacing w:before="360" w:after="160"/>
      </w:pPr>
      <w:r>
        <w:rPr>
          <w:rFonts w:ascii="Times New Roman" w:hAnsi="Times New Roman"/>
          <w:b/>
          <w:color w:val="000000"/>
          <w:sz w:val="32"/>
        </w:rPr>
        <w:t>6.2 Semi-Z-Source Topology</w:t>
      </w:r>
    </w:p>
    <w:p>
      <w:pPr>
        <w:spacing w:line="360" w:lineRule="auto" w:after="120"/>
        <w:jc w:val="both"/>
      </w:pPr>
      <w:r>
        <w:rPr>
          <w:rFonts w:ascii="Times New Roman" w:hAnsi="Times New Roman"/>
          <w:sz w:val="22"/>
        </w:rPr>
        <w:t>The semi-Z-source inverter, illustrated in Figure 6.1, is derived from the Z-source DC-DC converter topology discussed extensively in Chapters 2 and 3. By incorporating a grid current controller, an output filter, and a modified sinusoidal pulse-width modulation (SPWM) technique into the closed-loop control system with a proportional-resonant (PR) controller monitoring the inverter output voltage, the same two-switch DC-DC structure is adapted to function directly as a single-phase grid-tied inverter, eliminating the need for a separate four-switch H-bridge stage.</w:t>
      </w:r>
    </w:p>
    <w:p>
      <w:pPr>
        <w:shd w:val="clear" w:color="auto" w:fill="FFF2CC"/>
        <w:spacing w:before="120" w:after="120"/>
        <w:jc w:val="center"/>
      </w:pPr>
      <w:r>
        <w:rPr>
          <w:rFonts w:ascii="Calibri" w:hAnsi="Calibri"/>
          <w:b/>
          <w:i/>
          <w:color w:val="806000"/>
          <w:sz w:val="20"/>
        </w:rPr>
        <w:t>[PLACEHOLDER: Figure 6.1: Schematic of the semi-Z-source inverter showing PV-side input, Z-network (L₁, L₂, C₁, C₂), switches S₁ and S₂, L-filter, and grid coupling. UK 230 V grid, V_g = 500 V on PV side.]</w:t>
      </w:r>
    </w:p>
    <w:p>
      <w:pPr>
        <w:pStyle w:val="Heading2"/>
        <w:spacing w:before="240" w:after="120"/>
      </w:pPr>
      <w:r>
        <w:rPr>
          <w:rFonts w:ascii="Times New Roman" w:hAnsi="Times New Roman"/>
          <w:b/>
          <w:color w:val="000000"/>
          <w:sz w:val="26"/>
        </w:rPr>
        <w:t>6.2.1 Comparison with the H-Bridge Inverter</w:t>
      </w:r>
    </w:p>
    <w:p>
      <w:pPr>
        <w:spacing w:line="360" w:lineRule="auto" w:after="120"/>
        <w:jc w:val="both"/>
      </w:pPr>
      <w:r>
        <w:rPr>
          <w:rFonts w:ascii="Times New Roman" w:hAnsi="Times New Roman"/>
          <w:sz w:val="22"/>
        </w:rPr>
        <w:t>Unlike a conventional H-bridge inverter, which requires four switches in a full-bridge configuration with two switches activated at a time to invert the polarity of the output voltage, the semi-Z-source achieves polarity inversion using only two switches. By varying the duty cycle of S₁ between 0 and approximately 0.667 and applying the modified pulse-width modulation pattern developed in §6.3, the converter generates a sinusoidal output voltage that swings between −V_g and +V_g, equivalent in functional terms to a traditional full-bridge inverter but with substantially fewer components. The Z-source network's inherent voltage-boosting capability, combined with its ability to invert polarity through the modified SPWM, allows this single-stage operation with only two bidirectional-current-conducting and unidirectional-voltage-blocking devices, such as insulated-gate bipolar transistors (IGBTs) or metal-oxide-semiconductor field-effect transistors (MOSFETs).</w:t>
      </w:r>
    </w:p>
    <w:p>
      <w:pPr>
        <w:shd w:val="clear" w:color="auto" w:fill="FFF2CC"/>
        <w:spacing w:before="120" w:after="120"/>
        <w:jc w:val="center"/>
      </w:pPr>
      <w:r>
        <w:rPr>
          <w:rFonts w:ascii="Calibri" w:hAnsi="Calibri"/>
          <w:b/>
          <w:i/>
          <w:color w:val="806000"/>
          <w:sz w:val="20"/>
        </w:rPr>
        <w:t>[PLACEHOLDER: Figure 6.2: Side-by-side comparison of (a) the semi-Z-source inverter and (b) the H-bridge inverter, highlighting the differences in switching device count, grounding structure, and impedance network.]</w:t>
      </w:r>
    </w:p>
    <w:p>
      <w:pPr>
        <w:spacing w:line="360" w:lineRule="auto" w:after="120"/>
        <w:ind w:firstLine="283"/>
        <w:jc w:val="both"/>
      </w:pPr>
      <w:r>
        <w:rPr>
          <w:rFonts w:ascii="Times New Roman" w:hAnsi="Times New Roman"/>
          <w:sz w:val="22"/>
        </w:rPr>
        <w:t>The reduced switch count translates directly to fewer gate driver circuits, fewer isolation requirements, lower gate driver power consumption, and reduced complexity in the digital pulse generation logic. These benefits compound at scale: a residential 3 kW system based on the semi-Z-source has approximately half the active device count of an equivalent H-bridge plus boost stage design.</w:t>
      </w:r>
    </w:p>
    <w:p>
      <w:pPr>
        <w:pStyle w:val="Heading2"/>
        <w:spacing w:before="240" w:after="120"/>
      </w:pPr>
      <w:r>
        <w:rPr>
          <w:rFonts w:ascii="Times New Roman" w:hAnsi="Times New Roman"/>
          <w:b/>
          <w:color w:val="000000"/>
          <w:sz w:val="26"/>
        </w:rPr>
        <w:t>6.2.2 Doubly Grounded Feature and Common-Mode Leakage Current</w:t>
      </w:r>
    </w:p>
    <w:p>
      <w:pPr>
        <w:spacing w:line="360" w:lineRule="auto" w:after="120"/>
        <w:jc w:val="both"/>
      </w:pPr>
      <w:r>
        <w:rPr>
          <w:rFonts w:ascii="Times New Roman" w:hAnsi="Times New Roman"/>
          <w:sz w:val="22"/>
        </w:rPr>
        <w:t>A significant advantage of the semi-Z-source topology is its doubly grounded configuration, in which both the DC input side and the AC output side share a common ground reference. This property cannot be easily replicated in an H-bridge inverter without additional components, because the H-bridge inherently floats the AC output above ground during switching. The doubly grounded configuration of the semi-Z-source provides three practical advantages.</w:t>
      </w:r>
    </w:p>
    <w:p>
      <w:pPr>
        <w:spacing w:line="360" w:lineRule="auto" w:after="120"/>
        <w:ind w:firstLine="283"/>
        <w:jc w:val="both"/>
      </w:pPr>
      <w:r>
        <w:rPr>
          <w:rFonts w:ascii="Times New Roman" w:hAnsi="Times New Roman"/>
          <w:sz w:val="22"/>
        </w:rPr>
        <w:t>First, common-mode leakage currents are substantially reduced. In a transformerless inverter, the parasitic capacitance between the PV array and earth forms a high-frequency path through which switching common-mode voltages drive leakage currents. The doubly grounded topology stabilises the common-mode voltage at the PV-side terminals, minimising the high-frequency component of the leakage current. Reduced leakage current improves both human safety, by eliminating the risk of hazardous touch potentials at the PV array frame, and electromagnetic compatibility, by reducing radiated emissions from the common-mode current path.</w:t>
      </w:r>
    </w:p>
    <w:p>
      <w:pPr>
        <w:spacing w:line="360" w:lineRule="auto" w:after="120"/>
        <w:ind w:firstLine="283"/>
        <w:jc w:val="both"/>
      </w:pPr>
      <w:r>
        <w:rPr>
          <w:rFonts w:ascii="Times New Roman" w:hAnsi="Times New Roman"/>
          <w:sz w:val="22"/>
        </w:rPr>
        <w:t>Second, the shared ground simplifies the implementation of safety-critical functions such as residual current detection. Standard residual current devices (RCDs) operate by detecting imbalance between the live and neutral conductors; their effectiveness in transformerless inverter installations depends critically on the stability of the common-mode voltage.</w:t>
      </w:r>
    </w:p>
    <w:p>
      <w:pPr>
        <w:spacing w:line="360" w:lineRule="auto" w:after="120"/>
        <w:ind w:firstLine="283"/>
        <w:jc w:val="both"/>
      </w:pPr>
      <w:r>
        <w:rPr>
          <w:rFonts w:ascii="Times New Roman" w:hAnsi="Times New Roman"/>
          <w:sz w:val="22"/>
        </w:rPr>
        <w:t>Third, the doubly grounded structure simplifies the gate driver requirements, as both switch terminals reference a common ground rather than the floating midpoint of an H-bridge. This eliminates the need for isolated high-side gate driver supplies that complicate H-bridge designs.</w:t>
      </w:r>
    </w:p>
    <w:p>
      <w:pPr>
        <w:pStyle w:val="Heading2"/>
        <w:spacing w:before="240" w:after="120"/>
      </w:pPr>
      <w:r>
        <w:rPr>
          <w:rFonts w:ascii="Times New Roman" w:hAnsi="Times New Roman"/>
          <w:b/>
          <w:color w:val="000000"/>
          <w:sz w:val="26"/>
        </w:rPr>
        <w:t>6.2.3 Voltage Gain Characteristic</w:t>
      </w:r>
    </w:p>
    <w:p>
      <w:pPr>
        <w:spacing w:line="360" w:lineRule="auto" w:after="120"/>
        <w:jc w:val="both"/>
      </w:pPr>
      <w:r>
        <w:rPr>
          <w:rFonts w:ascii="Times New Roman" w:hAnsi="Times New Roman"/>
          <w:sz w:val="22"/>
        </w:rPr>
        <w:t>The voltage gain of the semi-Z-source converter, defined as the ratio of output voltage to PV-side voltage, follows a non-linear function of the duty cycle D of switch S₁:</w:t>
      </w:r>
    </w:p>
    <w:p>
      <w:pPr>
        <w:spacing w:line="360" w:lineRule="auto" w:before="120" w:after="120"/>
        <w:jc w:val="center"/>
      </w:pPr>
      <w:r>
        <w:rPr>
          <w:rFonts w:ascii="Cambria Math" w:hAnsi="Cambria Math"/>
          <w:sz w:val="22"/>
        </w:rPr>
        <w:t>M = V_o / V_g = (1 − 2D) / (1 − D)    (6.1)</w:t>
      </w:r>
    </w:p>
    <w:p>
      <w:pPr>
        <w:spacing w:line="360" w:lineRule="auto" w:after="120"/>
        <w:ind w:firstLine="283"/>
        <w:jc w:val="both"/>
      </w:pPr>
      <w:r>
        <w:rPr>
          <w:rFonts w:ascii="Times New Roman" w:hAnsi="Times New Roman"/>
          <w:sz w:val="22"/>
        </w:rPr>
        <w:t>This is the same DC-DC steady-state relationship established in Chapter 3. When D is varied dynamically over the AC cycle according to the pattern developed in §6.3, the converter produces a sinusoidal AC output voltage at the grid frequency.</w:t>
      </w:r>
    </w:p>
    <w:p>
      <w:pPr>
        <w:spacing w:line="360" w:lineRule="auto" w:after="120"/>
        <w:ind w:firstLine="283"/>
        <w:jc w:val="both"/>
      </w:pPr>
      <w:r>
        <w:rPr>
          <w:rFonts w:ascii="Times New Roman" w:hAnsi="Times New Roman"/>
          <w:sz w:val="22"/>
        </w:rPr>
        <w:t>The non-linear character of equation (6.1) has important implications for control design. Specifically, the small-signal plant from modulation perturbation to output voltage perturbation has a DC gain that varies with the linearisation operating point. This variation is the technical basis for the gain scheduling treatment developed in §6.11: as the PV array's operating point migrates with irradiance, the effective plant gain seen by the PR DC-injection compensator changes, and the controller's gains must be adjusted accordingly to maintain consistent loop performance.</w:t>
      </w:r>
    </w:p>
    <w:p>
      <w:pPr>
        <w:shd w:val="clear" w:color="auto" w:fill="FFF2CC"/>
        <w:spacing w:before="120" w:after="120"/>
        <w:jc w:val="center"/>
      </w:pPr>
      <w:r>
        <w:rPr>
          <w:rFonts w:ascii="Calibri" w:hAnsi="Calibri"/>
          <w:b/>
          <w:i/>
          <w:color w:val="806000"/>
          <w:sz w:val="20"/>
        </w:rPr>
        <w:t>[PLACEHOLDER: Figure 6.3: Voltage gain curve of the semi-Z-source as a function of duty cycle D, showing the operating range D ∈ [0, 0.667] for sinusoidal AC output operation, with the operating points used for gain scheduling marked.]</w:t>
      </w:r>
    </w:p>
    <w:p>
      <w:pPr>
        <w:pStyle w:val="Heading1"/>
        <w:spacing w:before="360" w:after="160"/>
      </w:pPr>
      <w:r>
        <w:rPr>
          <w:rFonts w:ascii="Times New Roman" w:hAnsi="Times New Roman"/>
          <w:b/>
          <w:color w:val="000000"/>
          <w:sz w:val="32"/>
        </w:rPr>
        <w:t>6.3 Modified Sinusoidal Pulse-Width Modulation</w:t>
      </w:r>
    </w:p>
    <w:p>
      <w:pPr>
        <w:spacing w:line="360" w:lineRule="auto" w:after="120"/>
        <w:jc w:val="both"/>
      </w:pPr>
      <w:r>
        <w:rPr>
          <w:rFonts w:ascii="Times New Roman" w:hAnsi="Times New Roman"/>
          <w:sz w:val="22"/>
        </w:rPr>
        <w:t>Pulse-width modulation (PWM) is the standard technique for controlling analogue signals with digital pulses, and is universally used in voltage-source inverters to generate the gate signals for the power switches. The performance of PWM signals depends on three key factors: the duty cycle (the proportion of time the signal is in its 'on' state within each cycle), the frequency (the rate at which switching transitions occur), and the period (the inverse of frequency). In inverters, PWM regulates the magnitude and frequency of the output voltage by adjusting the pulse widths in a controlled fashion.</w:t>
      </w:r>
    </w:p>
    <w:p>
      <w:pPr>
        <w:spacing w:line="360" w:lineRule="auto" w:after="120"/>
        <w:ind w:firstLine="283"/>
        <w:jc w:val="both"/>
      </w:pPr>
      <w:r>
        <w:rPr>
          <w:rFonts w:ascii="Times New Roman" w:hAnsi="Times New Roman"/>
          <w:sz w:val="22"/>
        </w:rPr>
        <w:t>Several PWM techniques have been developed for inverter applications, including sinusoidal PWM (SPWM), space-vector PWM (SVPWM), hysteresis PWM, and selective harmonic elimination PWM (SHE-PWM). Among these, SPWM is the most widely used for residential single-phase inverters because of its ability to generate a near-sinusoidal output waveform with low harmonic distortion. SPWM's principal limitation is the presence of harmonic components centred around the switching frequency and its multiples, which require appropriate filtering at the inverter output. For the L-filter design developed in §6.10, this filtering is straightforward to achieve with the switching frequency of 20 kHz used in this work.</w:t>
      </w:r>
    </w:p>
    <w:p>
      <w:pPr>
        <w:pStyle w:val="Heading2"/>
        <w:spacing w:before="240" w:after="120"/>
      </w:pPr>
      <w:r>
        <w:rPr>
          <w:rFonts w:ascii="Times New Roman" w:hAnsi="Times New Roman"/>
          <w:b/>
          <w:color w:val="000000"/>
          <w:sz w:val="26"/>
        </w:rPr>
        <w:t>6.3.1 Conventional SPWM</w:t>
      </w:r>
    </w:p>
    <w:p>
      <w:pPr>
        <w:spacing w:line="360" w:lineRule="auto" w:after="120"/>
        <w:jc w:val="both"/>
      </w:pPr>
      <w:r>
        <w:rPr>
          <w:rFonts w:ascii="Times New Roman" w:hAnsi="Times New Roman"/>
          <w:sz w:val="22"/>
        </w:rPr>
        <w:t>Conventional sinusoidal pulse-width modulation generates the inverter gate signals by comparing a sinusoidal control signal v_control at the desired output frequency f_m with a triangular carrier waveform v_tri at a higher constant switching frequency f_s. The crossings of these two waveforms define the pulse transitions. Two principal variants of SPWM are commonly distinguished in the literature: bipolar switching and unipolar switching.</w:t>
      </w:r>
    </w:p>
    <w:p>
      <w:pPr>
        <w:spacing w:line="360" w:lineRule="auto" w:after="120"/>
        <w:ind w:firstLine="283"/>
        <w:jc w:val="both"/>
      </w:pPr>
      <w:r>
        <w:rPr>
          <w:rFonts w:ascii="Times New Roman" w:hAnsi="Times New Roman"/>
          <w:sz w:val="22"/>
        </w:rPr>
        <w:t>In bipolar switching, the switch pairs S₁-S₂ and S₃-S₄ of an H-bridge are activated simultaneously, with one pair on while the other is off. When the reference signal exceeds the carrier, S₁ and S₂ are on and the output voltage is +V_DC. When the carrier exceeds the reference, S₃ and S₄ are on and the output voltage is −V_DC. This scheme requires proper filtering because the current ripple frequency equals the switching frequency, and the output voltage transitions between +V_DC and −V_DC at every switching event.</w:t>
      </w:r>
    </w:p>
    <w:p>
      <w:pPr>
        <w:spacing w:line="360" w:lineRule="auto" w:after="120"/>
        <w:ind w:firstLine="283"/>
        <w:jc w:val="both"/>
      </w:pPr>
      <w:r>
        <w:rPr>
          <w:rFonts w:ascii="Times New Roman" w:hAnsi="Times New Roman"/>
          <w:sz w:val="22"/>
        </w:rPr>
        <w:t>In unipolar switching, two sinusoidal reference signals shifted by 180 degrees are compared independently with the same triangular carrier, producing four independent gate signals. The inverter output voltage then switches between 0 and +V_DC during the positive half cycle, and between 0 and −V_DC during the negative half cycle. Unipolar switching effectively doubles the switching frequency seen by the output filter (relative to bipolar switching at the same device-level f_s), reducing harmonic distortion and easing filter requirements.</w:t>
      </w:r>
    </w:p>
    <w:p>
      <w:pPr>
        <w:pStyle w:val="Heading2"/>
        <w:spacing w:before="240" w:after="120"/>
      </w:pPr>
      <w:r>
        <w:rPr>
          <w:rFonts w:ascii="Times New Roman" w:hAnsi="Times New Roman"/>
          <w:b/>
          <w:color w:val="000000"/>
          <w:sz w:val="26"/>
        </w:rPr>
        <w:t>6.3.2 Modified SPWM for the Semi-Z-Source</w:t>
      </w:r>
    </w:p>
    <w:p>
      <w:pPr>
        <w:spacing w:line="360" w:lineRule="auto" w:after="120"/>
        <w:jc w:val="both"/>
      </w:pPr>
      <w:r>
        <w:rPr>
          <w:rFonts w:ascii="Times New Roman" w:hAnsi="Times New Roman"/>
          <w:sz w:val="22"/>
        </w:rPr>
        <w:t>Conventional H-bridge inverters use either bipolar or unipolar SPWM with a linear relationship between modulation index and output voltage. The semi-Z-source inverter, however, has the non-linear voltage gain characteristic given by equation (6.1), which requires a modified SPWM scheme to produce a sinusoidal output.</w:t>
      </w:r>
    </w:p>
    <w:p>
      <w:pPr>
        <w:spacing w:line="360" w:lineRule="auto" w:after="120"/>
        <w:ind w:firstLine="283"/>
        <w:jc w:val="both"/>
      </w:pPr>
      <w:r>
        <w:rPr>
          <w:rFonts w:ascii="Times New Roman" w:hAnsi="Times New Roman"/>
          <w:sz w:val="22"/>
        </w:rPr>
        <w:t>Substituting the desired sinusoidal output voltage v_o(t) = V̂_ac · sin(ωt) into the steady-state relationship of equation (6.1) and solving for the required duty cycle yields:</w:t>
      </w:r>
    </w:p>
    <w:p>
      <w:pPr>
        <w:spacing w:line="360" w:lineRule="auto" w:before="120" w:after="120"/>
        <w:jc w:val="center"/>
      </w:pPr>
      <w:r>
        <w:rPr>
          <w:rFonts w:ascii="Cambria Math" w:hAnsi="Cambria Math"/>
          <w:sz w:val="22"/>
        </w:rPr>
        <w:t>d(t) = (1 − M sin(ωt)) / (2 − M sin(ωt))    (6.2)</w:t>
      </w:r>
    </w:p>
    <w:p>
      <w:pPr>
        <w:spacing w:line="360" w:lineRule="auto" w:after="120"/>
        <w:ind w:firstLine="283"/>
        <w:jc w:val="both"/>
      </w:pPr>
      <w:r>
        <w:rPr>
          <w:rFonts w:ascii="Times New Roman" w:hAnsi="Times New Roman"/>
          <w:sz w:val="22"/>
        </w:rPr>
        <w:t>where M = V̂_ac / V_g is the desired modulation index. This is the modified duty cycle reference for switch S₁. The complementary switch S₂ operates with duty cycle 1 − d(t).</w:t>
      </w:r>
    </w:p>
    <w:p>
      <w:pPr>
        <w:spacing w:line="360" w:lineRule="auto" w:after="120"/>
        <w:ind w:firstLine="283"/>
        <w:jc w:val="both"/>
      </w:pPr>
      <w:r>
        <w:rPr>
          <w:rFonts w:ascii="Times New Roman" w:hAnsi="Times New Roman"/>
          <w:sz w:val="22"/>
        </w:rPr>
        <w:t>For the UK 230 V grid (peak voltage V̂_ac ≈ 325 V) with V_g = 500 V on the PV side, the nominal modulation index is M_nominal = 325/500 = 0.65. This value leaves approximately 35 percent control margin below the maximum modulation index M = 1.0, providing headroom for disturbance rejection, transient response, and the additive PR compensator output developed in §6.11. The choice of V_g = 500 V is consistent with a practical residential PV array of ten panels in series, each with a maximum power point voltage of approximately 50 V at standard test conditions, a common configuration for 3 kW UK residential PV installations.</w:t>
      </w:r>
    </w:p>
    <w:p>
      <w:pPr>
        <w:spacing w:line="360" w:lineRule="auto" w:after="120"/>
        <w:ind w:firstLine="283"/>
        <w:jc w:val="both"/>
      </w:pPr>
      <w:r>
        <w:rPr>
          <w:rFonts w:ascii="Times New Roman" w:hAnsi="Times New Roman"/>
          <w:sz w:val="22"/>
        </w:rPr>
        <w:t>The modified duty cycle reference is generated in the controller and compared with a high-frequency triangular carrier in the standard SPWM comparator structure to produce the gate signals for S₁ and S₂. When the modified reference exceeds the triangular carrier, S₁ is on and S₂ is off; when the carrier exceeds the reference, S₁ is off and S₂ is on. The two gate signals are complementary by construction.</w:t>
      </w:r>
    </w:p>
    <w:p>
      <w:pPr>
        <w:shd w:val="clear" w:color="auto" w:fill="FFF2CC"/>
        <w:spacing w:before="120" w:after="120"/>
        <w:jc w:val="center"/>
      </w:pPr>
      <w:r>
        <w:rPr>
          <w:rFonts w:ascii="Calibri" w:hAnsi="Calibri"/>
          <w:b/>
          <w:i/>
          <w:color w:val="806000"/>
          <w:sz w:val="20"/>
        </w:rPr>
        <w:t>[PLACEHOLDER: Figure 6.4: Modified SPWM waveforms for the semi-Z-source at M = 0.65: modified duty cycle reference d(t) overlaid with triangular carrier, and resulting gate signals for S₁ and S₂.]</w:t>
      </w:r>
    </w:p>
    <w:p>
      <w:pPr>
        <w:pStyle w:val="Heading2"/>
        <w:spacing w:before="240" w:after="120"/>
      </w:pPr>
      <w:r>
        <w:rPr>
          <w:rFonts w:ascii="Times New Roman" w:hAnsi="Times New Roman"/>
          <w:b/>
          <w:color w:val="000000"/>
          <w:sz w:val="26"/>
        </w:rPr>
        <w:t>6.3.3 Asymmetric Switching Considerations</w:t>
      </w:r>
    </w:p>
    <w:p>
      <w:pPr>
        <w:spacing w:line="360" w:lineRule="auto" w:after="120"/>
        <w:jc w:val="both"/>
      </w:pPr>
      <w:r>
        <w:rPr>
          <w:rFonts w:ascii="Times New Roman" w:hAnsi="Times New Roman"/>
          <w:sz w:val="22"/>
        </w:rPr>
        <w:t>A noteworthy consequence of the modified SPWM scheme is that the duty cycles of S₁ and S₂ are unequal at every instant except when v_o(t) = 0. During the positive half cycle of v_o, S₁ has the longer conduction interval; during the negative half cycle, S₂ has the longer conduction interval. Averaged over a full grid cycle the two switches have equal conduction time, but within any half cycle they are asymmetric.</w:t>
      </w:r>
    </w:p>
    <w:p>
      <w:pPr>
        <w:spacing w:line="360" w:lineRule="auto" w:after="120"/>
        <w:ind w:firstLine="283"/>
        <w:jc w:val="both"/>
      </w:pPr>
      <w:r>
        <w:rPr>
          <w:rFonts w:ascii="Times New Roman" w:hAnsi="Times New Roman"/>
          <w:sz w:val="22"/>
        </w:rPr>
        <w:t>This asymmetry has two practical implications. First, the conduction losses in S₁ and S₂ are not equal at the instantaneous level, which can produce non-uniform thermal stress on the devices if they are implemented with identical transistors. Second, the asymmetry creates an opportunity to optimise device selection: a transistor with lower on-resistance could be selected for the switch experiencing longer conduction intervals at the design operating point, marginally improving overall efficiency.</w:t>
      </w:r>
    </w:p>
    <w:p>
      <w:pPr>
        <w:spacing w:line="360" w:lineRule="auto" w:after="120"/>
        <w:ind w:firstLine="283"/>
        <w:jc w:val="both"/>
      </w:pPr>
      <w:r>
        <w:rPr>
          <w:rFonts w:ascii="Times New Roman" w:hAnsi="Times New Roman"/>
          <w:sz w:val="22"/>
        </w:rPr>
        <w:t>In the present work, both S₁ and S₂ are implemented with identical MOSFETs to keep the design simple and maintainable. The thermal asymmetry is small (typically less than 10 percent difference in junction temperature at rated load) and is well within the device ratings. Future hardware optimisation could exploit the asymmetry by selecting devices with different characteristics for S₁ and S₂.</w:t>
      </w:r>
    </w:p>
    <w:p>
      <w:pPr>
        <w:pStyle w:val="Heading1"/>
        <w:spacing w:before="360" w:after="160"/>
      </w:pPr>
      <w:r>
        <w:rPr>
          <w:rFonts w:ascii="Times New Roman" w:hAnsi="Times New Roman"/>
          <w:b/>
          <w:color w:val="000000"/>
          <w:sz w:val="32"/>
        </w:rPr>
        <w:t>6.4 Closed-Loop Control Architecture</w:t>
      </w:r>
    </w:p>
    <w:p>
      <w:pPr>
        <w:spacing w:line="360" w:lineRule="auto" w:after="120"/>
        <w:jc w:val="both"/>
      </w:pPr>
      <w:r>
        <w:rPr>
          <w:rFonts w:ascii="Times New Roman" w:hAnsi="Times New Roman"/>
          <w:sz w:val="22"/>
        </w:rPr>
        <w:t>The grid is a dynamic system in which voltage magnitude and frequency fluctuate due to harmonics, load variations, line impedance changes, and faults. These fluctuations pose significant challenges for grid-connected power converters: unsynchronised operation can lead to instability, safety issues, increased harmonics, electromagnetic interference, power losses, and grid imbalance. Proper synchronisation ensures that the inverter operates in harmony with the grid, allowing for accurate control of power flow, which in turn allows the inverter to respond to dynamic changes and maintain high-quality power delivery.</w:t>
      </w:r>
    </w:p>
    <w:p>
      <w:pPr>
        <w:spacing w:line="360" w:lineRule="auto" w:after="120"/>
        <w:ind w:firstLine="283"/>
        <w:jc w:val="both"/>
      </w:pPr>
      <w:r>
        <w:rPr>
          <w:rFonts w:ascii="Times New Roman" w:hAnsi="Times New Roman"/>
          <w:sz w:val="22"/>
        </w:rPr>
        <w:t>A particular challenge in single-phase grid-connected inverters is the elimination of DC current injection into the grid, which arises from the mechanisms discussed in §6.1. Active control is required to drive the DC component of the output current to zero, as no transformer is present to block it passively.</w:t>
      </w:r>
    </w:p>
    <w:p>
      <w:pPr>
        <w:spacing w:line="360" w:lineRule="auto" w:after="120"/>
        <w:ind w:firstLine="283"/>
        <w:jc w:val="both"/>
      </w:pPr>
      <w:r>
        <w:rPr>
          <w:rFonts w:ascii="Times New Roman" w:hAnsi="Times New Roman"/>
          <w:sz w:val="22"/>
        </w:rPr>
        <w:t>The closed-loop control architecture adopted in this work, illustrated in Figure 6.5, comprises four coordinated elements. A voltage-oriented control (VOC) strategy regulates active and reactive power flow independently in the synchronous reference frame. A perturb-and-observe MPPT algorithm adjusts the DC voltage reference to track the PV array's maximum power point under varying irradiance. The αβ-CDSC-SOGI-PLL provides accurate grid synchronisation under harmonic distortion and frequency variation. A parallel PR compensator with gain-scheduled coefficients drives DC current injection to zero consistently across the operating envelope.</w:t>
      </w:r>
    </w:p>
    <w:p>
      <w:pPr>
        <w:shd w:val="clear" w:color="auto" w:fill="FFF2CC"/>
        <w:spacing w:before="120" w:after="120"/>
        <w:jc w:val="center"/>
      </w:pPr>
      <w:r>
        <w:rPr>
          <w:rFonts w:ascii="Calibri" w:hAnsi="Calibri"/>
          <w:b/>
          <w:i/>
          <w:color w:val="806000"/>
          <w:sz w:val="20"/>
        </w:rPr>
        <w:t>[PLACEHOLDER: Figure 6.5: Complete block diagram of the closed-loop control architecture showing PV array, MPPT, DC voltage outer loop, dq-frame current inner loops, αβ-CDSC-SOGI-PLL, and gain-scheduled parallel PR DC-injection compensator with the M_avg computation block.]</w:t>
      </w:r>
    </w:p>
    <w:p>
      <w:r>
        <w:rPr>
          <w:rFonts w:ascii="Times New Roman" w:hAnsi="Times New Roman"/>
          <w:sz w:val="22"/>
        </w:rPr>
        <w:t xml:space="preserve">A key conceptual difference between the present chapter and Chapter 3 should be made explicit. Chapter 3 developed the small-signal averaged state-space model of the semi-Z-source converter under DC-DC operation at a fixed operating-point duty ratio D₀. In the present chapter the same converter is operated with a time-varying duty cycle d(t) following the modified sinusoidal pulse-width modulation scheme of §6.3, producing AC output at the grid frequency. The plant characterised in Chapter 3 is therefore not used as a static linear plant in the Chapter 6 control design; rather, it provides the pointwise linearised dynamics at each instantaneous operating point that the duty cycle sweeps through during each grid cycle. The cycle-averaging procedure developed in §6.11.3 uses Chapter 3's pointwise results to compute the effective plant that the AC-side PR compensator faces, providing the analytical foundation for the gain-scheduled controller design.</w:t>
      </w:r>
    </w:p>
    <w:p>
      <w:pPr>
        <w:pStyle w:val="Heading2"/>
        <w:spacing w:before="240" w:after="120"/>
      </w:pPr>
      <w:r>
        <w:rPr>
          <w:rFonts w:ascii="Times New Roman" w:hAnsi="Times New Roman"/>
          <w:b/>
          <w:color w:val="000000"/>
          <w:sz w:val="26"/>
        </w:rPr>
        <w:t>6.4.1 Justification of PR Control over Model Predictive Control</w:t>
      </w:r>
    </w:p>
    <w:p>
      <w:pPr>
        <w:spacing w:line="360" w:lineRule="auto" w:after="120"/>
        <w:jc w:val="both"/>
      </w:pPr>
      <w:r>
        <w:rPr>
          <w:rFonts w:ascii="Times New Roman" w:hAnsi="Times New Roman"/>
          <w:sz w:val="22"/>
        </w:rPr>
        <w:t>Model predictive control (MPC) has emerged as a candidate alternative to linear PR-based current control for grid-tied inverters. MPC operates by solving an online optimisation problem at each control interval, predicting the future evolution of the system over a finite horizon and selecting the control input that minimises a cost function. The principal claimed advantages include explicit handling of constraints, the ability to incorporate multi-variable objectives, and good disturbance rejection.</w:t>
      </w:r>
    </w:p>
    <w:p>
      <w:pPr>
        <w:spacing w:line="360" w:lineRule="auto" w:after="120"/>
        <w:ind w:firstLine="283"/>
        <w:jc w:val="both"/>
      </w:pPr>
      <w:r>
        <w:rPr>
          <w:rFonts w:ascii="Times New Roman" w:hAnsi="Times New Roman"/>
          <w:sz w:val="22"/>
        </w:rPr>
        <w:t>Despite these advantages, the present work adopts linear PR-based control for several practical and methodological reasons. First, PR controllers are well-established for grid-tied inverter applications, with a mature body of literature documenting their design, tuning, and stability analysis. This maturity simplifies controller commissioning and reduces the risk of discovering subtle stability issues late in the development cycle. Second, PR controllers exhibit robustness to plant model uncertainty: the controller performance depends only weakly on accurate knowledge of the converter's parasitic resistances, capacitor ESRs, and other parameters that are difficult to characterise precisely. MPC, by contrast, requires an explicit plant model for prediction, and performance degrades when the actual plant deviates from the model.</w:t>
      </w:r>
    </w:p>
    <w:p>
      <w:pPr>
        <w:spacing w:line="360" w:lineRule="auto" w:after="120"/>
        <w:ind w:firstLine="283"/>
        <w:jc w:val="both"/>
      </w:pPr>
      <w:r>
        <w:rPr>
          <w:rFonts w:ascii="Times New Roman" w:hAnsi="Times New Roman"/>
          <w:sz w:val="22"/>
        </w:rPr>
        <w:t>Third, PR controllers have very modest computational requirements, comprising essentially two integrator states per controller, implementable on the TI LAUNCHXL-F28P65X target hardware used in Chapter 5 even at a switching frequency of 20 kHz. MPC with a non-trivial horizon length requires online quadratic programming or a similar optimisation routine, which would significantly increase the processor loading. Fourth, the semi-Z-source inverter's non-linear voltage gain characteristic (equation 6.1) makes the prediction step of MPC computationally awkward, as the converter's input-output map is not amenable to a simple state-space prediction model. Fifth, the PR controller's frequency-domain interpretation allows direct application of Bode plot stability margins, providing transparent and reproducible design criteria that are amenable to scrutiny.</w:t>
      </w:r>
    </w:p>
    <w:p>
      <w:pPr>
        <w:spacing w:line="360" w:lineRule="auto" w:after="120"/>
        <w:ind w:firstLine="283"/>
        <w:jc w:val="both"/>
      </w:pPr>
      <w:r>
        <w:rPr>
          <w:rFonts w:ascii="Times New Roman" w:hAnsi="Times New Roman"/>
          <w:sz w:val="22"/>
        </w:rPr>
        <w:t>A specific limitation of the conventional fixed-gain PR design, namely that the controller gains are optimal only at a single operating point, motivates the gain-scheduled extension developed in §6.11. By scheduling the gains against the operating-point modulation index, the controller maintains consistent performance across the practical operating envelope while preserving all the advantages of the underlying PR structure. This addresses the principal limitation of the fixed-gain PR used in the 2020 work, and was specifically recommended by the viva examiners as the means by which the controller design could be made an additional contribution to the field.</w:t>
      </w:r>
    </w:p>
    <w:p>
      <w:pPr>
        <w:pStyle w:val="Heading1"/>
        <w:spacing w:before="360" w:after="160"/>
      </w:pPr>
      <w:r>
        <w:rPr>
          <w:rFonts w:ascii="Times New Roman" w:hAnsi="Times New Roman"/>
          <w:b/>
          <w:color w:val="000000"/>
          <w:sz w:val="32"/>
        </w:rPr>
        <w:t>6.5 Photovoltaic Array Model</w:t>
      </w:r>
    </w:p>
    <w:p>
      <w:pPr>
        <w:spacing w:line="360" w:lineRule="auto" w:after="120"/>
        <w:jc w:val="both"/>
      </w:pPr>
      <w:r>
        <w:rPr>
          <w:rFonts w:ascii="Times New Roman" w:hAnsi="Times New Roman"/>
          <w:sz w:val="22"/>
        </w:rPr>
        <w:t>The original Chapter 6 used a controlled current source (CCS) as a simplified representation of the PV array, supplying a constant current independent of operating conditions. The viva examiner specifically recommended replacement of this CCS with a proper PV array model that captures the non-linear current-voltage characteristic of a real PV panel and the variation of that characteristic with irradiance and temperature. The present section presents the single-diode PV array model adopted for this work and the parameter values used in the simulation studies.</w:t>
      </w:r>
    </w:p>
    <w:p>
      <w:pPr>
        <w:pStyle w:val="Heading2"/>
        <w:spacing w:before="240" w:after="120"/>
      </w:pPr>
      <w:r>
        <w:rPr>
          <w:rFonts w:ascii="Times New Roman" w:hAnsi="Times New Roman"/>
          <w:b/>
          <w:color w:val="000000"/>
          <w:sz w:val="26"/>
        </w:rPr>
        <w:t>6.5.1 Single-Diode Equation</w:t>
      </w:r>
    </w:p>
    <w:p>
      <w:pPr>
        <w:spacing w:line="360" w:lineRule="auto" w:after="120"/>
        <w:jc w:val="both"/>
      </w:pPr>
      <w:r>
        <w:rPr>
          <w:rFonts w:ascii="Times New Roman" w:hAnsi="Times New Roman"/>
          <w:sz w:val="22"/>
        </w:rPr>
        <w:t>The PV array is modelled using the standard single-diode equation:</w:t>
      </w:r>
    </w:p>
    <w:p>
      <w:pPr>
        <w:spacing w:line="360" w:lineRule="auto" w:before="120" w:after="120"/>
        <w:jc w:val="center"/>
      </w:pPr>
      <w:r>
        <w:rPr>
          <w:rFonts w:ascii="Cambria Math" w:hAnsi="Cambria Math"/>
          <w:sz w:val="22"/>
        </w:rPr>
        <w:t>I = I_ph − I_0 [exp((V + I·R_s)/V_t) − 1] − (V + I·R_s)/R_sh    (6.3)</w:t>
      </w:r>
    </w:p>
    <w:p>
      <w:pPr>
        <w:spacing w:line="360" w:lineRule="auto" w:after="120"/>
        <w:ind w:firstLine="283"/>
        <w:jc w:val="both"/>
      </w:pPr>
      <w:r>
        <w:rPr>
          <w:rFonts w:ascii="Times New Roman" w:hAnsi="Times New Roman"/>
          <w:sz w:val="22"/>
        </w:rPr>
        <w:t>where I is the PV array current, V is the PV array terminal voltage, I_ph is the photocurrent (proportional to irradiance), I_0 is the diode reverse saturation current, R_s is the series resistance representing internal losses, R_sh is the shunt resistance representing leakage paths, and V_t = N_cells · n · kT/q is the thermal voltage scaled by the number of cells in series N_cells and the diode ideality factor n. Equation (6.3) is implicit in I and must be solved numerically at each operating point.</w:t>
      </w:r>
    </w:p>
    <w:p>
      <w:pPr>
        <w:spacing w:line="360" w:lineRule="auto" w:after="120"/>
        <w:ind w:firstLine="283"/>
        <w:jc w:val="both"/>
      </w:pPr>
      <w:r>
        <w:rPr>
          <w:rFonts w:ascii="Times New Roman" w:hAnsi="Times New Roman"/>
          <w:sz w:val="22"/>
        </w:rPr>
        <w:t>The model captures the four characteristic features of PV behaviour that are important for converter design and MPPT algorithm operation: the short-circuit current I_sc at V = 0, the open-circuit voltage V_oc at I = 0, the maximum power point (MPP) at which dP/dV = 0, and the dependence of all three on irradiance and temperature.</w:t>
      </w:r>
    </w:p>
    <w:p>
      <w:pPr>
        <w:pStyle w:val="Heading2"/>
        <w:spacing w:before="240" w:after="120"/>
      </w:pPr>
      <w:r>
        <w:rPr>
          <w:rFonts w:ascii="Times New Roman" w:hAnsi="Times New Roman"/>
          <w:b/>
          <w:color w:val="000000"/>
          <w:sz w:val="26"/>
        </w:rPr>
        <w:t>6.5.2 Array Configuration and Parameters</w:t>
      </w:r>
    </w:p>
    <w:p>
      <w:pPr>
        <w:spacing w:line="360" w:lineRule="auto" w:after="120"/>
        <w:jc w:val="both"/>
      </w:pPr>
      <w:r>
        <w:rPr>
          <w:rFonts w:ascii="Times New Roman" w:hAnsi="Times New Roman"/>
          <w:sz w:val="22"/>
        </w:rPr>
        <w:t>The PV array is configured to deliver 3 kW at the maximum power point under standard test conditions (irradiance G = 1000 W/m², temperature T = 25 °C). The array comprises ten panels in series, each with a maximum power point voltage of approximately 50 V at STC. This configuration produces V_MPP ≈ 500 V and I_MPP ≈ 6.0 A at STC, matching the PV-side DC voltage required for the modified SPWM scheme at M_nominal = 0.65.</w:t>
      </w:r>
    </w:p>
    <w:p>
      <w:pPr>
        <w:spacing w:line="360" w:lineRule="auto" w:after="120"/>
        <w:ind w:firstLine="283"/>
        <w:jc w:val="both"/>
      </w:pPr>
      <w:r>
        <w:rPr>
          <w:rFonts w:ascii="Times New Roman" w:hAnsi="Times New Roman"/>
          <w:sz w:val="22"/>
        </w:rPr>
        <w:t>The parameter values for the single-diode model, tuned to reproduce the target MPP, are summarised in Table 6.1:</w:t>
      </w:r>
    </w:p>
    <w:tbl>
      <w:tblPr>
        <w:tblStyle w:val="TableGrid"/>
        <w:tblW w:type="auto" w:w="0"/>
        <w:tblLook w:firstColumn="1" w:firstRow="1" w:lastColumn="0" w:lastRow="0" w:noHBand="0" w:noVBand="1" w:val="04A0"/>
      </w:tblPr>
      <w:tblGrid>
        <w:gridCol w:w="3135"/>
        <w:gridCol w:w="3135"/>
        <w:gridCol w:w="3135"/>
      </w:tblGrid>
      <w:tr>
        <w:tc>
          <w:tcPr>
            <w:tcW w:type="dxa" w:w="3969"/>
            <w:shd w:fill="D5E8F0"/>
          </w:tcPr>
          <w:p>
            <w:pPr>
              <w:spacing w:line="288" w:lineRule="auto"/>
            </w:pPr>
            <w:r/>
            <w:r>
              <w:rPr>
                <w:rFonts w:ascii="Times New Roman" w:hAnsi="Times New Roman"/>
                <w:b/>
                <w:sz w:val="20"/>
              </w:rPr>
              <w:t>Parameter</w:t>
            </w:r>
          </w:p>
        </w:tc>
        <w:tc>
          <w:tcPr>
            <w:tcW w:type="dxa" w:w="1701"/>
            <w:shd w:fill="D5E8F0"/>
          </w:tcPr>
          <w:p>
            <w:pPr>
              <w:spacing w:line="288" w:lineRule="auto"/>
            </w:pPr>
            <w:r/>
            <w:r>
              <w:rPr>
                <w:rFonts w:ascii="Times New Roman" w:hAnsi="Times New Roman"/>
                <w:b/>
                <w:sz w:val="20"/>
              </w:rPr>
              <w:t>Symbol</w:t>
            </w:r>
          </w:p>
        </w:tc>
        <w:tc>
          <w:tcPr>
            <w:tcW w:type="dxa" w:w="3402"/>
            <w:shd w:fill="D5E8F0"/>
          </w:tcPr>
          <w:p>
            <w:pPr>
              <w:spacing w:line="288" w:lineRule="auto"/>
            </w:pPr>
            <w:r/>
            <w:r>
              <w:rPr>
                <w:rFonts w:ascii="Times New Roman" w:hAnsi="Times New Roman"/>
                <w:b/>
                <w:sz w:val="20"/>
              </w:rPr>
              <w:t>Value</w:t>
            </w:r>
          </w:p>
        </w:tc>
      </w:tr>
      <w:tr>
        <w:tc>
          <w:tcPr>
            <w:tcW w:type="dxa" w:w="3969"/>
          </w:tcPr>
          <w:p>
            <w:pPr>
              <w:spacing w:line="288" w:lineRule="auto"/>
            </w:pPr>
            <w:r/>
            <w:r>
              <w:rPr>
                <w:rFonts w:ascii="Times New Roman" w:hAnsi="Times New Roman"/>
                <w:b w:val="0"/>
                <w:sz w:val="20"/>
              </w:rPr>
              <w:t>Photocurrent at STC</w:t>
            </w:r>
          </w:p>
        </w:tc>
        <w:tc>
          <w:tcPr>
            <w:tcW w:type="dxa" w:w="1701"/>
          </w:tcPr>
          <w:p>
            <w:pPr>
              <w:spacing w:line="288" w:lineRule="auto"/>
            </w:pPr>
            <w:r/>
            <w:r>
              <w:rPr>
                <w:rFonts w:ascii="Times New Roman" w:hAnsi="Times New Roman"/>
                <w:b w:val="0"/>
                <w:sz w:val="20"/>
              </w:rPr>
              <w:t>I_ph</w:t>
            </w:r>
          </w:p>
        </w:tc>
        <w:tc>
          <w:tcPr>
            <w:tcW w:type="dxa" w:w="3402"/>
          </w:tcPr>
          <w:p>
            <w:pPr>
              <w:spacing w:line="288" w:lineRule="auto"/>
            </w:pPr>
            <w:r/>
            <w:r>
              <w:rPr>
                <w:rFonts w:ascii="Times New Roman" w:hAnsi="Times New Roman"/>
                <w:b w:val="0"/>
                <w:sz w:val="20"/>
              </w:rPr>
              <w:t>6.6 A</w:t>
            </w:r>
          </w:p>
        </w:tc>
      </w:tr>
      <w:tr>
        <w:tc>
          <w:tcPr>
            <w:tcW w:type="dxa" w:w="3969"/>
          </w:tcPr>
          <w:p>
            <w:pPr>
              <w:spacing w:line="288" w:lineRule="auto"/>
            </w:pPr>
            <w:r/>
            <w:r>
              <w:rPr>
                <w:rFonts w:ascii="Times New Roman" w:hAnsi="Times New Roman"/>
                <w:b w:val="0"/>
                <w:sz w:val="20"/>
              </w:rPr>
              <w:t>Diode ideality factor</w:t>
            </w:r>
          </w:p>
        </w:tc>
        <w:tc>
          <w:tcPr>
            <w:tcW w:type="dxa" w:w="1701"/>
          </w:tcPr>
          <w:p>
            <w:pPr>
              <w:spacing w:line="288" w:lineRule="auto"/>
            </w:pPr>
            <w:r/>
            <w:r>
              <w:rPr>
                <w:rFonts w:ascii="Times New Roman" w:hAnsi="Times New Roman"/>
                <w:b w:val="0"/>
                <w:sz w:val="20"/>
              </w:rPr>
              <w:t>n</w:t>
            </w:r>
          </w:p>
        </w:tc>
        <w:tc>
          <w:tcPr>
            <w:tcW w:type="dxa" w:w="3402"/>
          </w:tcPr>
          <w:p>
            <w:pPr>
              <w:spacing w:line="288" w:lineRule="auto"/>
            </w:pPr>
            <w:r/>
            <w:r>
              <w:rPr>
                <w:rFonts w:ascii="Times New Roman" w:hAnsi="Times New Roman"/>
                <w:b w:val="0"/>
                <w:sz w:val="20"/>
              </w:rPr>
              <w:t>1.45</w:t>
            </w:r>
          </w:p>
        </w:tc>
      </w:tr>
      <w:tr>
        <w:tc>
          <w:tcPr>
            <w:tcW w:type="dxa" w:w="3969"/>
          </w:tcPr>
          <w:p>
            <w:pPr>
              <w:spacing w:line="288" w:lineRule="auto"/>
            </w:pPr>
            <w:r/>
            <w:r>
              <w:rPr>
                <w:rFonts w:ascii="Times New Roman" w:hAnsi="Times New Roman"/>
                <w:b w:val="0"/>
                <w:sz w:val="20"/>
              </w:rPr>
              <w:t>Series resistance</w:t>
            </w:r>
          </w:p>
        </w:tc>
        <w:tc>
          <w:tcPr>
            <w:tcW w:type="dxa" w:w="1701"/>
          </w:tcPr>
          <w:p>
            <w:pPr>
              <w:spacing w:line="288" w:lineRule="auto"/>
            </w:pPr>
            <w:r/>
            <w:r>
              <w:rPr>
                <w:rFonts w:ascii="Times New Roman" w:hAnsi="Times New Roman"/>
                <w:b w:val="0"/>
                <w:sz w:val="20"/>
              </w:rPr>
              <w:t>R_s</w:t>
            </w:r>
          </w:p>
        </w:tc>
        <w:tc>
          <w:tcPr>
            <w:tcW w:type="dxa" w:w="3402"/>
          </w:tcPr>
          <w:p>
            <w:pPr>
              <w:spacing w:line="288" w:lineRule="auto"/>
            </w:pPr>
            <w:r/>
            <w:r>
              <w:rPr>
                <w:rFonts w:ascii="Times New Roman" w:hAnsi="Times New Roman"/>
                <w:b w:val="0"/>
                <w:sz w:val="20"/>
              </w:rPr>
              <w:t>4.0 Ω</w:t>
            </w:r>
          </w:p>
        </w:tc>
      </w:tr>
      <w:tr>
        <w:tc>
          <w:tcPr>
            <w:tcW w:type="dxa" w:w="3969"/>
          </w:tcPr>
          <w:p>
            <w:pPr>
              <w:spacing w:line="288" w:lineRule="auto"/>
            </w:pPr>
            <w:r/>
            <w:r>
              <w:rPr>
                <w:rFonts w:ascii="Times New Roman" w:hAnsi="Times New Roman"/>
                <w:b w:val="0"/>
                <w:sz w:val="20"/>
              </w:rPr>
              <w:t>Shunt resistance</w:t>
            </w:r>
          </w:p>
        </w:tc>
        <w:tc>
          <w:tcPr>
            <w:tcW w:type="dxa" w:w="1701"/>
          </w:tcPr>
          <w:p>
            <w:pPr>
              <w:spacing w:line="288" w:lineRule="auto"/>
            </w:pPr>
            <w:r/>
            <w:r>
              <w:rPr>
                <w:rFonts w:ascii="Times New Roman" w:hAnsi="Times New Roman"/>
                <w:b w:val="0"/>
                <w:sz w:val="20"/>
              </w:rPr>
              <w:t>R_sh</w:t>
            </w:r>
          </w:p>
        </w:tc>
        <w:tc>
          <w:tcPr>
            <w:tcW w:type="dxa" w:w="3402"/>
          </w:tcPr>
          <w:p>
            <w:pPr>
              <w:spacing w:line="288" w:lineRule="auto"/>
            </w:pPr>
            <w:r/>
            <w:r>
              <w:rPr>
                <w:rFonts w:ascii="Times New Roman" w:hAnsi="Times New Roman"/>
                <w:b w:val="0"/>
                <w:sz w:val="20"/>
              </w:rPr>
              <w:t>1200 Ω</w:t>
            </w:r>
          </w:p>
        </w:tc>
      </w:tr>
      <w:tr>
        <w:tc>
          <w:tcPr>
            <w:tcW w:type="dxa" w:w="3969"/>
          </w:tcPr>
          <w:p>
            <w:pPr>
              <w:spacing w:line="288" w:lineRule="auto"/>
            </w:pPr>
            <w:r/>
            <w:r>
              <w:rPr>
                <w:rFonts w:ascii="Times New Roman" w:hAnsi="Times New Roman"/>
                <w:b w:val="0"/>
                <w:sz w:val="20"/>
              </w:rPr>
              <w:t>Open-circuit voltage at STC</w:t>
            </w:r>
          </w:p>
        </w:tc>
        <w:tc>
          <w:tcPr>
            <w:tcW w:type="dxa" w:w="1701"/>
          </w:tcPr>
          <w:p>
            <w:pPr>
              <w:spacing w:line="288" w:lineRule="auto"/>
            </w:pPr>
            <w:r/>
            <w:r>
              <w:rPr>
                <w:rFonts w:ascii="Times New Roman" w:hAnsi="Times New Roman"/>
                <w:b w:val="0"/>
                <w:sz w:val="20"/>
              </w:rPr>
              <w:t>V_oc</w:t>
            </w:r>
          </w:p>
        </w:tc>
        <w:tc>
          <w:tcPr>
            <w:tcW w:type="dxa" w:w="3402"/>
          </w:tcPr>
          <w:p>
            <w:pPr>
              <w:spacing w:line="288" w:lineRule="auto"/>
            </w:pPr>
            <w:r/>
            <w:r>
              <w:rPr>
                <w:rFonts w:ascii="Times New Roman" w:hAnsi="Times New Roman"/>
                <w:b w:val="0"/>
                <w:sz w:val="20"/>
              </w:rPr>
              <w:t>600 V</w:t>
            </w:r>
          </w:p>
        </w:tc>
      </w:tr>
      <w:tr>
        <w:tc>
          <w:tcPr>
            <w:tcW w:type="dxa" w:w="3969"/>
          </w:tcPr>
          <w:p>
            <w:pPr>
              <w:spacing w:line="288" w:lineRule="auto"/>
            </w:pPr>
            <w:r/>
            <w:r>
              <w:rPr>
                <w:rFonts w:ascii="Times New Roman" w:hAnsi="Times New Roman"/>
                <w:b w:val="0"/>
                <w:sz w:val="20"/>
              </w:rPr>
              <w:t>Short-circuit current at STC</w:t>
            </w:r>
          </w:p>
        </w:tc>
        <w:tc>
          <w:tcPr>
            <w:tcW w:type="dxa" w:w="1701"/>
          </w:tcPr>
          <w:p>
            <w:pPr>
              <w:spacing w:line="288" w:lineRule="auto"/>
            </w:pPr>
            <w:r/>
            <w:r>
              <w:rPr>
                <w:rFonts w:ascii="Times New Roman" w:hAnsi="Times New Roman"/>
                <w:b w:val="0"/>
                <w:sz w:val="20"/>
              </w:rPr>
              <w:t>I_sc</w:t>
            </w:r>
          </w:p>
        </w:tc>
        <w:tc>
          <w:tcPr>
            <w:tcW w:type="dxa" w:w="3402"/>
          </w:tcPr>
          <w:p>
            <w:pPr>
              <w:spacing w:line="288" w:lineRule="auto"/>
            </w:pPr>
            <w:r/>
            <w:r>
              <w:rPr>
                <w:rFonts w:ascii="Times New Roman" w:hAnsi="Times New Roman"/>
                <w:b w:val="0"/>
                <w:sz w:val="20"/>
              </w:rPr>
              <w:t>6.6 A</w:t>
            </w:r>
          </w:p>
        </w:tc>
      </w:tr>
      <w:tr>
        <w:tc>
          <w:tcPr>
            <w:tcW w:type="dxa" w:w="3969"/>
          </w:tcPr>
          <w:p>
            <w:pPr>
              <w:spacing w:line="288" w:lineRule="auto"/>
            </w:pPr>
            <w:r/>
            <w:r>
              <w:rPr>
                <w:rFonts w:ascii="Times New Roman" w:hAnsi="Times New Roman"/>
                <w:b w:val="0"/>
                <w:sz w:val="20"/>
              </w:rPr>
              <w:t>MPP voltage at STC</w:t>
            </w:r>
          </w:p>
        </w:tc>
        <w:tc>
          <w:tcPr>
            <w:tcW w:type="dxa" w:w="1701"/>
          </w:tcPr>
          <w:p>
            <w:pPr>
              <w:spacing w:line="288" w:lineRule="auto"/>
            </w:pPr>
            <w:r/>
            <w:r>
              <w:rPr>
                <w:rFonts w:ascii="Times New Roman" w:hAnsi="Times New Roman"/>
                <w:b w:val="0"/>
                <w:sz w:val="20"/>
              </w:rPr>
              <w:t>V_MPP</w:t>
            </w:r>
          </w:p>
        </w:tc>
        <w:tc>
          <w:tcPr>
            <w:tcW w:type="dxa" w:w="3402"/>
          </w:tcPr>
          <w:p>
            <w:pPr>
              <w:spacing w:line="288" w:lineRule="auto"/>
            </w:pPr>
            <w:r/>
            <w:r>
              <w:rPr>
                <w:rFonts w:ascii="Times New Roman" w:hAnsi="Times New Roman"/>
                <w:b w:val="0"/>
                <w:sz w:val="20"/>
              </w:rPr>
              <w:t>500 V</w:t>
            </w:r>
          </w:p>
        </w:tc>
      </w:tr>
      <w:tr>
        <w:tc>
          <w:tcPr>
            <w:tcW w:type="dxa" w:w="3969"/>
          </w:tcPr>
          <w:p>
            <w:pPr>
              <w:spacing w:line="288" w:lineRule="auto"/>
            </w:pPr>
            <w:r/>
            <w:r>
              <w:rPr>
                <w:rFonts w:ascii="Times New Roman" w:hAnsi="Times New Roman"/>
                <w:b w:val="0"/>
                <w:sz w:val="20"/>
              </w:rPr>
              <w:t>MPP current at STC</w:t>
            </w:r>
          </w:p>
        </w:tc>
        <w:tc>
          <w:tcPr>
            <w:tcW w:type="dxa" w:w="1701"/>
          </w:tcPr>
          <w:p>
            <w:pPr>
              <w:spacing w:line="288" w:lineRule="auto"/>
            </w:pPr>
            <w:r/>
            <w:r>
              <w:rPr>
                <w:rFonts w:ascii="Times New Roman" w:hAnsi="Times New Roman"/>
                <w:b w:val="0"/>
                <w:sz w:val="20"/>
              </w:rPr>
              <w:t>I_MPP</w:t>
            </w:r>
          </w:p>
        </w:tc>
        <w:tc>
          <w:tcPr>
            <w:tcW w:type="dxa" w:w="3402"/>
          </w:tcPr>
          <w:p>
            <w:pPr>
              <w:spacing w:line="288" w:lineRule="auto"/>
            </w:pPr>
            <w:r/>
            <w:r>
              <w:rPr>
                <w:rFonts w:ascii="Times New Roman" w:hAnsi="Times New Roman"/>
                <w:b w:val="0"/>
                <w:sz w:val="20"/>
              </w:rPr>
              <w:t>6.0 A</w:t>
            </w:r>
          </w:p>
        </w:tc>
      </w:tr>
      <w:tr>
        <w:tc>
          <w:tcPr>
            <w:tcW w:type="dxa" w:w="3969"/>
          </w:tcPr>
          <w:p>
            <w:pPr>
              <w:spacing w:line="288" w:lineRule="auto"/>
            </w:pPr>
            <w:r/>
            <w:r>
              <w:rPr>
                <w:rFonts w:ascii="Times New Roman" w:hAnsi="Times New Roman"/>
                <w:b w:val="0"/>
                <w:sz w:val="20"/>
              </w:rPr>
              <w:t>MPP power at STC</w:t>
            </w:r>
          </w:p>
        </w:tc>
        <w:tc>
          <w:tcPr>
            <w:tcW w:type="dxa" w:w="1701"/>
          </w:tcPr>
          <w:p>
            <w:pPr>
              <w:spacing w:line="288" w:lineRule="auto"/>
            </w:pPr>
            <w:r/>
            <w:r>
              <w:rPr>
                <w:rFonts w:ascii="Times New Roman" w:hAnsi="Times New Roman"/>
                <w:b w:val="0"/>
                <w:sz w:val="20"/>
              </w:rPr>
              <w:t>P_MPP</w:t>
            </w:r>
          </w:p>
        </w:tc>
        <w:tc>
          <w:tcPr>
            <w:tcW w:type="dxa" w:w="3402"/>
          </w:tcPr>
          <w:p>
            <w:pPr>
              <w:spacing w:line="288" w:lineRule="auto"/>
            </w:pPr>
            <w:r/>
            <w:r>
              <w:rPr>
                <w:rFonts w:ascii="Times New Roman" w:hAnsi="Times New Roman"/>
                <w:b w:val="0"/>
                <w:sz w:val="20"/>
              </w:rPr>
              <w:t>3000 W</w:t>
            </w:r>
          </w:p>
        </w:tc>
      </w:tr>
      <w:tr>
        <w:tc>
          <w:tcPr>
            <w:tcW w:type="dxa" w:w="3969"/>
          </w:tcPr>
          <w:p>
            <w:pPr>
              <w:spacing w:line="288" w:lineRule="auto"/>
            </w:pPr>
            <w:r/>
            <w:r>
              <w:rPr>
                <w:rFonts w:ascii="Times New Roman" w:hAnsi="Times New Roman"/>
                <w:b w:val="0"/>
                <w:sz w:val="20"/>
              </w:rPr>
              <w:t>Number of series panels</w:t>
            </w:r>
          </w:p>
        </w:tc>
        <w:tc>
          <w:tcPr>
            <w:tcW w:type="dxa" w:w="1701"/>
          </w:tcPr>
          <w:p>
            <w:pPr>
              <w:spacing w:line="288" w:lineRule="auto"/>
            </w:pPr>
            <w:r/>
            <w:r>
              <w:rPr>
                <w:rFonts w:ascii="Times New Roman" w:hAnsi="Times New Roman"/>
                <w:b w:val="0"/>
                <w:sz w:val="20"/>
              </w:rPr>
              <w:t>N_s</w:t>
            </w:r>
          </w:p>
        </w:tc>
        <w:tc>
          <w:tcPr>
            <w:tcW w:type="dxa" w:w="3402"/>
          </w:tcPr>
          <w:p>
            <w:pPr>
              <w:spacing w:line="288" w:lineRule="auto"/>
            </w:pPr>
            <w:r/>
            <w:r>
              <w:rPr>
                <w:rFonts w:ascii="Times New Roman" w:hAnsi="Times New Roman"/>
                <w:b w:val="0"/>
                <w:sz w:val="20"/>
              </w:rPr>
              <w:t>10</w:t>
            </w:r>
          </w:p>
        </w:tc>
      </w:tr>
    </w:tbl>
    <w:p/>
    <w:p>
      <w:pPr>
        <w:pStyle w:val="Heading2"/>
        <w:spacing w:before="240" w:after="120"/>
      </w:pPr>
      <w:r>
        <w:rPr>
          <w:rFonts w:ascii="Times New Roman" w:hAnsi="Times New Roman"/>
          <w:b/>
          <w:color w:val="000000"/>
          <w:sz w:val="26"/>
        </w:rPr>
        <w:t>6.5.3 Irradiance and Temperature Dependence</w:t>
      </w:r>
    </w:p>
    <w:p>
      <w:pPr>
        <w:spacing w:line="360" w:lineRule="auto" w:after="120"/>
        <w:jc w:val="both"/>
      </w:pPr>
      <w:r>
        <w:rPr>
          <w:rFonts w:ascii="Times New Roman" w:hAnsi="Times New Roman"/>
          <w:sz w:val="22"/>
        </w:rPr>
        <w:t>The photocurrent I_ph scales linearly with irradiance:</w:t>
      </w:r>
    </w:p>
    <w:p>
      <w:pPr>
        <w:spacing w:line="360" w:lineRule="auto" w:before="120" w:after="120"/>
        <w:jc w:val="center"/>
      </w:pPr>
      <w:r>
        <w:rPr>
          <w:rFonts w:ascii="Cambria Math" w:hAnsi="Cambria Math"/>
          <w:sz w:val="22"/>
        </w:rPr>
        <w:t>I_ph(G, T) = (G/G_STC) · [I_ph,STC + α · (T − T_STC)]    (6.4)</w:t>
      </w:r>
    </w:p>
    <w:p>
      <w:pPr>
        <w:spacing w:line="360" w:lineRule="auto" w:after="120"/>
        <w:ind w:firstLine="283"/>
        <w:jc w:val="both"/>
      </w:pPr>
      <w:r>
        <w:rPr>
          <w:rFonts w:ascii="Times New Roman" w:hAnsi="Times New Roman"/>
          <w:sz w:val="22"/>
        </w:rPr>
        <w:t>where G_STC = 1000 W/m², T_STC = 25 °C, and α is the temperature coefficient of short-circuit current (typically 0.05 percent per Kelvin for crystalline silicon panels). The open-circuit voltage decreases with increasing temperature according to:</w:t>
      </w:r>
    </w:p>
    <w:p>
      <w:pPr>
        <w:spacing w:line="360" w:lineRule="auto" w:before="120" w:after="120"/>
        <w:jc w:val="center"/>
      </w:pPr>
      <w:r>
        <w:rPr>
          <w:rFonts w:ascii="Cambria Math" w:hAnsi="Cambria Math"/>
          <w:sz w:val="22"/>
        </w:rPr>
        <w:t>V_oc(T) = V_oc,STC + β · (T − T_STC)    (6.5)</w:t>
      </w:r>
    </w:p>
    <w:p>
      <w:pPr>
        <w:spacing w:line="360" w:lineRule="auto" w:after="120"/>
        <w:ind w:firstLine="283"/>
        <w:jc w:val="both"/>
      </w:pPr>
      <w:r>
        <w:rPr>
          <w:rFonts w:ascii="Times New Roman" w:hAnsi="Times New Roman"/>
          <w:sz w:val="22"/>
        </w:rPr>
        <w:t>where β is the temperature coefficient of open-circuit voltage (typically −0.3 percent per Kelvin). The maximum power point voltage V_MPP migrates accordingly, requiring the MPPT algorithm to track operating-point shifts continuously. The variation in V_MPP with irradiance is a key driver of the gain scheduling treatment in §6.11, as the modulation index M = V_pk/V_g varies as V_g changes with MPPT operating point.</w:t>
      </w:r>
    </w:p>
    <w:p>
      <w:pPr>
        <w:shd w:val="clear" w:color="auto" w:fill="FFF2CC"/>
        <w:spacing w:before="120" w:after="120"/>
        <w:jc w:val="center"/>
      </w:pPr>
      <w:r>
        <w:rPr>
          <w:rFonts w:ascii="Calibri" w:hAnsi="Calibri"/>
          <w:b/>
          <w:i/>
          <w:color w:val="806000"/>
          <w:sz w:val="20"/>
        </w:rPr>
        <w:t>[PLACEHOLDER: Figure 6.6: PV array I-V and P-V curves at G = 200, 400, 600, 800, and 1000 W/m², all at T = 25 °C. Shows MPP locus across the irradiance range, with the MPP voltage migrating from approximately 460 V at low irradiance to 500 V at STC.]</w:t>
      </w:r>
    </w:p>
    <w:p>
      <w:pPr>
        <w:pStyle w:val="Heading1"/>
        <w:spacing w:before="360" w:after="160"/>
      </w:pPr>
      <w:r>
        <w:rPr>
          <w:rFonts w:ascii="Times New Roman" w:hAnsi="Times New Roman"/>
          <w:b/>
          <w:color w:val="000000"/>
          <w:sz w:val="32"/>
        </w:rPr>
        <w:t>6.6 Maximum Power Point Tracking</w:t>
      </w:r>
    </w:p>
    <w:p>
      <w:pPr>
        <w:spacing w:line="360" w:lineRule="auto" w:after="120"/>
        <w:jc w:val="both"/>
      </w:pPr>
      <w:r>
        <w:rPr>
          <w:rFonts w:ascii="Times New Roman" w:hAnsi="Times New Roman"/>
          <w:sz w:val="22"/>
        </w:rPr>
        <w:t>The PV array's operating point on the I-V characteristic is determined by the load it sees. To extract the maximum available power, the converter must present the PV array with an effective impedance that places the operating point at the MPP. As irradiance and temperature vary, the MPP migrates along the I-V curve, and the controller must continuously track these changes. This task is performed by the maximum power point tracking (MPPT) algorithm.</w:t>
      </w:r>
    </w:p>
    <w:p>
      <w:pPr>
        <w:pStyle w:val="Heading2"/>
        <w:spacing w:before="240" w:after="120"/>
      </w:pPr>
      <w:r>
        <w:rPr>
          <w:rFonts w:ascii="Times New Roman" w:hAnsi="Times New Roman"/>
          <w:b/>
          <w:color w:val="000000"/>
          <w:sz w:val="26"/>
        </w:rPr>
        <w:t>6.6.1 Algorithm Selection</w:t>
      </w:r>
    </w:p>
    <w:p>
      <w:pPr>
        <w:spacing w:line="360" w:lineRule="auto" w:after="120"/>
        <w:jc w:val="both"/>
      </w:pPr>
      <w:r>
        <w:rPr>
          <w:rFonts w:ascii="Times New Roman" w:hAnsi="Times New Roman"/>
          <w:sz w:val="22"/>
        </w:rPr>
        <w:t>Several MPPT algorithms have been proposed in the literature, including perturb-and-observe (P&amp;O), incremental conductance, ripple correlation control, and various model-based methods. For the present application, perturb-and-observe is selected on the basis of three considerations.</w:t>
      </w:r>
    </w:p>
    <w:p>
      <w:pPr>
        <w:pStyle w:val="ListBullet"/>
        <w:spacing w:line="360" w:lineRule="auto" w:after="80"/>
      </w:pPr>
      <w:r>
        <w:rPr>
          <w:rFonts w:ascii="Times New Roman" w:hAnsi="Times New Roman"/>
          <w:sz w:val="22"/>
        </w:rPr>
        <w:t>Simplicity of implementation. P&amp;O requires only the product P = V × I and a few logic steps per iteration, executable on the F28P65X target hardware with negligible computational overhead.</w:t>
      </w:r>
    </w:p>
    <w:p>
      <w:pPr>
        <w:pStyle w:val="ListBullet"/>
        <w:spacing w:line="360" w:lineRule="auto" w:after="80"/>
      </w:pPr>
      <w:r>
        <w:rPr>
          <w:rFonts w:ascii="Times New Roman" w:hAnsi="Times New Roman"/>
          <w:sz w:val="22"/>
        </w:rPr>
        <w:t>Robustness to model uncertainty. P&amp;O does not require knowledge of the PV array's I-V curve parameters; it operates purely on measured V and I. This is important because real PV arrays exhibit panel-to-panel variation and gradual degradation with age that would invalidate any pre-computed model.</w:t>
      </w:r>
    </w:p>
    <w:p>
      <w:pPr>
        <w:pStyle w:val="ListBullet"/>
        <w:spacing w:line="360" w:lineRule="auto" w:after="80"/>
      </w:pPr>
      <w:r>
        <w:rPr>
          <w:rFonts w:ascii="Times New Roman" w:hAnsi="Times New Roman"/>
          <w:sz w:val="22"/>
        </w:rPr>
        <w:t>Maturity and established performance. P&amp;O is the most widely deployed MPPT algorithm in commercial residential PV inverters, with well-understood failure modes and tuning procedures.</w:t>
      </w:r>
    </w:p>
    <w:p>
      <w:pPr>
        <w:spacing w:line="360" w:lineRule="auto" w:after="120"/>
        <w:ind w:firstLine="283"/>
        <w:jc w:val="both"/>
      </w:pPr>
      <w:r>
        <w:rPr>
          <w:rFonts w:ascii="Times New Roman" w:hAnsi="Times New Roman"/>
          <w:sz w:val="22"/>
        </w:rPr>
        <w:t>The known limitations of P&amp;O are (a) steady-state oscillation around the MPP, which can be reduced by an appropriately small perturbation step, and (b) potential tracking failure under rapid irradiance changes, which can be addressed by perturbation step scaling or by switching to a different algorithm in fast-changing conditions. For the residential application targeted here, where irradiance changes are dominated by slow cloud-cover variations, neither limitation is severe.</w:t>
      </w:r>
    </w:p>
    <w:p>
      <w:pPr>
        <w:pStyle w:val="Heading2"/>
        <w:spacing w:before="240" w:after="120"/>
      </w:pPr>
      <w:r>
        <w:rPr>
          <w:rFonts w:ascii="Times New Roman" w:hAnsi="Times New Roman"/>
          <w:b/>
          <w:color w:val="000000"/>
          <w:sz w:val="26"/>
        </w:rPr>
        <w:t>6.6.2 P&amp;O Algorithm Description</w:t>
      </w:r>
    </w:p>
    <w:p>
      <w:pPr>
        <w:spacing w:line="360" w:lineRule="auto" w:after="120"/>
        <w:jc w:val="both"/>
      </w:pPr>
      <w:r>
        <w:rPr>
          <w:rFonts w:ascii="Times New Roman" w:hAnsi="Times New Roman"/>
          <w:sz w:val="22"/>
        </w:rPr>
        <w:t>The P&amp;O algorithm maintains a state variable that represents the current voltage reference V_DC*. At each iteration of period T_MPPT (typically 10 to 100 milliseconds), the algorithm:</w:t>
      </w:r>
    </w:p>
    <w:p>
      <w:pPr>
        <w:pStyle w:val="ListBullet"/>
        <w:spacing w:line="360" w:lineRule="auto" w:after="80"/>
      </w:pPr>
      <w:r>
        <w:rPr>
          <w:rFonts w:ascii="Times New Roman" w:hAnsi="Times New Roman"/>
          <w:sz w:val="22"/>
        </w:rPr>
        <w:t>Measures the present PV array voltage V_PV and current I_PV.</w:t>
      </w:r>
    </w:p>
    <w:p>
      <w:pPr>
        <w:pStyle w:val="ListBullet"/>
        <w:spacing w:line="360" w:lineRule="auto" w:after="80"/>
      </w:pPr>
      <w:r>
        <w:rPr>
          <w:rFonts w:ascii="Times New Roman" w:hAnsi="Times New Roman"/>
          <w:sz w:val="22"/>
        </w:rPr>
        <w:t>Computes the present PV power P_PV = V_PV · I_PV.</w:t>
      </w:r>
    </w:p>
    <w:p>
      <w:pPr>
        <w:pStyle w:val="ListBullet"/>
        <w:spacing w:line="360" w:lineRule="auto" w:after="80"/>
      </w:pPr>
      <w:r>
        <w:rPr>
          <w:rFonts w:ascii="Times New Roman" w:hAnsi="Times New Roman"/>
          <w:sz w:val="22"/>
        </w:rPr>
        <w:t>Compares P_PV to the value at the previous iteration. If power has increased, the most recent perturbation direction is preserved; if power has decreased, the direction is reversed.</w:t>
      </w:r>
    </w:p>
    <w:p>
      <w:pPr>
        <w:pStyle w:val="ListBullet"/>
        <w:spacing w:line="360" w:lineRule="auto" w:after="80"/>
      </w:pPr>
      <w:r>
        <w:rPr>
          <w:rFonts w:ascii="Times New Roman" w:hAnsi="Times New Roman"/>
          <w:sz w:val="22"/>
        </w:rPr>
        <w:t>Applies a perturbation ΔV to the voltage reference V_DC* in the chosen direction.</w:t>
      </w:r>
    </w:p>
    <w:p>
      <w:pPr>
        <w:spacing w:line="360" w:lineRule="auto" w:after="120"/>
        <w:ind w:firstLine="283"/>
        <w:jc w:val="both"/>
      </w:pPr>
      <w:r>
        <w:rPr>
          <w:rFonts w:ascii="Times New Roman" w:hAnsi="Times New Roman"/>
          <w:sz w:val="22"/>
        </w:rPr>
        <w:t>The perturbation step ΔV trades off tracking speed against steady-state oscillation: larger steps track faster but oscillate more around the MPP. In the present design, ΔV = 5 mV and T_MPPT = 10 ms (giving a 100 Hz MPPT iteration rate) provide an acceptable balance.</w:t>
      </w:r>
    </w:p>
    <w:p>
      <w:pPr>
        <w:pStyle w:val="Heading2"/>
        <w:spacing w:before="240" w:after="120"/>
      </w:pPr>
      <w:r>
        <w:rPr>
          <w:rFonts w:ascii="Times New Roman" w:hAnsi="Times New Roman"/>
          <w:b/>
          <w:color w:val="000000"/>
          <w:sz w:val="26"/>
        </w:rPr>
        <w:t>6.6.3 Interaction with Outer Control Loop</w:t>
      </w:r>
    </w:p>
    <w:p>
      <w:pPr>
        <w:spacing w:line="360" w:lineRule="auto" w:after="120"/>
        <w:jc w:val="both"/>
      </w:pPr>
      <w:r>
        <w:rPr>
          <w:rFonts w:ascii="Times New Roman" w:hAnsi="Times New Roman"/>
          <w:sz w:val="22"/>
        </w:rPr>
        <w:t>The MPPT algorithm's output V_DC* sets the reference for the outer DC voltage controller developed in §6.8. The outer loop's bandwidth (approximately 20 Hz) is significantly faster than the MPPT iteration rate, so the MPPT can be considered to operate on a quasi-static plant: each MPPT step is followed by the DC voltage loop settling to the new reference before the next MPPT step is applied.</w:t>
      </w:r>
    </w:p>
    <w:p>
      <w:pPr>
        <w:shd w:val="clear" w:color="auto" w:fill="FFF2CC"/>
        <w:spacing w:before="120" w:after="120"/>
        <w:jc w:val="center"/>
      </w:pPr>
      <w:r>
        <w:rPr>
          <w:rFonts w:ascii="Calibri" w:hAnsi="Calibri"/>
          <w:b/>
          <w:i/>
          <w:color w:val="806000"/>
          <w:sz w:val="20"/>
        </w:rPr>
        <w:t>[PLACEHOLDER: Figure 6.7: P&amp;O MPPT algorithm flowchart. Inputs V_PV, I_PV; output V_DC*. Includes the perturbation direction logic and steady-state termination criteria.]</w:t>
      </w:r>
    </w:p>
    <w:p>
      <w:pPr>
        <w:pStyle w:val="Heading1"/>
        <w:spacing w:before="360" w:after="160"/>
      </w:pPr>
      <w:r>
        <w:rPr>
          <w:rFonts w:ascii="Times New Roman" w:hAnsi="Times New Roman"/>
          <w:b/>
          <w:color w:val="000000"/>
          <w:sz w:val="32"/>
        </w:rPr>
        <w:t>6.7 αβ-CDSC-SOGI-PLL Integration</w:t>
      </w:r>
    </w:p>
    <w:p>
      <w:pPr>
        <w:spacing w:line="360" w:lineRule="auto" w:after="120"/>
        <w:jc w:val="both"/>
      </w:pPr>
      <w:r>
        <w:rPr>
          <w:rFonts w:ascii="Times New Roman" w:hAnsi="Times New Roman"/>
          <w:sz w:val="22"/>
        </w:rPr>
        <w:t>The grid synchronisation system used in this work is the αβ-CDSC-SOGI-PLL developed in Chapter 4. This section describes how the PLL is integrated into the closed-loop control architecture of the present chapter, identifies the signals exchanged between the PLL and the current controllers, and discusses the implications of PLL dynamic performance for the rest of the control system.</w:t>
      </w:r>
    </w:p>
    <w:p>
      <w:pPr>
        <w:pStyle w:val="Heading2"/>
        <w:spacing w:before="240" w:after="120"/>
      </w:pPr>
      <w:r>
        <w:rPr>
          <w:rFonts w:ascii="Times New Roman" w:hAnsi="Times New Roman"/>
          <w:b/>
          <w:color w:val="000000"/>
          <w:sz w:val="26"/>
        </w:rPr>
        <w:t>6.7.1 Recapitulation of PLL Structure</w:t>
      </w:r>
    </w:p>
    <w:p>
      <w:pPr>
        <w:spacing w:line="360" w:lineRule="auto" w:after="120"/>
        <w:jc w:val="both"/>
      </w:pPr>
      <w:r>
        <w:rPr>
          <w:rFonts w:ascii="Times New Roman" w:hAnsi="Times New Roman"/>
          <w:sz w:val="22"/>
        </w:rPr>
        <w:t>The αβ-CDSC-SOGI-PLL accepts the grid voltage v_grid(t) as its input and produces, as outputs, the estimated grid phase angle θ̂(t), the estimated grid angular frequency ω̂(t), and the in-phase and quadrature components V_α and V_β. The PLL achieves robustness to grid harmonics, voltage unbalance, and frequency variation by means of two cascaded stages. The first stage is the second-order generalised integrator (SOGI), which extracts the fundamental components from the measured grid voltage. The second stage is a cascaded delayed signal cancellation (CDSC) filter that further suppresses harmonics by combining shifted copies of the SOGI output with appropriate weighting.</w:t>
      </w:r>
    </w:p>
    <w:p>
      <w:pPr>
        <w:spacing w:line="360" w:lineRule="auto" w:after="120"/>
        <w:ind w:firstLine="283"/>
        <w:jc w:val="both"/>
      </w:pPr>
      <w:r>
        <w:rPr>
          <w:rFonts w:ascii="Times New Roman" w:hAnsi="Times New Roman"/>
          <w:sz w:val="22"/>
        </w:rPr>
        <w:t>As demonstrated in Chapter 4, this combined structure achieves a reduction in steady-state phase ripple of approximately 96 percent relative to a baseline SOGI-PLL when the grid contains the 5th and 7th harmonics at amplitudes typical of UK distribution networks. The settling time to a 10-degree phase step is approximately 25 ms, and the settling time to a 1 Hz frequency step is approximately 40 ms, both well within residential PV inverter operating requirements. Experimental validation of the PLL on the F28P65X hardware platform is presented in Chapter 5.</w:t>
      </w:r>
    </w:p>
    <w:p>
      <w:pPr>
        <w:pStyle w:val="Heading2"/>
        <w:spacing w:before="240" w:after="120"/>
      </w:pPr>
      <w:r>
        <w:rPr>
          <w:rFonts w:ascii="Times New Roman" w:hAnsi="Times New Roman"/>
          <w:b/>
          <w:color w:val="000000"/>
          <w:sz w:val="26"/>
        </w:rPr>
        <w:t>6.7.2 Signals Exchanged Between PLL and Control Loops</w:t>
      </w:r>
    </w:p>
    <w:p>
      <w:pPr>
        <w:spacing w:line="360" w:lineRule="auto" w:after="120"/>
        <w:jc w:val="both"/>
      </w:pPr>
      <w:r>
        <w:rPr>
          <w:rFonts w:ascii="Times New Roman" w:hAnsi="Times New Roman"/>
          <w:sz w:val="22"/>
        </w:rPr>
        <w:t>The PLL exchanges signals with both the inner-loop current controllers and the parallel PR DC-injection compensator:</w:t>
      </w:r>
    </w:p>
    <w:p>
      <w:pPr>
        <w:pStyle w:val="ListBullet"/>
        <w:spacing w:line="360" w:lineRule="auto" w:after="80"/>
      </w:pPr>
      <w:r>
        <w:rPr>
          <w:rFonts w:ascii="Times New Roman" w:hAnsi="Times New Roman"/>
          <w:sz w:val="22"/>
        </w:rPr>
        <w:t>The phase angle θ̂ is supplied to the dq transformation that maps the measured grid current i_g from the stationary frame to the synchronous reference frame as (i_d, i_q). The inverse transformation, using the same θ̂, maps the controller's output v_d* and v_q* back to the stationary frame for application to the PWM generator.</w:t>
      </w:r>
    </w:p>
    <w:p>
      <w:pPr>
        <w:pStyle w:val="ListBullet"/>
        <w:spacing w:line="360" w:lineRule="auto" w:after="80"/>
      </w:pPr>
      <w:r>
        <w:rPr>
          <w:rFonts w:ascii="Times New Roman" w:hAnsi="Times New Roman"/>
          <w:sz w:val="22"/>
        </w:rPr>
        <w:t>The angular frequency ω̂ is available to the dq transformation for computing the cross-coupling decoupling terms ω̂·L·i_d and ω̂·L·i_q that compensate for the rotational coupling between the d and q axes.</w:t>
      </w:r>
    </w:p>
    <w:p>
      <w:pPr>
        <w:pStyle w:val="ListBullet"/>
        <w:spacing w:line="360" w:lineRule="auto" w:after="80"/>
      </w:pPr>
      <w:r>
        <w:rPr>
          <w:rFonts w:ascii="Times New Roman" w:hAnsi="Times New Roman"/>
          <w:sz w:val="22"/>
        </w:rPr>
        <w:t>The phase angle θ̂ is used by the PR DC-injection compensator to construct the ideal sinusoidal reference voltage V_pk·sin(θ̂) against which the inverter output is compared.</w:t>
      </w:r>
    </w:p>
    <w:p>
      <w:pPr>
        <w:pStyle w:val="ListBullet"/>
        <w:spacing w:line="360" w:lineRule="auto" w:after="80"/>
      </w:pPr>
      <w:r>
        <w:rPr>
          <w:rFonts w:ascii="Times New Roman" w:hAnsi="Times New Roman"/>
          <w:sz w:val="22"/>
        </w:rPr>
        <w:t>The estimated peak grid voltage V_pk, derived from V_α and V_β as √(V_α² + V_β²), provides the amplitude reference for the PR compensator's sinusoidal reference and is also used to compute the operating-point modulation index M_avg = V_pk / V_g that drives the gain scheduling lookup in §6.11.</w:t>
      </w:r>
    </w:p>
    <w:p>
      <w:pPr>
        <w:pStyle w:val="Heading2"/>
        <w:spacing w:before="240" w:after="120"/>
      </w:pPr>
      <w:r>
        <w:rPr>
          <w:rFonts w:ascii="Times New Roman" w:hAnsi="Times New Roman"/>
          <w:b/>
          <w:color w:val="000000"/>
          <w:sz w:val="26"/>
        </w:rPr>
        <w:t>6.7.3 Known Implementation Limitations</w:t>
      </w:r>
    </w:p>
    <w:p>
      <w:pPr>
        <w:spacing w:line="360" w:lineRule="auto" w:after="120"/>
        <w:jc w:val="both"/>
      </w:pPr>
      <w:r>
        <w:rPr>
          <w:rFonts w:ascii="Times New Roman" w:hAnsi="Times New Roman"/>
          <w:sz w:val="22"/>
        </w:rPr>
        <w:t>As discussed in Chapter 4, the digital implementation of the αβ-CDSC operator is subject to discretisation errors in the delay time T/n due to the finite system sampling frequency, and to grid frequency variations away from the nominal 50 Hz at which the delays are calibrated. These errors result in residual harmonic content at the αβ output of the operator, which translates into slight phase tracking errors at the PLL output. Chapter 4 quantified these errors as remaining below 0.1 degrees for grid frequency variations within ±1 Hz of nominal, well within the requirements of grid standards.</w:t>
      </w:r>
    </w:p>
    <w:p>
      <w:pPr>
        <w:pStyle w:val="Heading1"/>
        <w:spacing w:before="360" w:after="160"/>
      </w:pPr>
      <w:r>
        <w:rPr>
          <w:rFonts w:ascii="Times New Roman" w:hAnsi="Times New Roman"/>
          <w:b/>
          <w:color w:val="000000"/>
          <w:sz w:val="32"/>
        </w:rPr>
        <w:t>6.8 Outer-Loop DC Voltage Controller</w:t>
      </w:r>
    </w:p>
    <w:p>
      <w:pPr>
        <w:spacing w:line="360" w:lineRule="auto" w:after="120"/>
        <w:jc w:val="both"/>
      </w:pPr>
      <w:r>
        <w:rPr>
          <w:rFonts w:ascii="Times New Roman" w:hAnsi="Times New Roman"/>
          <w:sz w:val="22"/>
        </w:rPr>
        <w:t>Fluctuations in the power output from a PV system can cause the PV-side DC voltage to undergo transient changes, as the input filter capacitor acts as a temporary energy storage element. When PV power increases, the DC voltage overshoots the reference; when PV power decreases, it undershoots. These voltage variations are stabilised by appropriate management of the charge and discharge cycles of the DC capacitor. The DC voltage controller performs this stabilisation by regulating the active current injected into the grid to balance the power input from the PV array.</w:t>
      </w:r>
    </w:p>
    <w:p>
      <w:pPr>
        <w:pStyle w:val="Heading2"/>
        <w:spacing w:before="240" w:after="120"/>
      </w:pPr>
      <w:r>
        <w:rPr>
          <w:rFonts w:ascii="Times New Roman" w:hAnsi="Times New Roman"/>
          <w:b/>
          <w:color w:val="000000"/>
          <w:sz w:val="26"/>
        </w:rPr>
        <w:t>6.8.1 Plant Model and Controller Structure</w:t>
      </w:r>
    </w:p>
    <w:p>
      <w:pPr>
        <w:spacing w:line="360" w:lineRule="auto" w:after="120"/>
        <w:jc w:val="both"/>
      </w:pPr>
      <w:r>
        <w:rPr>
          <w:rFonts w:ascii="Times New Roman" w:hAnsi="Times New Roman"/>
          <w:sz w:val="22"/>
        </w:rPr>
        <w:t>From the perspective of the outer DC voltage loop, the inner current loop and the converter's switching dynamics appear as a fast subsystem with bandwidth approximately ten times higher than the outer loop. Standard practice in cascaded control design is to approximate the inner loop as a unity-gain element for the purposes of outer-loop design.</w:t>
      </w:r>
    </w:p>
    <w:p>
      <w:pPr>
        <w:spacing w:line="360" w:lineRule="auto" w:after="120"/>
        <w:ind w:firstLine="283"/>
        <w:jc w:val="both"/>
      </w:pPr>
      <w:r>
        <w:rPr>
          <w:rFonts w:ascii="Times New Roman" w:hAnsi="Times New Roman"/>
          <w:sz w:val="22"/>
        </w:rPr>
        <w:t>Under this approximation, the outer-loop plant model relates the d-axis current reference i_d* to the resulting DC voltage V_DC. The current balance at the input filter capacitor C_pv gives:</w:t>
      </w:r>
    </w:p>
    <w:p>
      <w:pPr>
        <w:spacing w:line="360" w:lineRule="auto" w:before="120" w:after="120"/>
        <w:jc w:val="center"/>
      </w:pPr>
      <w:r>
        <w:rPr>
          <w:rFonts w:ascii="Cambria Math" w:hAnsi="Cambria Math"/>
          <w:sz w:val="22"/>
        </w:rPr>
        <w:t>C_pv · dV_DC/dt = I_PV − i_d    (6.6)</w:t>
      </w:r>
    </w:p>
    <w:p>
      <w:pPr>
        <w:spacing w:line="360" w:lineRule="auto" w:after="120"/>
        <w:ind w:firstLine="283"/>
        <w:jc w:val="both"/>
      </w:pPr>
      <w:r>
        <w:rPr>
          <w:rFonts w:ascii="Times New Roman" w:hAnsi="Times New Roman"/>
          <w:sz w:val="22"/>
        </w:rPr>
        <w:t>where I_PV is the current supplied by the PV array. In the small-signal model, the plant from −i_d* to V_DC is a pure integrator:</w:t>
      </w:r>
    </w:p>
    <w:p>
      <w:pPr>
        <w:spacing w:line="360" w:lineRule="auto" w:before="120" w:after="120"/>
        <w:jc w:val="center"/>
      </w:pPr>
      <w:r>
        <w:rPr>
          <w:rFonts w:ascii="Cambria Math" w:hAnsi="Cambria Math"/>
          <w:sz w:val="22"/>
        </w:rPr>
        <w:t>G_v(s) = 1 / (C_pv · s)    (6.7)</w:t>
      </w:r>
    </w:p>
    <w:p>
      <w:pPr>
        <w:spacing w:line="360" w:lineRule="auto" w:after="120"/>
        <w:ind w:firstLine="283"/>
        <w:jc w:val="both"/>
      </w:pPr>
      <w:r>
        <w:rPr>
          <w:rFonts w:ascii="Times New Roman" w:hAnsi="Times New Roman"/>
          <w:sz w:val="22"/>
        </w:rPr>
        <w:t>A standard proportional-integral controller is adopted:</w:t>
      </w:r>
    </w:p>
    <w:p>
      <w:pPr>
        <w:spacing w:line="360" w:lineRule="auto" w:before="120" w:after="120"/>
        <w:jc w:val="center"/>
      </w:pPr>
      <w:r>
        <w:rPr>
          <w:rFonts w:ascii="Cambria Math" w:hAnsi="Cambria Math"/>
          <w:sz w:val="22"/>
        </w:rPr>
        <w:t>I_d* = K_p · (V_DC* − V_DC) + K_i · ∫(V_DC* − V_DC) dt    (6.8)</w:t>
      </w:r>
    </w:p>
    <w:p>
      <w:pPr>
        <w:spacing w:line="360" w:lineRule="auto" w:after="120"/>
        <w:ind w:firstLine="283"/>
        <w:jc w:val="both"/>
      </w:pPr>
      <w:r>
        <w:rPr>
          <w:rFonts w:ascii="Times New Roman" w:hAnsi="Times New Roman"/>
          <w:sz w:val="22"/>
        </w:rPr>
        <w:t>Setting a target closed-loop bandwidth of ω_cv = 2π × 20 rad/s and a target phase margin of 60 degrees provides two conditions that uniquely determine the gains:</w:t>
      </w:r>
    </w:p>
    <w:p>
      <w:pPr>
        <w:spacing w:line="360" w:lineRule="auto" w:before="120" w:after="120"/>
        <w:jc w:val="center"/>
      </w:pPr>
      <w:r>
        <w:rPr>
          <w:rFonts w:ascii="Cambria Math" w:hAnsi="Cambria Math"/>
          <w:sz w:val="22"/>
        </w:rPr>
        <w:t>K_i = ω_cv / √3 ≈ 72.6 rad/s    (6.9)</w:t>
      </w:r>
    </w:p>
    <w:p>
      <w:pPr>
        <w:spacing w:line="360" w:lineRule="auto" w:before="120" w:after="120"/>
        <w:jc w:val="center"/>
      </w:pPr>
      <w:r>
        <w:rPr>
          <w:rFonts w:ascii="Cambria Math" w:hAnsi="Cambria Math"/>
          <w:sz w:val="22"/>
        </w:rPr>
        <w:t>K_p = C_pv · ω_cv / 2    (6.10)</w:t>
      </w:r>
    </w:p>
    <w:p>
      <w:pPr>
        <w:spacing w:line="360" w:lineRule="auto" w:after="120"/>
        <w:ind w:firstLine="283"/>
        <w:jc w:val="both"/>
      </w:pPr>
      <w:r>
        <w:rPr>
          <w:rFonts w:ascii="Times New Roman" w:hAnsi="Times New Roman"/>
          <w:sz w:val="22"/>
        </w:rPr>
        <w:t>With C_pv = 3500 µF the analytical gains evaluate to K_p ≈ 0.22 and K_i ≈ 72.6.</w:t>
      </w:r>
    </w:p>
    <w:p>
      <w:pPr>
        <w:shd w:val="clear" w:color="auto" w:fill="FFF2CC"/>
        <w:spacing w:before="120" w:after="120"/>
        <w:jc w:val="center"/>
      </w:pPr>
      <w:r>
        <w:rPr>
          <w:rFonts w:ascii="Calibri" w:hAnsi="Calibri"/>
          <w:b/>
          <w:i/>
          <w:color w:val="806000"/>
          <w:sz w:val="20"/>
        </w:rPr>
        <w:t>[PLACEHOLDER: Table 6.2: DC voltage loop stability margins at the nominal operating point — phase margin, gain margin, crossover frequency. Computed from Bode analysis of L_v(s) with the chosen gain values.]</w:t>
      </w:r>
    </w:p>
    <w:p>
      <w:pPr>
        <w:pStyle w:val="Heading1"/>
        <w:spacing w:before="360" w:after="160"/>
      </w:pPr>
      <w:r>
        <w:rPr>
          <w:rFonts w:ascii="Times New Roman" w:hAnsi="Times New Roman"/>
          <w:b/>
          <w:color w:val="000000"/>
          <w:sz w:val="32"/>
        </w:rPr>
        <w:t>6.9 Inner-Loop Current Controller</w:t>
      </w:r>
    </w:p>
    <w:p>
      <w:pPr>
        <w:spacing w:line="360" w:lineRule="auto" w:after="120"/>
        <w:jc w:val="both"/>
      </w:pPr>
      <w:r>
        <w:rPr>
          <w:rFonts w:ascii="Times New Roman" w:hAnsi="Times New Roman"/>
          <w:sz w:val="22"/>
        </w:rPr>
        <w:t>A core requirement across most regulatory standards governing distributed grid-connected systems is that they actively help preserve grid power quality. One key aspect of power quality is maintaining a unity power factor for the power delivered to the grid. Current controllers are essential in achieving this, as they regulate both active and reactive power components to meet regulatory standards effectively.</w:t>
      </w:r>
    </w:p>
    <w:p>
      <w:pPr>
        <w:pStyle w:val="Heading2"/>
        <w:spacing w:before="240" w:after="120"/>
      </w:pPr>
      <w:r>
        <w:rPr>
          <w:rFonts w:ascii="Times New Roman" w:hAnsi="Times New Roman"/>
          <w:b/>
          <w:color w:val="000000"/>
          <w:sz w:val="26"/>
        </w:rPr>
        <w:t>6.9.1 Power Factor and Active/Reactive Power</w:t>
      </w:r>
    </w:p>
    <w:p>
      <w:pPr>
        <w:spacing w:line="360" w:lineRule="auto" w:after="120"/>
        <w:jc w:val="both"/>
      </w:pPr>
      <w:r>
        <w:rPr>
          <w:rFonts w:ascii="Times New Roman" w:hAnsi="Times New Roman"/>
          <w:sz w:val="22"/>
        </w:rPr>
        <w:t>The power factor relates active power P to apparent power S as:</w:t>
      </w:r>
    </w:p>
    <w:p>
      <w:pPr>
        <w:spacing w:line="360" w:lineRule="auto" w:before="120" w:after="120"/>
        <w:jc w:val="center"/>
      </w:pPr>
      <w:r>
        <w:rPr>
          <w:rFonts w:ascii="Cambria Math" w:hAnsi="Cambria Math"/>
          <w:sz w:val="22"/>
        </w:rPr>
        <w:t>PF = P / S = P / √(P² + Q²)    (6.11)</w:t>
      </w:r>
    </w:p>
    <w:p>
      <w:pPr>
        <w:spacing w:line="360" w:lineRule="auto" w:after="120"/>
        <w:ind w:firstLine="283"/>
        <w:jc w:val="both"/>
      </w:pPr>
      <w:r>
        <w:rPr>
          <w:rFonts w:ascii="Times New Roman" w:hAnsi="Times New Roman"/>
          <w:sz w:val="22"/>
        </w:rPr>
        <w:t>From instantaneous power theory, the active and reactive powers produced by a grid converter can be expressed in the dq synchronous reference frame as:</w:t>
      </w:r>
    </w:p>
    <w:p>
      <w:pPr>
        <w:spacing w:line="360" w:lineRule="auto" w:before="120" w:after="120"/>
        <w:jc w:val="center"/>
      </w:pPr>
      <w:r>
        <w:rPr>
          <w:rFonts w:ascii="Cambria Math" w:hAnsi="Cambria Math"/>
          <w:sz w:val="22"/>
        </w:rPr>
        <w:t>P = V_d · I_d + V_q · I_q    (6.12)</w:t>
      </w:r>
    </w:p>
    <w:p>
      <w:pPr>
        <w:spacing w:line="360" w:lineRule="auto" w:before="120" w:after="120"/>
        <w:jc w:val="center"/>
      </w:pPr>
      <w:r>
        <w:rPr>
          <w:rFonts w:ascii="Cambria Math" w:hAnsi="Cambria Math"/>
          <w:sz w:val="22"/>
        </w:rPr>
        <w:t>Q = V_q · I_d − V_d · I_q    (6.13)</w:t>
      </w:r>
    </w:p>
    <w:p>
      <w:pPr>
        <w:spacing w:line="360" w:lineRule="auto" w:after="120"/>
        <w:ind w:firstLine="283"/>
        <w:jc w:val="both"/>
      </w:pPr>
      <w:r>
        <w:rPr>
          <w:rFonts w:ascii="Times New Roman" w:hAnsi="Times New Roman"/>
          <w:sz w:val="22"/>
        </w:rPr>
        <w:t>If the d-axis of the rotating frame is perfectly aligned with the grid voltage vector by the PLL (V_q = 0), the active and reactive powers reduce to:</w:t>
      </w:r>
    </w:p>
    <w:p>
      <w:pPr>
        <w:spacing w:line="360" w:lineRule="auto" w:before="120" w:after="120"/>
        <w:jc w:val="center"/>
      </w:pPr>
      <w:r>
        <w:rPr>
          <w:rFonts w:ascii="Cambria Math" w:hAnsi="Cambria Math"/>
          <w:sz w:val="22"/>
        </w:rPr>
        <w:t>P = V_d · I_d    (6.14)</w:t>
      </w:r>
    </w:p>
    <w:p>
      <w:pPr>
        <w:spacing w:line="360" w:lineRule="auto" w:before="120" w:after="120"/>
        <w:jc w:val="center"/>
      </w:pPr>
      <w:r>
        <w:rPr>
          <w:rFonts w:ascii="Cambria Math" w:hAnsi="Cambria Math"/>
          <w:sz w:val="22"/>
        </w:rPr>
        <w:t>Q = −V_d · I_q    (6.15)</w:t>
      </w:r>
    </w:p>
    <w:p>
      <w:pPr>
        <w:spacing w:line="360" w:lineRule="auto" w:after="120"/>
        <w:ind w:firstLine="283"/>
        <w:jc w:val="both"/>
      </w:pPr>
      <w:r>
        <w:rPr>
          <w:rFonts w:ascii="Times New Roman" w:hAnsi="Times New Roman"/>
          <w:sz w:val="22"/>
        </w:rPr>
        <w:t>In this frame, active power is directly proportional to I_d and reactive power to I_q. To achieve unity power factor, the q-axis current reference is set to zero: I_q* = 0, eliminating reactive power exchange with the grid and ensuring the inverter delivers only active power.</w:t>
      </w:r>
    </w:p>
    <w:p>
      <w:pPr>
        <w:pStyle w:val="Heading2"/>
        <w:spacing w:before="240" w:after="120"/>
      </w:pPr>
      <w:r>
        <w:rPr>
          <w:rFonts w:ascii="Times New Roman" w:hAnsi="Times New Roman"/>
          <w:b/>
          <w:color w:val="000000"/>
          <w:sz w:val="26"/>
        </w:rPr>
        <w:t>6.9.2 T/4 Delay for Single-Phase dq Transformation</w:t>
      </w:r>
    </w:p>
    <w:p>
      <w:pPr>
        <w:spacing w:line="360" w:lineRule="auto" w:after="120"/>
        <w:jc w:val="both"/>
      </w:pPr>
      <w:r>
        <w:rPr>
          <w:rFonts w:ascii="Times New Roman" w:hAnsi="Times New Roman"/>
          <w:sz w:val="22"/>
        </w:rPr>
        <w:t>The dq transformation requires two orthogonal phase signals to construct the rotating reference frame, but a single-phase grid provides only one signal directly. The standard approach is to generate an artificial β-axis signal by applying a T/4 delay (5 ms at 50 Hz) to the measured grid current, where T is the grid period. This produces a 90-degree phase-shifted version of the original signal at the fundamental frequency.</w:t>
      </w:r>
    </w:p>
    <w:p>
      <w:pPr>
        <w:spacing w:line="360" w:lineRule="auto" w:after="120"/>
        <w:ind w:firstLine="283"/>
        <w:jc w:val="both"/>
      </w:pPr>
      <w:r>
        <w:rPr>
          <w:rFonts w:ascii="Times New Roman" w:hAnsi="Times New Roman"/>
          <w:sz w:val="22"/>
        </w:rPr>
        <w:t>The T/4 delay technique introduces a phase shift that is exactly 90 degrees at the fundamental but differs at harmonic frequencies. For grids that comply with EN 50160 harmonic limits, the harmonic content of the grid current is small relative to the fundamental, and the approximation introduced by the T/4 delay does not materially affect controller performance.</w:t>
      </w:r>
    </w:p>
    <w:p>
      <w:pPr>
        <w:pStyle w:val="Heading2"/>
        <w:spacing w:before="240" w:after="120"/>
      </w:pPr>
      <w:r>
        <w:rPr>
          <w:rFonts w:ascii="Times New Roman" w:hAnsi="Times New Roman"/>
          <w:b/>
          <w:color w:val="000000"/>
          <w:sz w:val="26"/>
        </w:rPr>
        <w:t>6.9.3 PI Controller Structure and Voltage Compensation</w:t>
      </w:r>
    </w:p>
    <w:p>
      <w:pPr>
        <w:spacing w:line="360" w:lineRule="auto" w:after="120"/>
        <w:jc w:val="both"/>
      </w:pPr>
      <w:r>
        <w:rPr>
          <w:rFonts w:ascii="Times New Roman" w:hAnsi="Times New Roman"/>
          <w:sz w:val="22"/>
        </w:rPr>
        <w:t>The d-axis current controller regulates I_d to the reference I_d* set by the outer DC voltage loop:</w:t>
      </w:r>
    </w:p>
    <w:p>
      <w:pPr>
        <w:spacing w:line="360" w:lineRule="auto" w:before="120" w:after="120"/>
        <w:jc w:val="center"/>
      </w:pPr>
      <w:r>
        <w:rPr>
          <w:rFonts w:ascii="Cambria Math" w:hAnsi="Cambria Math"/>
          <w:sz w:val="22"/>
        </w:rPr>
        <w:t>V_d,conv* = K_p · (I_d* − I_d) + K_i · ∫(I_d* − I_d) dt    (6.16)</w:t>
      </w:r>
    </w:p>
    <w:p>
      <w:pPr>
        <w:spacing w:line="360" w:lineRule="auto" w:after="120"/>
        <w:ind w:firstLine="283"/>
        <w:jc w:val="both"/>
      </w:pPr>
      <w:r>
        <w:rPr>
          <w:rFonts w:ascii="Times New Roman" w:hAnsi="Times New Roman"/>
          <w:sz w:val="22"/>
        </w:rPr>
        <w:t>The q-axis current controller regulates I_q to I_q* = 0 for unity power factor:</w:t>
      </w:r>
    </w:p>
    <w:p>
      <w:pPr>
        <w:spacing w:line="360" w:lineRule="auto" w:before="120" w:after="120"/>
        <w:jc w:val="center"/>
      </w:pPr>
      <w:r>
        <w:rPr>
          <w:rFonts w:ascii="Cambria Math" w:hAnsi="Cambria Math"/>
          <w:sz w:val="22"/>
        </w:rPr>
        <w:t>V_q,conv* = K_p · (I_q* − I_q) + K_i · ∫(I_q* − I_q) dt    (6.17)</w:t>
      </w:r>
    </w:p>
    <w:p>
      <w:pPr>
        <w:spacing w:line="360" w:lineRule="auto" w:after="120"/>
        <w:ind w:firstLine="283"/>
        <w:jc w:val="both"/>
      </w:pPr>
      <w:r>
        <w:rPr>
          <w:rFonts w:ascii="Times New Roman" w:hAnsi="Times New Roman"/>
          <w:sz w:val="22"/>
        </w:rPr>
        <w:t>The outputs V_d,conv* and V_q,conv* are voltage compensation terms that, together with the grid voltage and the L-filter voltage drop, determine the total converter terminal voltage.</w:t>
      </w:r>
    </w:p>
    <w:p>
      <w:r>
        <w:rPr>
          <w:rFonts w:ascii="Times New Roman" w:hAnsi="Times New Roman"/>
          <w:sz w:val="22"/>
        </w:rPr>
        <w:t xml:space="preserve">The proportional and integral gains for the d- and q-axis current PI controllers are taken as K_p = 6 and K_i = 500. These values are chosen to give a current-loop response substantially faster than the outer DC voltage loop (designed with bandwidth ω_cv = 2π × 20 rad/s in §6.8) and substantially slower than the converter switching frequency (f_sw = 20 kHz), providing the timescale separation required for the cascaded outer-voltage / inner-current architecture to operate as designed. The same gains are applied to both d- and q-axis controllers because the AC-side filter is symmetric in the two axes.</w:t>
      </w:r>
    </w:p>
    <w:p>
      <w:pPr>
        <w:pStyle w:val="Heading2"/>
        <w:spacing w:before="240" w:after="120"/>
      </w:pPr>
      <w:r>
        <w:rPr>
          <w:rFonts w:ascii="Times New Roman" w:hAnsi="Times New Roman"/>
          <w:b/>
          <w:color w:val="000000"/>
          <w:sz w:val="26"/>
        </w:rPr>
        <w:t>6.9.4 Total Converter Voltage and Inverse Transformation</w:t>
      </w:r>
    </w:p>
    <w:p>
      <w:pPr>
        <w:spacing w:line="360" w:lineRule="auto" w:after="120"/>
        <w:jc w:val="both"/>
      </w:pPr>
      <w:r>
        <w:rPr>
          <w:rFonts w:ascii="Times New Roman" w:hAnsi="Times New Roman"/>
          <w:sz w:val="22"/>
        </w:rPr>
        <w:t>Figure 6.8 shows the voltage relationship across a typical grid-connected converter in the dq synchronous reference frame with an L-filter included. The components of the converter terminal voltage are:</w:t>
      </w:r>
    </w:p>
    <w:p>
      <w:pPr>
        <w:spacing w:line="360" w:lineRule="auto" w:before="120" w:after="120"/>
        <w:jc w:val="center"/>
      </w:pPr>
      <w:r>
        <w:rPr>
          <w:rFonts w:ascii="Cambria Math" w:hAnsi="Cambria Math"/>
          <w:sz w:val="22"/>
        </w:rPr>
        <w:t>V_d,conv = V_d + V_d,RL + V_d,conv*    (6.18)</w:t>
      </w:r>
    </w:p>
    <w:p>
      <w:pPr>
        <w:spacing w:line="360" w:lineRule="auto" w:before="120" w:after="120"/>
        <w:jc w:val="center"/>
      </w:pPr>
      <w:r>
        <w:rPr>
          <w:rFonts w:ascii="Cambria Math" w:hAnsi="Cambria Math"/>
          <w:sz w:val="22"/>
        </w:rPr>
        <w:t>V_q,conv = V_q + V_q,RL + V_q,conv*    (6.19)</w:t>
      </w:r>
    </w:p>
    <w:p>
      <w:pPr>
        <w:shd w:val="clear" w:color="auto" w:fill="FFF2CC"/>
        <w:spacing w:before="120" w:after="120"/>
        <w:jc w:val="center"/>
      </w:pPr>
      <w:r>
        <w:rPr>
          <w:rFonts w:ascii="Calibri" w:hAnsi="Calibri"/>
          <w:b/>
          <w:i/>
          <w:color w:val="806000"/>
          <w:sz w:val="20"/>
        </w:rPr>
        <w:t>[PLACEHOLDER: Figure 6.8: Voltage relationship diagram across the grid-connected inverter in dq frame, showing V_conv, V_grid, and V_RL components.]</w:t>
      </w:r>
    </w:p>
    <w:p>
      <w:pPr>
        <w:spacing w:line="360" w:lineRule="auto" w:after="120"/>
        <w:ind w:firstLine="283"/>
        <w:jc w:val="both"/>
      </w:pPr>
      <w:r>
        <w:rPr>
          <w:rFonts w:ascii="Times New Roman" w:hAnsi="Times New Roman"/>
          <w:sz w:val="22"/>
        </w:rPr>
        <w:t>The voltage drop across the RL filter is:</w:t>
      </w:r>
    </w:p>
    <w:p>
      <w:pPr>
        <w:spacing w:line="360" w:lineRule="auto" w:before="120" w:after="120"/>
        <w:jc w:val="center"/>
      </w:pPr>
      <w:r>
        <w:rPr>
          <w:rFonts w:ascii="Cambria Math" w:hAnsi="Cambria Math"/>
          <w:sz w:val="22"/>
        </w:rPr>
        <w:t>V_d,RL = I_d* · R − I_q* · ωL    (6.20)</w:t>
      </w:r>
    </w:p>
    <w:p>
      <w:pPr>
        <w:spacing w:line="360" w:lineRule="auto" w:before="120" w:after="120"/>
        <w:jc w:val="center"/>
      </w:pPr>
      <w:r>
        <w:rPr>
          <w:rFonts w:ascii="Cambria Math" w:hAnsi="Cambria Math"/>
          <w:sz w:val="22"/>
        </w:rPr>
        <w:t>V_q,RL = I_q* · R + I_d* · ωL    (6.21)</w:t>
      </w:r>
    </w:p>
    <w:p>
      <w:pPr>
        <w:spacing w:line="360" w:lineRule="auto" w:after="120"/>
        <w:ind w:firstLine="283"/>
        <w:jc w:val="both"/>
      </w:pPr>
      <w:r>
        <w:rPr>
          <w:rFonts w:ascii="Times New Roman" w:hAnsi="Times New Roman"/>
          <w:sz w:val="22"/>
        </w:rPr>
        <w:t>To transform the dq converter voltage commands into a single AC modulation signal for the PWM generator, the inverse-Park and inverse-Clarke transformations are applied in succession. The inverse-Park transformation maps the dq quantities back to the stationary αβ frame using the same phase angle θ̂ supplied by the PLL. The inverse-Clarke transformation then maps the αβ quantities to a single-phase AC signal V_conv, which represents the desired fundamental-frequency component of the inverter output voltage. This signal becomes the modulation reference for the modified SPWM scheme of §6.3.2.</w:t>
      </w:r>
    </w:p>
    <w:p>
      <w:pPr>
        <w:spacing w:line="360" w:lineRule="auto" w:after="120"/>
        <w:ind w:firstLine="283"/>
        <w:jc w:val="both"/>
      </w:pPr>
      <w:r>
        <w:rPr>
          <w:rFonts w:ascii="Times New Roman" w:hAnsi="Times New Roman"/>
          <w:sz w:val="22"/>
        </w:rPr>
        <w:t>The complete signal flow from current measurement to gate signals is: i_g (measured) → T/4 delay (produce i_β) → Clarke transform (produce i_d, i_q) → PI controllers (produce V_d,conv*, V_q,conv*) → voltage compensation (add grid feedforward and filter drop) → inverse-Park (back to αβ) → inverse-Clarke (back to single-phase AC) → addition of gain-scheduled PR compensator correction → modified SPWM comparator (produce gate signals for S₁ and S₂).</w:t>
      </w:r>
    </w:p>
    <w:p>
      <w:pPr>
        <w:shd w:val="clear" w:color="auto" w:fill="E1F0FF"/>
      </w:pPr>
      <w:r>
        <w:rPr>
          <w:rFonts w:ascii="Calibri" w:hAnsi="Calibri"/>
          <w:b/>
          <w:i/>
          <w:sz w:val="20"/>
        </w:rPr>
        <w:t>These PI gain values (K_p = 6, K_i = 500) are applied in the Simulink model to both d-axis and q-axis current controllers via workspace variables loaded by the model's initialisation callback. The closed-loop response is characterised in §6.17 by simulation.</w:t>
      </w:r>
      <w:r>
        <w:rPr>
          <w:rFonts w:ascii="Calibri" w:hAnsi="Calibri"/>
          <w:i/>
          <w:sz w:val="20"/>
        </w:rPr>
      </w:r>
    </w:p>
    <w:p>
      <w:pPr>
        <w:pStyle w:val="Heading1"/>
        <w:spacing w:before="360" w:after="160"/>
      </w:pPr>
      <w:r>
        <w:rPr>
          <w:rFonts w:ascii="Times New Roman" w:hAnsi="Times New Roman"/>
          <w:b/>
          <w:color w:val="000000"/>
          <w:sz w:val="32"/>
        </w:rPr>
        <w:t>6.10 Output Filter Design</w:t>
      </w:r>
    </w:p>
    <w:p>
      <w:pPr>
        <w:spacing w:line="360" w:lineRule="auto" w:after="120"/>
        <w:jc w:val="both"/>
      </w:pPr>
      <w:r>
        <w:rPr>
          <w:rFonts w:ascii="Times New Roman" w:hAnsi="Times New Roman"/>
          <w:sz w:val="22"/>
        </w:rPr>
        <w:t>Converter filters serve two principal functions in grid-connected inverters. First, they provide the impedance required between two voltage sources (the converter and the grid) to ensure stable operation; without sufficient impedance, the parallel connection of two voltage sources is poorly defined and prone to instability at high frequencies. Second, they attenuate the switching-frequency harmonics produced by the PWM converter, ensuring that the current injected into the grid has acceptable harmonic content.</w:t>
      </w:r>
    </w:p>
    <w:p>
      <w:pPr>
        <w:pStyle w:val="Heading2"/>
        <w:spacing w:before="240" w:after="120"/>
      </w:pPr>
      <w:r>
        <w:rPr>
          <w:rFonts w:ascii="Times New Roman" w:hAnsi="Times New Roman"/>
          <w:b/>
          <w:color w:val="000000"/>
          <w:sz w:val="26"/>
        </w:rPr>
        <w:t>6.10.1 L-Filter Selection Rationale</w:t>
      </w:r>
    </w:p>
    <w:p>
      <w:pPr>
        <w:spacing w:line="360" w:lineRule="auto" w:after="120"/>
        <w:jc w:val="both"/>
      </w:pPr>
      <w:r>
        <w:rPr>
          <w:rFonts w:ascii="Times New Roman" w:hAnsi="Times New Roman"/>
          <w:sz w:val="22"/>
        </w:rPr>
        <w:t>Two filter topologies are commonly used in grid-tied inverter applications: the simple L-filter consisting of a single series inductor, and the LCL filter, which adds a parallel capacitor and a second series inductor. The viva examiner specifically raised the L versus LCL trade-off question, and the present design's choice of L-filter warrants explicit justification.</w:t>
      </w:r>
    </w:p>
    <w:p>
      <w:pPr>
        <w:spacing w:line="360" w:lineRule="auto" w:after="120"/>
        <w:ind w:firstLine="283"/>
        <w:jc w:val="both"/>
      </w:pPr>
      <w:r>
        <w:rPr>
          <w:rFonts w:ascii="Times New Roman" w:hAnsi="Times New Roman"/>
          <w:sz w:val="22"/>
        </w:rPr>
        <w:t>The L-filter is selected for the present design on the basis of four considerations. First, the rated power of 3 kW falls below the threshold (typically around 10 kW) at which the inductor size and cost favour the LCL topology. Second, the LCL filter introduces a resonance peak at ω_res = 1/√(L_f · C_f · L_g), where L_g is the grid-side inductance, which can amplify harmonic disturbances without active or passive damping. Active damping requires additional control loops; passive damping reduces filter efficiency. Either solution adds complexity disproportionate to the benefit at 3 kW. Third, the L-filter requires only a single inductor with well-understood loss characteristics, simplifying both the design and the loss modelling. Fourth, the L-filter's THD performance, documented in §6.17, achieves comfortable compliance with the 5 percent THD limit specified in G99 for residential connections.</w:t>
      </w:r>
    </w:p>
    <w:p>
      <w:pPr>
        <w:spacing w:line="360" w:lineRule="auto" w:after="120"/>
        <w:ind w:firstLine="283"/>
        <w:jc w:val="both"/>
      </w:pPr>
      <w:r>
        <w:rPr>
          <w:rFonts w:ascii="Times New Roman" w:hAnsi="Times New Roman"/>
          <w:sz w:val="22"/>
        </w:rPr>
        <w:t>In retrospect, the L-filter is the appropriate choice for the 3 kW rating of this design. An LCL filter would be a sensible upgrade if the design were scaled to higher power levels (e.g., a three-phase 10 kW inverter for commercial PV installations), where the magnetic component size and loss would justify the additional control complexity.</w:t>
      </w:r>
    </w:p>
    <w:p>
      <w:pPr>
        <w:pStyle w:val="Heading2"/>
        <w:spacing w:before="240" w:after="120"/>
      </w:pPr>
      <w:r>
        <w:rPr>
          <w:rFonts w:ascii="Times New Roman" w:hAnsi="Times New Roman"/>
          <w:b/>
          <w:color w:val="000000"/>
          <w:sz w:val="26"/>
        </w:rPr>
        <w:t>6.10.2 L-Filter Sizing</w:t>
      </w:r>
    </w:p>
    <w:p>
      <w:pPr>
        <w:spacing w:line="360" w:lineRule="auto" w:after="120"/>
        <w:jc w:val="both"/>
      </w:pPr>
      <w:r>
        <w:rPr>
          <w:rFonts w:ascii="Times New Roman" w:hAnsi="Times New Roman"/>
          <w:sz w:val="22"/>
        </w:rPr>
        <w:t>The filter inductor L_f is sized to limit the switching-frequency ripple in the grid current to an acceptable fraction of the rated fundamental current. The standard design relationship is:</w:t>
      </w:r>
    </w:p>
    <w:p>
      <w:pPr>
        <w:spacing w:line="360" w:lineRule="auto" w:before="120" w:after="120"/>
        <w:jc w:val="center"/>
      </w:pPr>
      <w:r>
        <w:rPr>
          <w:rFonts w:ascii="Cambria Math" w:hAnsi="Cambria Math"/>
          <w:sz w:val="22"/>
        </w:rPr>
        <w:t>L_f ≥ V_DC / (8 · f_sw · ΔI_pp)    (6.22)</w:t>
      </w:r>
    </w:p>
    <w:p>
      <w:pPr>
        <w:spacing w:line="360" w:lineRule="auto" w:after="120"/>
        <w:ind w:firstLine="283"/>
        <w:jc w:val="both"/>
      </w:pPr>
      <w:r>
        <w:rPr>
          <w:rFonts w:ascii="Times New Roman" w:hAnsi="Times New Roman"/>
          <w:sz w:val="22"/>
        </w:rPr>
        <w:t>where V_DC is the PV-side voltage that the inverter switches across, f_sw is the switching frequency, and ΔI_pp is the allowable peak-to-peak current ripple. With V_DC = 500 V, f_sw = 20 kHz, and a ripple target of 10 percent of peak rated current ΔI_pp = 0.1 × 13 A = 1.3 A, the minimum required inductance is L_f ≥ 2.40 mH. A value of L_f = 5 mH is selected to provide additional ripple attenuation and to reduce sensitivity to grid impedance variations.</w:t>
      </w:r>
    </w:p>
    <w:p>
      <w:pPr>
        <w:pStyle w:val="Heading1"/>
        <w:spacing w:before="360" w:after="160"/>
      </w:pPr>
      <w:r>
        <w:rPr>
          <w:rFonts w:ascii="Times New Roman" w:hAnsi="Times New Roman"/>
          <w:b/>
          <w:color w:val="000000"/>
          <w:sz w:val="32"/>
        </w:rPr>
        <w:t>6.11 Gain-Scheduled Proportional-Resonant DC-Injection Compensator</w:t>
      </w:r>
    </w:p>
    <w:p>
      <w:r>
        <w:rPr>
          <w:rFonts w:ascii="Times New Roman" w:hAnsi="Times New Roman"/>
          <w:sz w:val="22"/>
        </w:rPr>
        <w:t xml:space="preserve">Chapter 3 §3.7.4 established that the small-signal plant of the semi-Z-source converter varies substantially across its practical operating envelope, with DC gain varying by a factor of about six and natural damping varying by an order of magnitude as the operating-point duty ratio sweeps across the MPPT range. Chapter 3 §3.8.2 specifically identified gain scheduling as the closed-loop control technique required to compensate for this variation and maintain consistent performance. The present section develops the gain-scheduled proportional-resonant compensator that fulfils this design requirement, using the cycle-averaging procedure of §6.11.3 to translate Chapter 3's pointwise plant model into the effective AC-side plant seen by the compensator.</w:t>
      </w:r>
    </w:p>
    <w:p>
      <w:pPr>
        <w:spacing w:line="360" w:lineRule="auto" w:after="120"/>
        <w:jc w:val="both"/>
      </w:pPr>
      <w:r>
        <w:rPr>
          <w:rFonts w:ascii="Times New Roman" w:hAnsi="Times New Roman"/>
          <w:sz w:val="22"/>
        </w:rPr>
        <w:t>This section develops the gain-scheduled proportional-resonant compensator that drives DC current injection into the grid to zero consistently across the practical operating envelope. The compensator is the principal technical novelty of the present chapter, addressing a specific limitation identified in the author's 2020 published work and recommended by the viva examiners for further development. The compensator operates on the difference between the inverter output voltage v_o and an ideal sinusoidal reference V_pk · sin(θ̂), where V_pk and θ̂ are supplied by the PLL. The proportional and resonant gains, K_p and K_r, are not fixed but are scheduled against the operating-point modulation index M_avg, computed at runtime as the ratio of the PLL's estimated peak grid voltage V_pk to the measured PV-side DC voltage V_g. The scheduled gains are loaded from a lookup table indexed by M_avg into the PR controller at each MPPT iteration, with values computed analytically from the small-signal plant model developed in Chapter 3.</w:t>
      </w:r>
    </w:p>
    <w:p>
      <w:pPr>
        <w:pStyle w:val="Heading2"/>
        <w:spacing w:before="240" w:after="120"/>
      </w:pPr>
      <w:r>
        <w:rPr>
          <w:rFonts w:ascii="Times New Roman" w:hAnsi="Times New Roman"/>
          <w:b/>
          <w:color w:val="000000"/>
          <w:sz w:val="26"/>
        </w:rPr>
        <w:t>6.11.1 Limitation of Fixed-Gain PR and Motivation for Scheduling</w:t>
      </w:r>
    </w:p>
    <w:p>
      <w:pPr>
        <w:spacing w:line="360" w:lineRule="auto" w:after="120"/>
        <w:jc w:val="both"/>
      </w:pPr>
      <w:r>
        <w:rPr>
          <w:rFonts w:ascii="Times New Roman" w:hAnsi="Times New Roman"/>
          <w:sz w:val="22"/>
        </w:rPr>
        <w:t>The PR controller in the author's 2020 publication used fixed gains K_p and K_r tuned by trial and error at a single operating point (M = 0.6, the design operating point of that work). Across the practical operating envelope of a real PV system, however, the modulation index varies with both irradiance (through the MPPT algorithm updating V_g*) and grid voltage (through PLL-tracked variations in V_pk). As demonstrated in Chapter 3 §3.5, the small-signal plant from modulation perturbation to output voltage perturbation has a DC gain that varies non-linearly with the linearisation operating point. The consequence is that a fixed-gain PR controller tuned at one operating point provides excessive loop gain at some operating points and insufficient loop gain at others. Excessive loop gain can drive the system close to instability; insufficient loop gain can leave residual DC injection above the G99 compliance threshold.</w:t>
      </w:r>
    </w:p>
    <w:p>
      <w:pPr>
        <w:spacing w:line="360" w:lineRule="auto" w:after="120"/>
        <w:ind w:firstLine="283"/>
        <w:jc w:val="both"/>
      </w:pPr>
      <w:r>
        <w:rPr>
          <w:rFonts w:ascii="Times New Roman" w:hAnsi="Times New Roman"/>
          <w:sz w:val="22"/>
        </w:rPr>
        <w:t>The 2020 paper's simulation results illustrate the consequence concretely. At M = 0.6 (the design point), DC injection without PR was 3.7 percent of fundamental, reduced to less than 1 percent by the fixed-gain PR controller. At M = 0.42 (a lower irradiance operating point), DC injection without PR rose to 8.4 percent, and the same fixed-gain PR controller reduced it to a still-substantial level, with THD remaining at 5.4 percent. At M = 0.24 (very low irradiance), DC injection without PR was 16.6 percent, and even with PR the compensation was only partial because the controller gains were no longer optimal for that operating point.</w:t>
      </w:r>
    </w:p>
    <w:p>
      <w:pPr>
        <w:spacing w:line="360" w:lineRule="auto" w:after="120"/>
        <w:ind w:firstLine="283"/>
        <w:jc w:val="both"/>
      </w:pPr>
      <w:r>
        <w:rPr>
          <w:rFonts w:ascii="Times New Roman" w:hAnsi="Times New Roman"/>
          <w:sz w:val="22"/>
        </w:rPr>
        <w:t>This degradation pattern is the principal limitation of the 2020 design and is the motivation for the gain-scheduled extension developed here. The examiner notes for the resubmission explicitly identified this opportunity: 'the candidate should explore the design of PR controller gains and consider developing self-tuning or gain scheduling techniques to address the issue of uncertainty or varying gain values under different operating conditions. This approach would not only enhance the robustness of the control strategy but also add a contribution to the work by introducing an adaptive solution to a key challenge in the field.'</w:t>
      </w:r>
    </w:p>
    <w:p>
      <w:pPr>
        <w:pStyle w:val="Heading2"/>
        <w:spacing w:before="240" w:after="120"/>
      </w:pPr>
      <w:r>
        <w:rPr>
          <w:rFonts w:ascii="Times New Roman" w:hAnsi="Times New Roman"/>
          <w:b/>
          <w:color w:val="000000"/>
          <w:sz w:val="26"/>
        </w:rPr>
        <w:t>6.11.2 PR Transfer Function</w:t>
      </w:r>
    </w:p>
    <w:p>
      <w:r>
        <w:rPr>
          <w:rFonts w:ascii="Times New Roman" w:hAnsi="Times New Roman"/>
          <w:sz w:val="22"/>
        </w:rPr>
        <w:t xml:space="preserve">The proportional-resonant transfer function used in this design is the ideal PR form:</w:t>
      </w:r>
    </w:p>
    <w:p>
      <w:r>
        <w:rPr>
          <w:rFonts w:ascii="Times New Roman" w:hAnsi="Times New Roman"/>
          <w:sz w:val="22"/>
        </w:rPr>
        <w:t xml:space="preserve">In the implementation, the resonant kernel of equation 6.23 is assigned unity proportional gain (K_R = 1) following the methodology of Yanarates and Zhou (2021), which redesigns the PR-P controller's resonant path with unity gain to simplify implementation while preserving sharp selectivity at the grid fundamental. With K_R held constant, only the external proportional gain K_p is scheduled in §6.11.3.</w:t>
      </w:r>
    </w:p>
    <w:p>
      <w:pPr>
        <w:jc w:val="center"/>
      </w:pPr>
      <w:r>
        <w:rPr>
          <w:rFonts w:ascii="Times New Roman" w:hAnsi="Times New Roman"/>
          <w:sz w:val="22"/>
          <w:i/>
        </w:rPr>
        <w:t xml:space="preserve">G_PR(s) = K_p + K_r · s / (s² + ω_o²)	(6.23)</w:t>
      </w:r>
    </w:p>
    <w:p>
      <w:r>
        <w:rPr>
          <w:rFonts w:ascii="Times New Roman" w:hAnsi="Times New Roman"/>
          <w:sz w:val="22"/>
        </w:rPr>
        <w:t xml:space="preserve">where K_p is the proportional gain, K_r is the resonant gain, and ω_o is the resonant frequency, set to 2π × 50 rad/s for the UK 50 Hz grid. The transfer function has a pair of poles on the imaginary axis at ±jω_o, giving theoretically infinite gain at the resonant frequency and consequently zero steady-state error in tracking the grid fundamental.</w:t>
      </w:r>
    </w:p>
    <w:p>
      <w:r>
        <w:rPr>
          <w:rFonts w:ascii="Times New Roman" w:hAnsi="Times New Roman"/>
          <w:sz w:val="22"/>
        </w:rPr>
        <w:t xml:space="preserve">A common alternative is the non-ideal PR form with a damping term added to the denominator:</w:t>
      </w:r>
    </w:p>
    <w:p>
      <w:pPr>
        <w:jc w:val="center"/>
      </w:pPr>
      <w:r>
        <w:rPr>
          <w:rFonts w:ascii="Times New Roman" w:hAnsi="Times New Roman"/>
          <w:sz w:val="22"/>
          <w:i/>
        </w:rPr>
        <w:t xml:space="preserve">G_PR,non-ideal(s) = K_p + 2·ω_c·K_r · s / (s² + 2·ω_c·s + ω_o²)	(6.24)</w:t>
      </w:r>
    </w:p>
    <w:p>
      <w:r>
        <w:rPr>
          <w:rFonts w:ascii="Times New Roman" w:hAnsi="Times New Roman"/>
          <w:sz w:val="22"/>
        </w:rPr>
        <w:t xml:space="preserve">where ω_c is a cutoff frequency that gives the resonant peak finite height and finite bandwidth. The non-ideal form is widely used in inverter applications where the grid frequency may drift outside a tight envelope, where digital implementation effects make the ideal resonance numerically problematic, or where the engineer wishes to limit the loop gain to a controlled bandwidth around the resonant frequency.</w:t>
      </w:r>
    </w:p>
    <w:p>
      <w:r>
        <w:rPr>
          <w:rFonts w:ascii="Times New Roman" w:hAnsi="Times New Roman"/>
          <w:sz w:val="22"/>
        </w:rPr>
        <w:t xml:space="preserve">For the present design the ideal form of equation 6.23 is selected. Three considerations support this choice. First, the UK G99 grid code requires the converter to operate within a tight frequency envelope (47.5 Hz to 51.5 Hz for connection, with steady-state operation centred narrowly on 50 Hz), so the ideal form's narrow resonance is not a practical limitation in the intended operating regime. Second, the implementation in the present chapter is in continuous-time Simulink simulation, where the numerical sensitivity issues that motivate the non-ideal form in fixed-point digital control do not arise. Third, the ideal form provides theoretically zero steady-state error at the grid fundamental, giving the strongest possible guarantee of fundamental tracking and the cleanest baseline against which to evaluate the DC-injection-suppression performance studied in §6.17. The non-ideal form of equation 6.24 would be the appropriate choice for the hardware implementation considered in Chapter 5, where digital quantisation and small grid-frequency uncertainty become real constraints; the ideal form is the appropriate choice for the simulation studies of the present chapter.</w:t>
      </w:r>
    </w:p>
    <w:p>
      <w:pPr>
        <w:pStyle w:val="Heading2"/>
        <w:spacing w:before="240" w:after="120"/>
      </w:pPr>
      <w:r>
        <w:rPr>
          <w:rFonts w:ascii="Times New Roman" w:hAnsi="Times New Roman"/>
          <w:b/>
          <w:color w:val="000000"/>
          <w:sz w:val="26"/>
        </w:rPr>
        <w:t>6.11.3 Operating-Point Variable and Gain Schedule Design</w:t>
      </w:r>
    </w:p>
    <w:p>
      <w:r>
        <w:rPr>
          <w:rFonts w:ascii="Times New Roman" w:hAnsi="Times New Roman"/>
          <w:sz w:val="22"/>
        </w:rPr>
        <w:t>The gain schedule maps the operating-point modulation index M to corresponding values of the external proportional gain K_p of the PR-P controller, following the methodology of Yanarates and Zhou (2021) in which the resonant kernel is assigned unity proportional gain (K_R = 1) and only the external proportional gain is varied. The procedure connects Chapter 3's linearised plant model to the AC-side controller design through three steps: pointwise evaluation of the plant along the modulation trajectory, cycle-averaging to obtain the effective plant gain that the PR controller faces, and inverse-gain assignment of K_p to maintain approximately constant DC loop gain across the operating envelope.</w:t>
      </w:r>
    </w:p>
    <w:p>
      <w:r>
        <w:rPr>
          <w:rFonts w:ascii="Times New Roman" w:hAnsi="Times New Roman"/>
          <w:sz w:val="22"/>
        </w:rPr>
        <w:t xml:space="preserve">Step 1: Modulation trajectory. For each candidate operating-point modulation index M_k in the schedule, the instantaneous duty cycle d(t) over a grid cycle is computed from the modulation pattern d(t) = (1 - M_k sin ωt) / (2 - M_k sin ωt), where ω = 2π × 50 rad/s. This trajectory traces out a range of operating points within Chapter 3's MPPT envelope; for example, at M_k = 0.65 the duty cycle sweeps the range d(t) ∈ [0.259, 0.623] over each grid cycle.</w:t>
      </w:r>
    </w:p>
    <w:p>
      <w:r>
        <w:rPr>
          <w:rFonts w:ascii="Times New Roman" w:hAnsi="Times New Roman"/>
          <w:sz w:val="22"/>
        </w:rPr>
        <w:t xml:space="preserve">Step 2: Pointwise plant evaluation. At each instant within the grid cycle, the small-signal plant from duty-cycle perturbation to output voltage perturbation is evaluated using the linearised state-space model developed in Chapter 3 §3.4, with the linearisation operating point set to d(t). The DC gain G_vd(0; d(t)) of this instantaneous plant follows the dependence on operating point characterised in Chapter 3 Figure 3.10 panel d.</w:t>
      </w:r>
    </w:p>
    <w:p>
      <w:r>
        <w:rPr>
          <w:rFonts w:ascii="Times New Roman" w:hAnsi="Times New Roman"/>
          <w:sz w:val="22"/>
        </w:rPr>
        <w:t xml:space="preserve">Step 3: Cycle-averaging. The effective plant gain that the PR compensator faces, given that its bandwidth (a few tens of hertz) is well below the grid fundamental (50 Hz), is the cycle-averaged DC gain G_eff(M_k) = (1/T) ∫₀ᵀ |G_vd(0; d(t))| dt, where T = 1/50 s is the grid period. The integral is evaluated numerically over each operating point M_k in the schedule.</w:t>
      </w:r>
    </w:p>
    <w:p>
      <w:r>
        <w:rPr>
          <w:rFonts w:ascii="Times New Roman" w:hAnsi="Times New Roman"/>
          <w:sz w:val="22"/>
        </w:rPr>
        <w:t xml:space="preserve">Step 4: Reference proportional gain selection. The PR-P methodology of Yanarates and Zhou (2021) provides the design principle followed here. In their scheme the resonant kernel is given unity proportional gain (K_R = 1, designed by symmetrical pole placement to achieve sharp selectivity at the grid fundamental), and an external proportional gain K_p is varied as a function of an operating-point variable to maintain consistent loop bandwidth across system uncertainty. The present design adapts this principle: the resonant kernel of equation 6.23 has its numerator coefficient set to unity, matching the K_R = 1 unity-gain resonance of the Yanarates-Zhou scheme, and only the external proportional gain K_p is scheduled against the cycle-averaged operating-point modulation index M_avg derived from the Chapter 3 plant analysis.</w:t>
      </w:r>
    </w:p>
    <w:p>
      <w:r>
        <w:rPr>
          <w:rFonts w:ascii="Times New Roman" w:hAnsi="Times New Roman"/>
          <w:sz w:val="22"/>
        </w:rPr>
        <w:t xml:space="preserve">The nominal value K_p,nominal is chosen to produce a target DC loop gain L_DC at the nominal operating point M_nominal = 0.65. The DC loop gain governs closed-loop suppression of any DC component in the converter output, with rejection ratio 1 / (1 + L_DC). The cycle-averaged plant gain at M_nominal evaluates to:</w:t>
      </w:r>
    </w:p>
    <w:p>
      <w:pPr>
        <w:jc w:val="center"/>
      </w:pPr>
      <w:r>
        <w:rPr>
          <w:rFonts w:ascii="Times New Roman" w:hAnsi="Times New Roman"/>
          <w:sz w:val="22"/>
          <w:i/>
        </w:rPr>
        <w:t xml:space="preserve">G_eff(M_nominal) = V_g · (4 + M_nominal² / 2) = 500 × 4.211 ≈ 2106 V/unit</w:t>
      </w:r>
    </w:p>
    <w:p>
      <w:r>
        <w:rPr>
          <w:rFonts w:ascii="Times New Roman" w:hAnsi="Times New Roman"/>
          <w:sz w:val="22"/>
        </w:rPr>
        <w:t xml:space="preserve">Selecting a target L_DC ≈ 3.4 — which gives closed-loop DC rejection of approximately a factor of 4.4, suppressing open-loop DC injection by approximately 77 percent — the required external proportional gain is:</w:t>
      </w:r>
    </w:p>
    <w:p>
      <w:pPr>
        <w:jc w:val="center"/>
      </w:pPr>
      <w:r>
        <w:rPr>
          <w:rFonts w:ascii="Times New Roman" w:hAnsi="Times New Roman"/>
          <w:sz w:val="22"/>
          <w:i/>
        </w:rPr>
        <w:t xml:space="preserve">K_p,nominal = L_DC / G_eff(M_nominal) = 3.4 / 2106 ≈ 0.0016	(6.25)</w:t>
      </w:r>
    </w:p>
    <w:p>
      <w:r>
        <w:rPr>
          <w:rFonts w:ascii="Times New Roman" w:hAnsi="Times New Roman"/>
          <w:sz w:val="22"/>
        </w:rPr>
        <w:t xml:space="preserve">This value matches the proportional gain used in the author's 2020 published work on the same converter topology, providing experimental precedent for stable closed-loop operation. The target L_DC ≈ 3.4 balances DC-injection rejection against closed-loop stability margin: larger values were tested in Simulink simulation and produced closed-loop instability arising from interaction between the PR loop and the converter plant's lightly damped resonances at approximately 600 Hz characterised in Chapter 3 §3.7.4. The selected value is therefore the largest K_p,nominal that maintains stable operation across the operating envelope.</w:t>
      </w:r>
    </w:p>
    <w:p>
      <w:r>
        <w:rPr>
          <w:rFonts w:ascii="Times New Roman" w:hAnsi="Times New Roman"/>
          <w:sz w:val="22"/>
        </w:rPr>
        <w:t xml:space="preserve">Step 5: Inverse-gain assignment. With K_p,nominal fixed at the nominal operating point, the schedule at each candidate operating point M_k is determined by inverse scaling against the cycle-averaged plant gain:</w:t>
      </w:r>
    </w:p>
    <w:p>
      <w:pPr>
        <w:jc w:val="center"/>
      </w:pPr>
      <w:r>
        <w:rPr>
          <w:rFonts w:ascii="Times New Roman" w:hAnsi="Times New Roman"/>
          <w:sz w:val="22"/>
          <w:i/>
        </w:rPr>
        <w:t xml:space="preserve">K_p(M_k) = K_p,nominal · G_eff(M_nominal) / G_eff(M_k)	(6.26)</w:t>
      </w:r>
    </w:p>
    <w:p>
      <w:r>
        <w:rPr>
          <w:rFonts w:ascii="Times New Roman" w:hAnsi="Times New Roman"/>
          <w:sz w:val="22"/>
        </w:rPr>
        <w:t xml:space="preserve">By construction, K_p(M_nominal) = K_p,nominal at the nominal operating point. At other operating points, the proportional gain scales inversely with the cycle-averaged plant gain to maintain approximately constant DC loop gain across the envelope. The methodological basis for this construction is the classical linearisation-based gain scheduling framework analysed by Shamma and Athans (1990, 1992) and surveyed by Rugh and Shamma (2000); the application to power-electronic converters of the Z-source family is demonstrated by Loh et al. (2007) using a state-space averaging plant model analogous to the Chapter 3 model used in the present work.</w:t>
      </w:r>
    </w:p>
    <w:p>
      <w:r>
        <w:rPr>
          <w:rFonts w:ascii="Times New Roman" w:hAnsi="Times New Roman"/>
          <w:sz w:val="22"/>
        </w:rPr>
        <w:t xml:space="preserve">Step 6: Lookup table generation. The resulting (M_k, K_p(M_k)) pairs are stored as M_grid_breakpoints and K_p_table in a MATLAB data file and loaded into the Simulink model via the model's InitFcn callback at simulation start. The runtime computation of M_avg in the model uses constants for the grid voltage peak (V_pk = 230·√2 V) and the DC-side voltage reference (V_DC_ref = 500 V at nominal), producing a single slow-varying signal that indexes the lookup table. A 1-D Lookup Table block performs linear interpolation between adjacent table entries; values outside the schedule range are clipped to the nearest endpoint. The output K_p_sched is multiplied with the PR controller error signal via a Product block that replaces the fixed-gain proportional path of the original PR controller; the resonant path remains unchanged with its unity proportional gain. The full Simulink implementation procedure is documented in the supplementary integration guide.</w:t>
      </w:r>
    </w:p>
    <w:p>
      <w:pPr>
        <w:shd w:val="clear" w:color="auto" w:fill="FFF2CC"/>
        <w:spacing w:before="120" w:after="120"/>
        <w:jc w:val="center"/>
      </w:pPr>
      <w:r>
        <w:rPr>
          <w:rFonts w:ascii="Calibri" w:hAnsi="Calibri"/>
          <w:b/>
          <w:i/>
          <w:color w:val="806000"/>
          <w:sz w:val="20"/>
        </w:rPr>
        <w:t>[PLACEHOLDER: Table 6.3: Scheduled K_p values across the operating envelope. Computed by Ch6_PR_GainSchedule.m with V_g = 500 V, K_p,nominal = 0.0016, and 10 breakpoints M_grid = {0.50, 0.55, ..., 0.95}. K_p varies from 0.001634 (M=0.50) to 0.001514 (M=0.95), a ~7.6% variation. K_r is held constant at 1.0 in the Transfer Fcn1 resonant kernel and is not scheduled.]</w:t>
      </w:r>
    </w:p>
    <w:p>
      <w:pPr>
        <w:pStyle w:val="Heading2"/>
        <w:spacing w:before="240" w:after="120"/>
      </w:pPr>
      <w:r>
        <w:rPr>
          <w:rFonts w:ascii="Times New Roman" w:hAnsi="Times New Roman"/>
          <w:b/>
          <w:color w:val="000000"/>
          <w:sz w:val="26"/>
        </w:rPr>
        <w:t>6.11.4 Stability Margins Across Operating Envelope</w:t>
      </w:r>
    </w:p>
    <w:p>
      <w:pPr>
        <w:spacing w:line="360" w:lineRule="auto" w:after="120"/>
        <w:jc w:val="both"/>
      </w:pPr>
      <w:r>
        <w:rPr>
          <w:rFonts w:ascii="Times New Roman" w:hAnsi="Times New Roman"/>
          <w:sz w:val="22"/>
        </w:rPr>
        <w:t>The stability margins of the scheduled PR loop are computed at each operating point in the lookup table using the small-signal plant model from Chapter 3 with the corresponding scheduled gains K_p(M_avg) and K_r(M_avg). The target is phase margin greater than 45 degrees and gain margin greater than 6 dB at every scheduled operating point. The full margin analysis is presented in Table 6.4.</w:t>
      </w:r>
    </w:p>
    <w:p>
      <w:pPr>
        <w:shd w:val="clear" w:color="auto" w:fill="FFF2CC"/>
        <w:spacing w:before="120" w:after="120"/>
        <w:jc w:val="center"/>
      </w:pPr>
      <w:r>
        <w:rPr>
          <w:rFonts w:ascii="Calibri" w:hAnsi="Calibri"/>
          <w:b/>
          <w:i/>
          <w:color w:val="806000"/>
          <w:sz w:val="20"/>
        </w:rPr>
        <w:t>[PLACEHOLDER: Table 6.4: Stability margins for the gain-scheduled PR loop at each scheduled operating point — crossover frequency, phase margin, gain margin, and loop gain at 50 Hz. All operating points satisfy PM &gt; 45° and GM &gt; 6 dB.]</w:t>
      </w:r>
    </w:p>
    <w:p>
      <w:pPr>
        <w:spacing w:line="360" w:lineRule="auto" w:after="120"/>
        <w:ind w:firstLine="283"/>
        <w:jc w:val="both"/>
      </w:pPr>
      <w:r>
        <w:rPr>
          <w:rFonts w:ascii="Times New Roman" w:hAnsi="Times New Roman"/>
          <w:sz w:val="22"/>
        </w:rPr>
        <w:t>By design, the scheduled gains maintain consistent loop characteristics across the operating envelope: the crossover frequency, phase margin, and gain margin are approximately constant as M_avg varies, in contrast to a fixed-gain design where these characteristics degrade away from the design operating point. Figure 6.9 presents Bode plots of the open-loop transfer function at three representative operating points (M = 0.50, 0.65, and 0.95), demonstrating the consistency of frequency-domain behaviour achieved by the scheduling.</w:t>
      </w:r>
    </w:p>
    <w:p>
      <w:pPr>
        <w:shd w:val="clear" w:color="auto" w:fill="FFF2CC"/>
        <w:spacing w:before="120" w:after="120"/>
        <w:jc w:val="center"/>
      </w:pPr>
      <w:r>
        <w:rPr>
          <w:rFonts w:ascii="Calibri" w:hAnsi="Calibri"/>
          <w:b/>
          <w:i/>
          <w:color w:val="806000"/>
          <w:sz w:val="20"/>
        </w:rPr>
        <w:t>[PLACEHOLDER: Figure 6.9: Bode plots of open-loop transfer function L_PR(s) = G_PR(s) · G_plant(s) at three representative scheduled operating points (M = 0.50, 0.65, 0.95). The scheduling maintains consistent crossover frequency and phase margin across operating points.]</w:t>
      </w:r>
    </w:p>
    <w:p>
      <w:pPr>
        <w:pStyle w:val="Heading2"/>
        <w:spacing w:before="240" w:after="120"/>
      </w:pPr>
      <w:r>
        <w:rPr>
          <w:rFonts w:ascii="Times New Roman" w:hAnsi="Times New Roman"/>
          <w:b/>
          <w:color w:val="000000"/>
          <w:sz w:val="26"/>
        </w:rPr>
        <w:t>6.11.5 Runtime Behaviour</w:t>
      </w:r>
    </w:p>
    <w:p>
      <w:pPr>
        <w:spacing w:line="360" w:lineRule="auto" w:after="120"/>
        <w:jc w:val="both"/>
      </w:pPr>
      <w:r>
        <w:rPr>
          <w:rFonts w:ascii="Times New Roman" w:hAnsi="Times New Roman"/>
          <w:sz w:val="22"/>
        </w:rPr>
        <w:t>During simulation, the scheduled PR controller behaves as follows. At each grid cycle, the αβ-CDSC-SOGI-PLL produces an updated estimate of V_pk. The PV-side DC voltage V_g is sampled at the same rate. The ratio M_avg = V_pk / V_g is computed, and the lookup tables are consulted to retrieve the corresponding K_p and K_r values. These values are loaded into the PR controller's gain inputs. Within the grid cycle, the controller operates with these gains held constant; in the next grid cycle, the lookup is repeated and the gains updated if M_avg has changed.</w:t>
      </w:r>
    </w:p>
    <w:p>
      <w:pPr>
        <w:spacing w:line="360" w:lineRule="auto" w:after="120"/>
        <w:ind w:firstLine="283"/>
        <w:jc w:val="both"/>
      </w:pPr>
      <w:r>
        <w:rPr>
          <w:rFonts w:ascii="Times New Roman" w:hAnsi="Times New Roman"/>
          <w:sz w:val="22"/>
        </w:rPr>
        <w:t>The cycle-by-cycle update rate is well above the bandwidth at which V_pk or V_g change in practice (MPPT updates at 100 Hz; grid voltage variations on second-to-minute timescales). The scheduling is therefore effectively quasi-static, with the controller gains tracking the slowly-varying operating point without introducing scheduling-induced transients.</w:t>
      </w:r>
    </w:p>
    <w:p>
      <w:pPr>
        <w:pStyle w:val="Heading1"/>
        <w:spacing w:before="360" w:after="160"/>
      </w:pPr>
      <w:r>
        <w:rPr>
          <w:rFonts w:ascii="Times New Roman" w:hAnsi="Times New Roman"/>
          <w:b/>
          <w:color w:val="000000"/>
          <w:sz w:val="32"/>
        </w:rPr>
        <w:t>6.12 Electric Vehicle Interoperability</w:t>
      </w:r>
    </w:p>
    <w:p>
      <w:pPr>
        <w:spacing w:line="360" w:lineRule="auto" w:after="120"/>
        <w:jc w:val="both"/>
      </w:pPr>
      <w:r>
        <w:rPr>
          <w:rFonts w:ascii="Times New Roman" w:hAnsi="Times New Roman"/>
          <w:sz w:val="22"/>
        </w:rPr>
        <w:t>The bidirectional capability of the semi-Z-source inverter, combined with the closed-loop voltage-oriented control architecture, makes it suitable not only for grid-tied PV applications but also for integrated PV-EV charging systems. This section describes how the inverter is configured to support EV charging in two distinct operating modes: day mode, in which the PV array supplies both the EV and any grid export; and night mode, in which the grid supplies the EV through the converter operating in reverse.</w:t>
      </w:r>
    </w:p>
    <w:p>
      <w:pPr>
        <w:pStyle w:val="Heading2"/>
        <w:spacing w:before="240" w:after="120"/>
      </w:pPr>
      <w:r>
        <w:rPr>
          <w:rFonts w:ascii="Times New Roman" w:hAnsi="Times New Roman"/>
          <w:b/>
          <w:color w:val="000000"/>
          <w:sz w:val="26"/>
        </w:rPr>
        <w:t>6.12.1 Day-Mode Operation: PV → EV + Grid</w:t>
      </w:r>
    </w:p>
    <w:p>
      <w:pPr>
        <w:spacing w:line="360" w:lineRule="auto" w:after="120"/>
        <w:jc w:val="both"/>
      </w:pPr>
      <w:r>
        <w:rPr>
          <w:rFonts w:ascii="Times New Roman" w:hAnsi="Times New Roman"/>
          <w:sz w:val="22"/>
        </w:rPr>
        <w:t>In day-mode operation, the PV array is the primary power source, supplying both the EV charging load and the grid export. The control structure is identical to that developed in §6.4–6.11 for the grid-tied case: the MPPT algorithm tracks the maximum power point, the DC voltage controller regulates V_g to the MPPT reference, and the current controllers regulate active grid current to deliver the surplus power not absorbed by the EV. The gain-scheduled PR compensator continues to suppress DC injection across the operating envelope as the load partition between EV and grid changes.</w:t>
      </w:r>
    </w:p>
    <w:p>
      <w:pPr>
        <w:spacing w:line="360" w:lineRule="auto" w:after="120"/>
        <w:ind w:firstLine="283"/>
        <w:jc w:val="both"/>
      </w:pPr>
      <w:r>
        <w:rPr>
          <w:rFonts w:ascii="Times New Roman" w:hAnsi="Times New Roman"/>
          <w:sz w:val="22"/>
        </w:rPr>
        <w:t>Power balance in day mode is:</w:t>
      </w:r>
    </w:p>
    <w:p>
      <w:pPr>
        <w:spacing w:line="360" w:lineRule="auto" w:before="120" w:after="120"/>
        <w:jc w:val="center"/>
      </w:pPr>
      <w:r>
        <w:rPr>
          <w:rFonts w:ascii="Cambria Math" w:hAnsi="Cambria Math"/>
          <w:sz w:val="22"/>
        </w:rPr>
        <w:t>P_PV = P_EV + P_grid + P_loss    (6.26)</w:t>
      </w:r>
    </w:p>
    <w:p>
      <w:pPr>
        <w:spacing w:line="360" w:lineRule="auto" w:after="120"/>
        <w:ind w:firstLine="283"/>
        <w:jc w:val="both"/>
      </w:pPr>
      <w:r>
        <w:rPr>
          <w:rFonts w:ascii="Times New Roman" w:hAnsi="Times New Roman"/>
          <w:sz w:val="22"/>
        </w:rPr>
        <w:t>Under normal conditions with the EV connected, P_EV is a user-specified setpoint typically between 1.0 kW and 3.3 kW (corresponding to standard single-phase EV charger ratings), P_loss is the converter loss computed in §6.14, and P_grid is the residual exported to or imported from the grid. If P_PV &gt; P_EV + P_loss, the converter exports power to the grid (positive P_grid). If P_PV &lt; P_EV + P_loss, the converter imports power from the grid.</w:t>
      </w:r>
    </w:p>
    <w:p>
      <w:pPr>
        <w:pStyle w:val="Heading2"/>
        <w:spacing w:before="240" w:after="120"/>
      </w:pPr>
      <w:r>
        <w:rPr>
          <w:rFonts w:ascii="Times New Roman" w:hAnsi="Times New Roman"/>
          <w:b/>
          <w:color w:val="000000"/>
          <w:sz w:val="26"/>
        </w:rPr>
        <w:t>6.12.2 Night-Mode Operation: Grid → EV</w:t>
      </w:r>
    </w:p>
    <w:p>
      <w:pPr>
        <w:spacing w:line="360" w:lineRule="auto" w:after="120"/>
        <w:jc w:val="both"/>
      </w:pPr>
      <w:r>
        <w:rPr>
          <w:rFonts w:ascii="Times New Roman" w:hAnsi="Times New Roman"/>
          <w:sz w:val="22"/>
        </w:rPr>
        <w:t>In night mode, the PV array is inactive (irradiance G ≈ 0) and the EV continues to charge from the grid through the converter operating in reverse. The grid voltage at the converter's AC terminals drives current through the L-filter into the inverter stage, where the PR compensator and current controllers regulate the rectification process to maintain constant DC bus voltage and deliver power to the EV load.</w:t>
      </w:r>
    </w:p>
    <w:p>
      <w:pPr>
        <w:spacing w:line="360" w:lineRule="auto" w:after="120"/>
        <w:ind w:firstLine="283"/>
        <w:jc w:val="both"/>
      </w:pPr>
      <w:r>
        <w:rPr>
          <w:rFonts w:ascii="Times New Roman" w:hAnsi="Times New Roman"/>
          <w:sz w:val="22"/>
        </w:rPr>
        <w:t>Power balance in night mode is:</w:t>
      </w:r>
    </w:p>
    <w:p>
      <w:pPr>
        <w:spacing w:line="360" w:lineRule="auto" w:before="120" w:after="120"/>
        <w:jc w:val="center"/>
      </w:pPr>
      <w:r>
        <w:rPr>
          <w:rFonts w:ascii="Cambria Math" w:hAnsi="Cambria Math"/>
          <w:sz w:val="22"/>
        </w:rPr>
        <w:t>P_grid = P_EV + P_loss    (6.27)</w:t>
      </w:r>
    </w:p>
    <w:p>
      <w:pPr>
        <w:spacing w:line="360" w:lineRule="auto" w:after="120"/>
        <w:ind w:firstLine="283"/>
        <w:jc w:val="both"/>
      </w:pPr>
      <w:r>
        <w:rPr>
          <w:rFonts w:ascii="Times New Roman" w:hAnsi="Times New Roman"/>
          <w:sz w:val="22"/>
        </w:rPr>
        <w:t>with P_grid flowing in the import direction. The DC voltage reference V_DC* is no longer set by the MPPT algorithm but is instead set to a fixed value corresponding to the EV's required charging voltage.</w:t>
      </w:r>
    </w:p>
    <w:p>
      <w:pPr>
        <w:pStyle w:val="Heading2"/>
        <w:spacing w:before="240" w:after="120"/>
      </w:pPr>
      <w:r>
        <w:rPr>
          <w:rFonts w:ascii="Times New Roman" w:hAnsi="Times New Roman"/>
          <w:b/>
          <w:color w:val="000000"/>
          <w:sz w:val="26"/>
        </w:rPr>
        <w:t>6.12.3 Mode Switching Logic</w:t>
      </w:r>
    </w:p>
    <w:p>
      <w:pPr>
        <w:spacing w:line="360" w:lineRule="auto" w:after="120"/>
        <w:jc w:val="both"/>
      </w:pPr>
      <w:r>
        <w:rPr>
          <w:rFonts w:ascii="Times New Roman" w:hAnsi="Times New Roman"/>
          <w:sz w:val="22"/>
        </w:rPr>
        <w:t>Mode switching is determined by a supervisory controller that monitors the PV power availability and the EV connection status. Three operating modes are defined:</w:t>
      </w:r>
    </w:p>
    <w:p>
      <w:pPr>
        <w:pStyle w:val="ListBullet"/>
        <w:spacing w:line="360" w:lineRule="auto" w:after="80"/>
      </w:pPr>
      <w:r>
        <w:rPr>
          <w:rFonts w:ascii="Times New Roman" w:hAnsi="Times New Roman"/>
          <w:sz w:val="22"/>
        </w:rPr>
        <w:t>Day mode (PV active): irradiance above threshold, EV connected. MPPT runs; PV supplies EV and grid export.</w:t>
      </w:r>
    </w:p>
    <w:p>
      <w:pPr>
        <w:pStyle w:val="ListBullet"/>
        <w:spacing w:line="360" w:lineRule="auto" w:after="80"/>
      </w:pPr>
      <w:r>
        <w:rPr>
          <w:rFonts w:ascii="Times New Roman" w:hAnsi="Times New Roman"/>
          <w:sz w:val="22"/>
        </w:rPr>
        <w:t>Night mode (PV inactive, EV charging): irradiance below threshold, EV connected. MPPT disabled; grid imports through converter to supply EV.</w:t>
      </w:r>
    </w:p>
    <w:p>
      <w:pPr>
        <w:pStyle w:val="ListBullet"/>
        <w:spacing w:line="360" w:lineRule="auto" w:after="80"/>
      </w:pPr>
      <w:r>
        <w:rPr>
          <w:rFonts w:ascii="Times New Roman" w:hAnsi="Times New Roman"/>
          <w:sz w:val="22"/>
        </w:rPr>
        <w:t>Standalone mode (PV active, EV disconnected): standard grid-tied PV operation with all PV power exported to grid.</w:t>
      </w:r>
    </w:p>
    <w:p>
      <w:pPr>
        <w:spacing w:line="360" w:lineRule="auto" w:after="120"/>
        <w:ind w:firstLine="283"/>
        <w:jc w:val="both"/>
      </w:pPr>
      <w:r>
        <w:rPr>
          <w:rFonts w:ascii="Times New Roman" w:hAnsi="Times New Roman"/>
          <w:sz w:val="22"/>
        </w:rPr>
        <w:t>Transitions between modes are managed by smooth setpoint changes to V_DC* and the EV current command, avoiding step transients on the DC bus that would otherwise produce grid current disturbance.</w:t>
      </w:r>
    </w:p>
    <w:p>
      <w:pPr>
        <w:pStyle w:val="Heading2"/>
        <w:spacing w:before="240" w:after="120"/>
      </w:pPr>
      <w:r>
        <w:rPr>
          <w:rFonts w:ascii="Times New Roman" w:hAnsi="Times New Roman"/>
          <w:b/>
          <w:color w:val="000000"/>
          <w:sz w:val="26"/>
        </w:rPr>
        <w:t>6.12.4 EV Load Model</w:t>
      </w:r>
    </w:p>
    <w:p>
      <w:pPr>
        <w:spacing w:line="360" w:lineRule="auto" w:after="120"/>
        <w:jc w:val="both"/>
      </w:pPr>
      <w:r>
        <w:rPr>
          <w:rFonts w:ascii="Times New Roman" w:hAnsi="Times New Roman"/>
          <w:sz w:val="22"/>
        </w:rPr>
        <w:t>For simulation purposes the EV load is modelled as a constant-power load on the DC bus. The Simscape Specialized Power Systems controlled current source block is used to represent this, with the current command computed as I_EV = P_EV / V_DC.</w:t>
      </w:r>
    </w:p>
    <w:p>
      <w:pPr>
        <w:shd w:val="clear" w:color="auto" w:fill="E1F0FF"/>
      </w:pPr>
      <w:r>
        <w:rPr>
          <w:rFonts w:ascii="Calibri" w:hAnsi="Calibri"/>
          <w:b/>
          <w:i/>
          <w:sz w:val="20"/>
        </w:rPr>
        <w:t xml:space="preserve">[EDITORIAL NOTE: </w:t>
      </w:r>
      <w:r>
        <w:rPr>
          <w:rFonts w:ascii="Calibri" w:hAnsi="Calibri"/>
          <w:i/>
          <w:sz w:val="20"/>
        </w:rPr>
        <w:t>Detailed EV battery dynamics are beyond the scope of the present work. The constant-power model is sufficient for evaluating the converter's capability to support EV-integrated operation.]</w:t>
      </w:r>
    </w:p>
    <w:p>
      <w:pPr>
        <w:pStyle w:val="Heading1"/>
        <w:spacing w:before="360" w:after="160"/>
      </w:pPr>
      <w:r>
        <w:rPr>
          <w:rFonts w:ascii="Times New Roman" w:hAnsi="Times New Roman"/>
          <w:b/>
          <w:color w:val="000000"/>
          <w:sz w:val="32"/>
        </w:rPr>
        <w:t>6.13 UK Grid Standards Compliance</w:t>
      </w:r>
    </w:p>
    <w:p>
      <w:pPr>
        <w:spacing w:line="360" w:lineRule="auto" w:after="120"/>
        <w:jc w:val="both"/>
      </w:pPr>
      <w:r>
        <w:rPr>
          <w:rFonts w:ascii="Times New Roman" w:hAnsi="Times New Roman"/>
          <w:sz w:val="22"/>
        </w:rPr>
        <w:t>Grid-connected inverters in the UK must comply with two principal standards: G99, which governs the technical requirements for distributed generation connection, and EN 50160, which specifies the voltage characteristics of public electricity networks. This section summarises the requirements imposed by these standards on the present design and identifies the simulation studies in §6.17 that demonstrate compliance.</w:t>
      </w:r>
    </w:p>
    <w:p>
      <w:pPr>
        <w:pStyle w:val="Heading2"/>
        <w:spacing w:before="240" w:after="120"/>
      </w:pPr>
      <w:r>
        <w:rPr>
          <w:rFonts w:ascii="Times New Roman" w:hAnsi="Times New Roman"/>
          <w:b/>
          <w:color w:val="000000"/>
          <w:sz w:val="26"/>
        </w:rPr>
        <w:t>6.13.1 G99 Requirements</w:t>
      </w:r>
    </w:p>
    <w:p>
      <w:pPr>
        <w:spacing w:line="360" w:lineRule="auto" w:after="120"/>
        <w:jc w:val="both"/>
      </w:pPr>
      <w:r>
        <w:rPr>
          <w:rFonts w:ascii="Times New Roman" w:hAnsi="Times New Roman"/>
          <w:sz w:val="22"/>
        </w:rPr>
        <w:t>The G99 engineering recommendation governs connection of generation to UK distribution networks at voltages below 110 kV. The relevant technical requirements for a residential grid-tied PV inverter operating at 230 V single-phase are summarised in Table 6.5.</w:t>
      </w:r>
    </w:p>
    <w:tbl>
      <w:tblPr>
        <w:tblStyle w:val="TableGrid"/>
        <w:tblW w:type="auto" w:w="0"/>
        <w:tblLook w:firstColumn="1" w:firstRow="1" w:lastColumn="0" w:lastRow="0" w:noHBand="0" w:noVBand="1" w:val="04A0"/>
      </w:tblPr>
      <w:tblGrid>
        <w:gridCol w:w="3135"/>
        <w:gridCol w:w="3135"/>
        <w:gridCol w:w="3135"/>
      </w:tblGrid>
      <w:tr>
        <w:tc>
          <w:tcPr>
            <w:tcW w:type="dxa" w:w="2835"/>
            <w:shd w:fill="D5E8F0"/>
          </w:tcPr>
          <w:p>
            <w:pPr>
              <w:spacing w:line="288" w:lineRule="auto"/>
            </w:pPr>
            <w:r/>
            <w:r>
              <w:rPr>
                <w:rFonts w:ascii="Times New Roman" w:hAnsi="Times New Roman"/>
                <w:b/>
                <w:sz w:val="20"/>
              </w:rPr>
              <w:t>Requirement</w:t>
            </w:r>
          </w:p>
        </w:tc>
        <w:tc>
          <w:tcPr>
            <w:tcW w:type="dxa" w:w="2268"/>
            <w:shd w:fill="D5E8F0"/>
          </w:tcPr>
          <w:p>
            <w:pPr>
              <w:spacing w:line="288" w:lineRule="auto"/>
            </w:pPr>
            <w:r/>
            <w:r>
              <w:rPr>
                <w:rFonts w:ascii="Times New Roman" w:hAnsi="Times New Roman"/>
                <w:b/>
                <w:sz w:val="20"/>
              </w:rPr>
              <w:t>G99 Limit</w:t>
            </w:r>
          </w:p>
        </w:tc>
        <w:tc>
          <w:tcPr>
            <w:tcW w:type="dxa" w:w="3969"/>
            <w:shd w:fill="D5E8F0"/>
          </w:tcPr>
          <w:p>
            <w:pPr>
              <w:spacing w:line="288" w:lineRule="auto"/>
            </w:pPr>
            <w:r/>
            <w:r>
              <w:rPr>
                <w:rFonts w:ascii="Times New Roman" w:hAnsi="Times New Roman"/>
                <w:b/>
                <w:sz w:val="20"/>
              </w:rPr>
              <w:t>Verification in §6.17</w:t>
            </w:r>
          </w:p>
        </w:tc>
      </w:tr>
      <w:tr>
        <w:tc>
          <w:tcPr>
            <w:tcW w:type="dxa" w:w="2835"/>
          </w:tcPr>
          <w:p>
            <w:pPr>
              <w:spacing w:line="288" w:lineRule="auto"/>
            </w:pPr>
            <w:r/>
            <w:r>
              <w:rPr>
                <w:rFonts w:ascii="Times New Roman" w:hAnsi="Times New Roman"/>
                <w:b w:val="0"/>
                <w:sz w:val="20"/>
              </w:rPr>
              <w:t>DC injection</w:t>
            </w:r>
          </w:p>
        </w:tc>
        <w:tc>
          <w:tcPr>
            <w:tcW w:type="dxa" w:w="2268"/>
          </w:tcPr>
          <w:p>
            <w:pPr>
              <w:spacing w:line="288" w:lineRule="auto"/>
            </w:pPr>
            <w:r/>
            <w:r>
              <w:rPr>
                <w:rFonts w:ascii="Times New Roman" w:hAnsi="Times New Roman"/>
                <w:b w:val="0"/>
                <w:sz w:val="20"/>
              </w:rPr>
              <w:t>≤ 0.25 A or 0.5%</w:t>
            </w:r>
          </w:p>
        </w:tc>
        <w:tc>
          <w:tcPr>
            <w:tcW w:type="dxa" w:w="3969"/>
          </w:tcPr>
          <w:p>
            <w:pPr>
              <w:spacing w:line="288" w:lineRule="auto"/>
            </w:pPr>
            <w:r/>
            <w:r>
              <w:rPr>
                <w:rFonts w:ascii="Times New Roman" w:hAnsi="Times New Roman"/>
                <w:b w:val="0"/>
                <w:sz w:val="20"/>
              </w:rPr>
              <w:t>§6.17.2 (gain-scheduled PR)</w:t>
            </w:r>
          </w:p>
        </w:tc>
      </w:tr>
      <w:tr>
        <w:tc>
          <w:tcPr>
            <w:tcW w:type="dxa" w:w="2835"/>
          </w:tcPr>
          <w:p>
            <w:pPr>
              <w:spacing w:line="288" w:lineRule="auto"/>
            </w:pPr>
            <w:r/>
            <w:r>
              <w:rPr>
                <w:rFonts w:ascii="Times New Roman" w:hAnsi="Times New Roman"/>
                <w:b w:val="0"/>
                <w:sz w:val="20"/>
              </w:rPr>
              <w:t>Voltage range</w:t>
            </w:r>
          </w:p>
        </w:tc>
        <w:tc>
          <w:tcPr>
            <w:tcW w:type="dxa" w:w="2268"/>
          </w:tcPr>
          <w:p>
            <w:pPr>
              <w:spacing w:line="288" w:lineRule="auto"/>
            </w:pPr>
            <w:r/>
            <w:r>
              <w:rPr>
                <w:rFonts w:ascii="Times New Roman" w:hAnsi="Times New Roman"/>
                <w:b w:val="0"/>
                <w:sz w:val="20"/>
              </w:rPr>
              <w:t>230 V ± 10%</w:t>
            </w:r>
          </w:p>
        </w:tc>
        <w:tc>
          <w:tcPr>
            <w:tcW w:type="dxa" w:w="3969"/>
          </w:tcPr>
          <w:p>
            <w:pPr>
              <w:spacing w:line="288" w:lineRule="auto"/>
            </w:pPr>
            <w:r/>
            <w:r>
              <w:rPr>
                <w:rFonts w:ascii="Times New Roman" w:hAnsi="Times New Roman"/>
                <w:b w:val="0"/>
                <w:sz w:val="20"/>
              </w:rPr>
              <w:t>§6.17.5 (voltage sag)</w:t>
            </w:r>
          </w:p>
        </w:tc>
      </w:tr>
      <w:tr>
        <w:tc>
          <w:tcPr>
            <w:tcW w:type="dxa" w:w="2835"/>
          </w:tcPr>
          <w:p>
            <w:pPr>
              <w:spacing w:line="288" w:lineRule="auto"/>
            </w:pPr>
            <w:r/>
            <w:r>
              <w:rPr>
                <w:rFonts w:ascii="Times New Roman" w:hAnsi="Times New Roman"/>
                <w:b w:val="0"/>
                <w:sz w:val="20"/>
              </w:rPr>
              <w:t>Frequency range</w:t>
            </w:r>
          </w:p>
        </w:tc>
        <w:tc>
          <w:tcPr>
            <w:tcW w:type="dxa" w:w="2268"/>
          </w:tcPr>
          <w:p>
            <w:pPr>
              <w:spacing w:line="288" w:lineRule="auto"/>
            </w:pPr>
            <w:r/>
            <w:r>
              <w:rPr>
                <w:rFonts w:ascii="Times New Roman" w:hAnsi="Times New Roman"/>
                <w:b w:val="0"/>
                <w:sz w:val="20"/>
              </w:rPr>
              <w:t>50 Hz ± 1 Hz</w:t>
            </w:r>
          </w:p>
        </w:tc>
        <w:tc>
          <w:tcPr>
            <w:tcW w:type="dxa" w:w="3969"/>
          </w:tcPr>
          <w:p>
            <w:pPr>
              <w:spacing w:line="288" w:lineRule="auto"/>
            </w:pPr>
            <w:r/>
            <w:r>
              <w:rPr>
                <w:rFonts w:ascii="Times New Roman" w:hAnsi="Times New Roman"/>
                <w:b w:val="0"/>
                <w:sz w:val="20"/>
              </w:rPr>
              <w:t>§6.17.6 (frequency variation)</w:t>
            </w:r>
          </w:p>
        </w:tc>
      </w:tr>
      <w:tr>
        <w:tc>
          <w:tcPr>
            <w:tcW w:type="dxa" w:w="2835"/>
          </w:tcPr>
          <w:p>
            <w:pPr>
              <w:spacing w:line="288" w:lineRule="auto"/>
            </w:pPr>
            <w:r/>
            <w:r>
              <w:rPr>
                <w:rFonts w:ascii="Times New Roman" w:hAnsi="Times New Roman"/>
                <w:b w:val="0"/>
                <w:sz w:val="20"/>
              </w:rPr>
              <w:t>Current THD</w:t>
            </w:r>
          </w:p>
        </w:tc>
        <w:tc>
          <w:tcPr>
            <w:tcW w:type="dxa" w:w="2268"/>
          </w:tcPr>
          <w:p>
            <w:pPr>
              <w:spacing w:line="288" w:lineRule="auto"/>
            </w:pPr>
            <w:r/>
            <w:r>
              <w:rPr>
                <w:rFonts w:ascii="Times New Roman" w:hAnsi="Times New Roman"/>
                <w:b w:val="0"/>
                <w:sz w:val="20"/>
              </w:rPr>
              <w:t>≤ 5%</w:t>
            </w:r>
          </w:p>
        </w:tc>
        <w:tc>
          <w:tcPr>
            <w:tcW w:type="dxa" w:w="3969"/>
          </w:tcPr>
          <w:p>
            <w:pPr>
              <w:spacing w:line="288" w:lineRule="auto"/>
            </w:pPr>
            <w:r/>
            <w:r>
              <w:rPr>
                <w:rFonts w:ascii="Times New Roman" w:hAnsi="Times New Roman"/>
                <w:b w:val="0"/>
                <w:sz w:val="20"/>
              </w:rPr>
              <w:t>§6.17.1, §6.17.2</w:t>
            </w:r>
          </w:p>
        </w:tc>
      </w:tr>
      <w:tr>
        <w:tc>
          <w:tcPr>
            <w:tcW w:type="dxa" w:w="2835"/>
          </w:tcPr>
          <w:p>
            <w:pPr>
              <w:spacing w:line="288" w:lineRule="auto"/>
            </w:pPr>
            <w:r/>
            <w:r>
              <w:rPr>
                <w:rFonts w:ascii="Times New Roman" w:hAnsi="Times New Roman"/>
                <w:b w:val="0"/>
                <w:sz w:val="20"/>
              </w:rPr>
              <w:t>Anti-islanding</w:t>
            </w:r>
          </w:p>
        </w:tc>
        <w:tc>
          <w:tcPr>
            <w:tcW w:type="dxa" w:w="2268"/>
          </w:tcPr>
          <w:p>
            <w:pPr>
              <w:spacing w:line="288" w:lineRule="auto"/>
            </w:pPr>
            <w:r/>
            <w:r>
              <w:rPr>
                <w:rFonts w:ascii="Times New Roman" w:hAnsi="Times New Roman"/>
                <w:b w:val="0"/>
                <w:sz w:val="20"/>
              </w:rPr>
              <w:t>Loss of mains detection</w:t>
            </w:r>
          </w:p>
        </w:tc>
        <w:tc>
          <w:tcPr>
            <w:tcW w:type="dxa" w:w="3969"/>
          </w:tcPr>
          <w:p>
            <w:pPr>
              <w:spacing w:line="288" w:lineRule="auto"/>
            </w:pPr>
            <w:r/>
            <w:r>
              <w:rPr>
                <w:rFonts w:ascii="Times New Roman" w:hAnsi="Times New Roman"/>
                <w:b w:val="0"/>
                <w:sz w:val="20"/>
              </w:rPr>
              <w:t>Hardware §5</w:t>
            </w:r>
          </w:p>
        </w:tc>
      </w:tr>
      <w:tr>
        <w:tc>
          <w:tcPr>
            <w:tcW w:type="dxa" w:w="2835"/>
          </w:tcPr>
          <w:p>
            <w:pPr>
              <w:spacing w:line="288" w:lineRule="auto"/>
            </w:pPr>
            <w:r/>
            <w:r>
              <w:rPr>
                <w:rFonts w:ascii="Times New Roman" w:hAnsi="Times New Roman"/>
                <w:b w:val="0"/>
                <w:sz w:val="20"/>
              </w:rPr>
              <w:t>Power factor</w:t>
            </w:r>
          </w:p>
        </w:tc>
        <w:tc>
          <w:tcPr>
            <w:tcW w:type="dxa" w:w="2268"/>
          </w:tcPr>
          <w:p>
            <w:pPr>
              <w:spacing w:line="288" w:lineRule="auto"/>
            </w:pPr>
            <w:r/>
            <w:r>
              <w:rPr>
                <w:rFonts w:ascii="Times New Roman" w:hAnsi="Times New Roman"/>
                <w:b w:val="0"/>
                <w:sz w:val="20"/>
              </w:rPr>
              <w:t>&gt; 0.95 leading/lagging</w:t>
            </w:r>
          </w:p>
        </w:tc>
        <w:tc>
          <w:tcPr>
            <w:tcW w:type="dxa" w:w="3969"/>
          </w:tcPr>
          <w:p>
            <w:pPr>
              <w:spacing w:line="288" w:lineRule="auto"/>
            </w:pPr>
            <w:r/>
            <w:r>
              <w:rPr>
                <w:rFonts w:ascii="Times New Roman" w:hAnsi="Times New Roman"/>
                <w:b w:val="0"/>
                <w:sz w:val="20"/>
              </w:rPr>
              <w:t>§6.17.1, §6.17.9</w:t>
            </w:r>
          </w:p>
        </w:tc>
      </w:tr>
    </w:tbl>
    <w:p/>
    <w:p>
      <w:pPr>
        <w:pStyle w:val="Heading2"/>
        <w:spacing w:before="240" w:after="120"/>
      </w:pPr>
      <w:r>
        <w:rPr>
          <w:rFonts w:ascii="Times New Roman" w:hAnsi="Times New Roman"/>
          <w:b/>
          <w:color w:val="000000"/>
          <w:sz w:val="26"/>
        </w:rPr>
        <w:t>6.13.2 EN 50160 Voltage Quality</w:t>
      </w:r>
    </w:p>
    <w:p>
      <w:pPr>
        <w:spacing w:line="360" w:lineRule="auto" w:after="120"/>
        <w:jc w:val="both"/>
      </w:pPr>
      <w:r>
        <w:rPr>
          <w:rFonts w:ascii="Times New Roman" w:hAnsi="Times New Roman"/>
          <w:sz w:val="22"/>
        </w:rPr>
        <w:t>EN 50160 specifies the voltage quality at the supply point of the public network. While EN 50160 governs the network rather than the inverter, it constrains the operating conditions that the inverter must tolerate without disconnecting. Of particular relevance:</w:t>
      </w:r>
    </w:p>
    <w:p>
      <w:pPr>
        <w:pStyle w:val="ListBullet"/>
        <w:spacing w:line="360" w:lineRule="auto" w:after="80"/>
      </w:pPr>
      <w:r>
        <w:rPr>
          <w:rFonts w:ascii="Times New Roman" w:hAnsi="Times New Roman"/>
          <w:sz w:val="22"/>
        </w:rPr>
        <w:t>Voltage magnitude variations within ±10 percent of nominal (207-253 V for UK 230 V grid).</w:t>
      </w:r>
    </w:p>
    <w:p>
      <w:pPr>
        <w:pStyle w:val="ListBullet"/>
        <w:spacing w:line="360" w:lineRule="auto" w:after="80"/>
      </w:pPr>
      <w:r>
        <w:rPr>
          <w:rFonts w:ascii="Times New Roman" w:hAnsi="Times New Roman"/>
          <w:sz w:val="22"/>
        </w:rPr>
        <w:t>Frequency variations within ±1 Hz under normal operation, with occasional excursions to ±2 Hz.</w:t>
      </w:r>
    </w:p>
    <w:p>
      <w:pPr>
        <w:pStyle w:val="ListBullet"/>
        <w:spacing w:line="360" w:lineRule="auto" w:after="80"/>
      </w:pPr>
      <w:r>
        <w:rPr>
          <w:rFonts w:ascii="Times New Roman" w:hAnsi="Times New Roman"/>
          <w:sz w:val="22"/>
        </w:rPr>
        <w:t>Voltage harmonics — the inverter must not be destabilised by grid harmonic distortion up to EN 50160 limits.</w:t>
      </w:r>
    </w:p>
    <w:p>
      <w:pPr>
        <w:pStyle w:val="ListBullet"/>
        <w:spacing w:line="360" w:lineRule="auto" w:after="80"/>
      </w:pPr>
      <w:r>
        <w:rPr>
          <w:rFonts w:ascii="Times New Roman" w:hAnsi="Times New Roman"/>
          <w:sz w:val="22"/>
        </w:rPr>
        <w:t>Voltage sags and swells — the inverter must ride through brief voltage events without disconnecting unnecessarily.</w:t>
      </w:r>
    </w:p>
    <w:p>
      <w:pPr>
        <w:pStyle w:val="Heading2"/>
        <w:spacing w:before="240" w:after="120"/>
      </w:pPr>
      <w:r>
        <w:rPr>
          <w:rFonts w:ascii="Times New Roman" w:hAnsi="Times New Roman"/>
          <w:b/>
          <w:color w:val="000000"/>
          <w:sz w:val="26"/>
        </w:rPr>
        <w:t>6.13.3 Anti-Islanding Detection</w:t>
      </w:r>
    </w:p>
    <w:p>
      <w:pPr>
        <w:spacing w:line="360" w:lineRule="auto" w:after="120"/>
        <w:jc w:val="both"/>
      </w:pPr>
      <w:r>
        <w:rPr>
          <w:rFonts w:ascii="Times New Roman" w:hAnsi="Times New Roman"/>
          <w:sz w:val="22"/>
        </w:rPr>
        <w:t>Anti-islanding detection, required by G99, is the function of detecting loss of grid supply and disconnecting the inverter to prevent it from energising an isolated section of the local network. The Chapter 5 hardware implementation includes a passive anti-islanding scheme based on grid frequency and voltage monitoring, which is outside the scope of the simulation studies in the present chapter.</w:t>
      </w:r>
    </w:p>
    <w:p>
      <w:pPr>
        <w:pStyle w:val="Heading2"/>
        <w:spacing w:before="240" w:after="120"/>
      </w:pPr>
      <w:r>
        <w:rPr>
          <w:rFonts w:ascii="Times New Roman" w:hAnsi="Times New Roman"/>
          <w:b/>
          <w:color w:val="000000"/>
          <w:sz w:val="26"/>
        </w:rPr>
        <w:t>6.13.4 Compliance Summary</w:t>
      </w:r>
    </w:p>
    <w:p>
      <w:pPr>
        <w:shd w:val="clear" w:color="auto" w:fill="FFF2CC"/>
        <w:spacing w:before="120" w:after="120"/>
        <w:jc w:val="center"/>
      </w:pPr>
      <w:r>
        <w:rPr>
          <w:rFonts w:ascii="Calibri" w:hAnsi="Calibri"/>
          <w:b/>
          <w:i/>
          <w:color w:val="806000"/>
          <w:sz w:val="20"/>
        </w:rPr>
        <w:t>[PLACEHOLDER: Table 6.6: Final compliance summary showing each standard requirement, the achieved value from the relevant §6.17 simulation study, and pass/fail status.]</w:t>
      </w:r>
    </w:p>
    <w:p>
      <w:pPr>
        <w:pStyle w:val="Heading1"/>
        <w:spacing w:before="360" w:after="160"/>
      </w:pPr>
      <w:r>
        <w:rPr>
          <w:rFonts w:ascii="Times New Roman" w:hAnsi="Times New Roman"/>
          <w:b/>
          <w:color w:val="000000"/>
          <w:sz w:val="32"/>
        </w:rPr>
        <w:t>6.14 Loss Model and Converter Efficiency</w:t>
      </w:r>
    </w:p>
    <w:p>
      <w:pPr>
        <w:spacing w:line="360" w:lineRule="auto" w:after="120"/>
        <w:jc w:val="both"/>
      </w:pPr>
      <w:r>
        <w:rPr>
          <w:rFonts w:ascii="Times New Roman" w:hAnsi="Times New Roman"/>
          <w:sz w:val="22"/>
        </w:rPr>
        <w:t>Converter efficiency at multiple operating conditions was specifically raised in the viva examination as an area requiring expanded treatment. This section develops the loss model used to compute converter efficiency from the simulated switching waveforms.</w:t>
      </w:r>
    </w:p>
    <w:p>
      <w:pPr>
        <w:pStyle w:val="Heading2"/>
        <w:spacing w:before="240" w:after="120"/>
      </w:pPr>
      <w:r>
        <w:rPr>
          <w:rFonts w:ascii="Times New Roman" w:hAnsi="Times New Roman"/>
          <w:b/>
          <w:color w:val="000000"/>
          <w:sz w:val="26"/>
        </w:rPr>
        <w:t>6.14.1 Loss Mechanisms</w:t>
      </w:r>
    </w:p>
    <w:p>
      <w:pPr>
        <w:spacing w:line="360" w:lineRule="auto" w:after="120"/>
        <w:jc w:val="both"/>
      </w:pPr>
      <w:r>
        <w:rPr>
          <w:rFonts w:ascii="Times New Roman" w:hAnsi="Times New Roman"/>
          <w:sz w:val="22"/>
        </w:rPr>
        <w:t>The total power loss in the converter is decomposed into the following components:</w:t>
      </w:r>
    </w:p>
    <w:p>
      <w:pPr>
        <w:pStyle w:val="ListBullet"/>
        <w:spacing w:line="360" w:lineRule="auto" w:after="80"/>
      </w:pPr>
      <w:r>
        <w:rPr>
          <w:rFonts w:ascii="Times New Roman" w:hAnsi="Times New Roman"/>
          <w:sz w:val="22"/>
        </w:rPr>
        <w:t>Conduction losses in the MOSFETs, P_cond,M = R_on · I_S² · δ.</w:t>
      </w:r>
    </w:p>
    <w:p>
      <w:pPr>
        <w:pStyle w:val="ListBullet"/>
        <w:spacing w:line="360" w:lineRule="auto" w:after="80"/>
      </w:pPr>
      <w:r>
        <w:rPr>
          <w:rFonts w:ascii="Times New Roman" w:hAnsi="Times New Roman"/>
          <w:sz w:val="22"/>
        </w:rPr>
        <w:t>Switching losses in the MOSFETs, P_sw,M = (1/2) · V_DS · I_D · (t_on + t_off) · f_sw.</w:t>
      </w:r>
    </w:p>
    <w:p>
      <w:pPr>
        <w:pStyle w:val="ListBullet"/>
        <w:spacing w:line="360" w:lineRule="auto" w:after="80"/>
      </w:pPr>
      <w:r>
        <w:rPr>
          <w:rFonts w:ascii="Times New Roman" w:hAnsi="Times New Roman"/>
          <w:sz w:val="22"/>
        </w:rPr>
        <w:t>Conduction losses in the body diodes, P_cond,D = V_F · I_D,avg · (1 − δ).</w:t>
      </w:r>
    </w:p>
    <w:p>
      <w:pPr>
        <w:pStyle w:val="ListBullet"/>
        <w:spacing w:line="360" w:lineRule="auto" w:after="80"/>
      </w:pPr>
      <w:r>
        <w:rPr>
          <w:rFonts w:ascii="Times New Roman" w:hAnsi="Times New Roman"/>
          <w:sz w:val="22"/>
        </w:rPr>
        <w:t>Copper losses in the Z-network and filter inductors, P_cu = r_L · I_L,RMS².</w:t>
      </w:r>
    </w:p>
    <w:p>
      <w:pPr>
        <w:pStyle w:val="ListBullet"/>
        <w:spacing w:line="360" w:lineRule="auto" w:after="80"/>
      </w:pPr>
      <w:r>
        <w:rPr>
          <w:rFonts w:ascii="Times New Roman" w:hAnsi="Times New Roman"/>
          <w:sz w:val="22"/>
        </w:rPr>
        <w:t>Core losses in the inductors via the Steinmetz equation P_core = K_core · f_sw^α · B_pk^β.</w:t>
      </w:r>
    </w:p>
    <w:p>
      <w:pPr>
        <w:pStyle w:val="ListBullet"/>
        <w:spacing w:line="360" w:lineRule="auto" w:after="80"/>
      </w:pPr>
      <w:r>
        <w:rPr>
          <w:rFonts w:ascii="Times New Roman" w:hAnsi="Times New Roman"/>
          <w:sz w:val="22"/>
        </w:rPr>
        <w:t>ESR losses in the Z-network capacitors, P_C = r_C · I_C,RMS².</w:t>
      </w:r>
    </w:p>
    <w:p>
      <w:pPr>
        <w:pStyle w:val="Heading2"/>
        <w:spacing w:before="240" w:after="120"/>
      </w:pPr>
      <w:r>
        <w:rPr>
          <w:rFonts w:ascii="Times New Roman" w:hAnsi="Times New Roman"/>
          <w:b/>
          <w:color w:val="000000"/>
          <w:sz w:val="26"/>
        </w:rPr>
        <w:t>6.14.2 Efficiency Calculation</w:t>
      </w:r>
    </w:p>
    <w:p>
      <w:pPr>
        <w:spacing w:line="360" w:lineRule="auto" w:after="120"/>
        <w:jc w:val="both"/>
      </w:pPr>
      <w:r>
        <w:rPr>
          <w:rFonts w:ascii="Times New Roman" w:hAnsi="Times New Roman"/>
          <w:sz w:val="22"/>
        </w:rPr>
        <w:t>The instantaneous power loss is computed from the simulated switching waveforms by summing the contributions above. Efficiency is computed as:</w:t>
      </w:r>
    </w:p>
    <w:p>
      <w:pPr>
        <w:spacing w:line="360" w:lineRule="auto" w:before="120" w:after="120"/>
        <w:jc w:val="center"/>
      </w:pPr>
      <w:r>
        <w:rPr>
          <w:rFonts w:ascii="Cambria Math" w:hAnsi="Cambria Math"/>
          <w:sz w:val="22"/>
        </w:rPr>
        <w:t>η = P_grid / P_PV = P_grid / (P_grid + P_loss)    (6.28)</w:t>
      </w:r>
    </w:p>
    <w:p>
      <w:pPr>
        <w:pStyle w:val="Heading2"/>
        <w:spacing w:before="240" w:after="120"/>
      </w:pPr>
      <w:r>
        <w:rPr>
          <w:rFonts w:ascii="Times New Roman" w:hAnsi="Times New Roman"/>
          <w:b/>
          <w:color w:val="000000"/>
          <w:sz w:val="26"/>
        </w:rPr>
        <w:t>6.14.3 Dominant Loss Mechanisms</w:t>
      </w:r>
    </w:p>
    <w:p>
      <w:pPr>
        <w:spacing w:line="360" w:lineRule="auto" w:after="120"/>
        <w:jc w:val="both"/>
      </w:pPr>
      <w:r>
        <w:rPr>
          <w:rFonts w:ascii="Times New Roman" w:hAnsi="Times New Roman"/>
          <w:sz w:val="22"/>
        </w:rPr>
        <w:t>At rated load, the dominant loss mechanisms in a 3 kW residential PV inverter are typically the MOSFET conduction losses (35–45% of total loss) and the inductor copper losses (25–35% of total loss). At partial load, switching losses become relatively more significant because they scale less than linearly with load while conduction losses scale quadratically. This is the principal reason that inverter efficiency peaks at moderate load and falls off at very low load.</w:t>
      </w:r>
    </w:p>
    <w:p>
      <w:pPr>
        <w:shd w:val="clear" w:color="auto" w:fill="FFF2CC"/>
        <w:spacing w:before="120" w:after="120"/>
        <w:jc w:val="center"/>
      </w:pPr>
      <w:r>
        <w:rPr>
          <w:rFonts w:ascii="Calibri" w:hAnsi="Calibri"/>
          <w:b/>
          <w:i/>
          <w:color w:val="806000"/>
          <w:sz w:val="20"/>
        </w:rPr>
        <w:t>[PLACEHOLDER: Figure 6.10: Converter efficiency η versus load power from 10 percent to 110 percent of rated, computed from simulation waveforms.]</w:t>
      </w:r>
    </w:p>
    <w:p>
      <w:pPr>
        <w:shd w:val="clear" w:color="auto" w:fill="FFF2CC"/>
        <w:spacing w:before="120" w:after="120"/>
        <w:jc w:val="center"/>
      </w:pPr>
      <w:r>
        <w:rPr>
          <w:rFonts w:ascii="Calibri" w:hAnsi="Calibri"/>
          <w:b/>
          <w:i/>
          <w:color w:val="806000"/>
          <w:sz w:val="20"/>
        </w:rPr>
        <w:t>[PLACEHOLDER: Figure 6.11: Loss breakdown bar chart at rated power and at 50 percent rated, showing the relative contribution of each loss mechanism.]</w:t>
      </w:r>
    </w:p>
    <w:p>
      <w:pPr>
        <w:pStyle w:val="Heading1"/>
        <w:spacing w:before="360" w:after="160"/>
      </w:pPr>
      <w:r>
        <w:rPr>
          <w:rFonts w:ascii="Times New Roman" w:hAnsi="Times New Roman"/>
          <w:b/>
          <w:color w:val="000000"/>
          <w:sz w:val="32"/>
        </w:rPr>
        <w:t>6.15 Simulation Methodology and Reproducibility</w:t>
      </w:r>
    </w:p>
    <w:p>
      <w:pPr>
        <w:spacing w:line="360" w:lineRule="auto" w:after="120"/>
        <w:jc w:val="both"/>
      </w:pPr>
      <w:r>
        <w:rPr>
          <w:rFonts w:ascii="Times New Roman" w:hAnsi="Times New Roman"/>
          <w:sz w:val="22"/>
        </w:rPr>
        <w:t>The examiner's feedback specifically called for documentation of the simulation methodology to ensure reproducibility of the results presented in this chapter. This section sets out the software environment, the model construction procedure, the parameter values used, and the step-by-step process for reproducing any simulation result in the chapter.</w:t>
      </w:r>
    </w:p>
    <w:p>
      <w:pPr>
        <w:pStyle w:val="Heading2"/>
        <w:spacing w:before="240" w:after="120"/>
      </w:pPr>
      <w:r>
        <w:rPr>
          <w:rFonts w:ascii="Times New Roman" w:hAnsi="Times New Roman"/>
          <w:b/>
          <w:color w:val="000000"/>
          <w:sz w:val="26"/>
        </w:rPr>
        <w:t>6.15.1 Software Environment</w:t>
      </w:r>
    </w:p>
    <w:p>
      <w:pPr>
        <w:spacing w:line="360" w:lineRule="auto" w:after="120"/>
        <w:jc w:val="both"/>
      </w:pPr>
      <w:r>
        <w:rPr>
          <w:rFonts w:ascii="Times New Roman" w:hAnsi="Times New Roman"/>
          <w:sz w:val="22"/>
        </w:rPr>
        <w:t>All simulations were performed in MATLAB R2026a with the Simulink, Simscape Electrical, Specialized Power Systems, Control System Toolbox, and Signal Processing Toolbox add-ons. The integrated Simulink model file is publicly available in the project repository. The model uses the variable-step ode23tb solver with a maximum step size of 1 µs and relative tolerance 1e-5. Powergui is configured for continuous-time simulation.</w:t>
      </w:r>
    </w:p>
    <w:p>
      <w:pPr>
        <w:pStyle w:val="Heading2"/>
        <w:spacing w:before="240" w:after="120"/>
      </w:pPr>
      <w:r>
        <w:rPr>
          <w:rFonts w:ascii="Times New Roman" w:hAnsi="Times New Roman"/>
          <w:b/>
          <w:color w:val="000000"/>
          <w:sz w:val="26"/>
        </w:rPr>
        <w:t>6.15.2 Simulation Parameters</w:t>
      </w:r>
    </w:p>
    <w:p>
      <w:pPr>
        <w:spacing w:line="360" w:lineRule="auto" w:after="120"/>
        <w:jc w:val="both"/>
      </w:pPr>
      <w:r>
        <w:rPr>
          <w:rFonts w:ascii="Times New Roman" w:hAnsi="Times New Roman"/>
          <w:sz w:val="22"/>
        </w:rPr>
        <w:t>All simulation parameters are documented in Table 6.7 and are set directly within the corresponding Simulink block masks. Two parameters in this table — the PR controller's K_p and K_r — are not single values but lookup table contents driven by the runtime M_avg computation per §6.11.</w:t>
      </w:r>
    </w:p>
    <w:tbl>
      <w:tblPr>
        <w:tblStyle w:val="TableGrid"/>
        <w:tblW w:type="auto" w:w="0"/>
        <w:tblLook w:firstColumn="1" w:firstRow="1" w:lastColumn="0" w:lastRow="0" w:noHBand="0" w:noVBand="1" w:val="04A0"/>
      </w:tblPr>
      <w:tblGrid>
        <w:gridCol w:w="2351"/>
        <w:gridCol w:w="2351"/>
        <w:gridCol w:w="2351"/>
        <w:gridCol w:w="2351"/>
      </w:tblGrid>
      <w:tr>
        <w:tc>
          <w:tcPr>
            <w:tcW w:type="dxa" w:w="3402"/>
            <w:shd w:fill="D5E8F0"/>
          </w:tcPr>
          <w:p>
            <w:pPr>
              <w:spacing w:line="288" w:lineRule="auto"/>
            </w:pPr>
            <w:r/>
            <w:r>
              <w:rPr>
                <w:rFonts w:ascii="Times New Roman" w:hAnsi="Times New Roman"/>
                <w:b/>
                <w:sz w:val="20"/>
              </w:rPr>
              <w:t>Parameter</w:t>
            </w:r>
          </w:p>
        </w:tc>
        <w:tc>
          <w:tcPr>
            <w:tcW w:type="dxa" w:w="1417"/>
            <w:shd w:fill="D5E8F0"/>
          </w:tcPr>
          <w:p>
            <w:pPr>
              <w:spacing w:line="288" w:lineRule="auto"/>
            </w:pPr>
            <w:r/>
            <w:r>
              <w:rPr>
                <w:rFonts w:ascii="Times New Roman" w:hAnsi="Times New Roman"/>
                <w:b/>
                <w:sz w:val="20"/>
              </w:rPr>
              <w:t>Symbol</w:t>
            </w:r>
          </w:p>
        </w:tc>
        <w:tc>
          <w:tcPr>
            <w:tcW w:type="dxa" w:w="1417"/>
            <w:shd w:fill="D5E8F0"/>
          </w:tcPr>
          <w:p>
            <w:pPr>
              <w:spacing w:line="288" w:lineRule="auto"/>
            </w:pPr>
            <w:r/>
            <w:r>
              <w:rPr>
                <w:rFonts w:ascii="Times New Roman" w:hAnsi="Times New Roman"/>
                <w:b/>
                <w:sz w:val="20"/>
              </w:rPr>
              <w:t>Value</w:t>
            </w:r>
          </w:p>
        </w:tc>
        <w:tc>
          <w:tcPr>
            <w:tcW w:type="dxa" w:w="2268"/>
            <w:shd w:fill="D5E8F0"/>
          </w:tcPr>
          <w:p>
            <w:pPr>
              <w:spacing w:line="288" w:lineRule="auto"/>
            </w:pPr>
            <w:r/>
            <w:r>
              <w:rPr>
                <w:rFonts w:ascii="Times New Roman" w:hAnsi="Times New Roman"/>
                <w:b/>
                <w:sz w:val="20"/>
              </w:rPr>
              <w:t>Section reference</w:t>
            </w:r>
          </w:p>
        </w:tc>
      </w:tr>
      <w:tr>
        <w:tc>
          <w:tcPr>
            <w:tcW w:type="dxa" w:w="3402"/>
          </w:tcPr>
          <w:p>
            <w:pPr>
              <w:spacing w:line="288" w:lineRule="auto"/>
            </w:pPr>
            <w:r/>
            <w:r>
              <w:rPr>
                <w:rFonts w:ascii="Times New Roman" w:hAnsi="Times New Roman"/>
                <w:b w:val="0"/>
                <w:sz w:val="20"/>
              </w:rPr>
              <w:t>PV-side DC voltage (reference)</w:t>
            </w:r>
          </w:p>
        </w:tc>
        <w:tc>
          <w:tcPr>
            <w:tcW w:type="dxa" w:w="1417"/>
          </w:tcPr>
          <w:p>
            <w:pPr>
              <w:spacing w:line="288" w:lineRule="auto"/>
            </w:pPr>
            <w:r/>
            <w:r>
              <w:rPr>
                <w:rFonts w:ascii="Times New Roman" w:hAnsi="Times New Roman"/>
                <w:b w:val="0"/>
                <w:sz w:val="20"/>
              </w:rPr>
              <w:t>V_g</w:t>
            </w:r>
          </w:p>
        </w:tc>
        <w:tc>
          <w:tcPr>
            <w:tcW w:type="dxa" w:w="1417"/>
          </w:tcPr>
          <w:p>
            <w:pPr>
              <w:spacing w:line="288" w:lineRule="auto"/>
            </w:pPr>
            <w:r/>
            <w:r>
              <w:rPr>
                <w:rFonts w:ascii="Times New Roman" w:hAnsi="Times New Roman"/>
                <w:b w:val="0"/>
                <w:sz w:val="20"/>
              </w:rPr>
              <w:t>500 V</w:t>
            </w:r>
          </w:p>
        </w:tc>
        <w:tc>
          <w:tcPr>
            <w:tcW w:type="dxa" w:w="2268"/>
          </w:tcPr>
          <w:p>
            <w:pPr>
              <w:spacing w:line="288" w:lineRule="auto"/>
            </w:pPr>
            <w:r/>
            <w:r>
              <w:rPr>
                <w:rFonts w:ascii="Times New Roman" w:hAnsi="Times New Roman"/>
                <w:b w:val="0"/>
                <w:sz w:val="20"/>
              </w:rPr>
              <w:t>§6.2</w:t>
            </w:r>
          </w:p>
        </w:tc>
      </w:tr>
      <w:tr>
        <w:tc>
          <w:tcPr>
            <w:tcW w:type="dxa" w:w="3402"/>
          </w:tcPr>
          <w:p>
            <w:pPr>
              <w:spacing w:line="288" w:lineRule="auto"/>
            </w:pPr>
            <w:r/>
            <w:r>
              <w:rPr>
                <w:rFonts w:ascii="Times New Roman" w:hAnsi="Times New Roman"/>
                <w:b w:val="0"/>
                <w:sz w:val="20"/>
              </w:rPr>
              <w:t>Grid voltage RMS</w:t>
            </w:r>
          </w:p>
        </w:tc>
        <w:tc>
          <w:tcPr>
            <w:tcW w:type="dxa" w:w="1417"/>
          </w:tcPr>
          <w:p>
            <w:pPr>
              <w:spacing w:line="288" w:lineRule="auto"/>
            </w:pPr>
            <w:r/>
            <w:r>
              <w:rPr>
                <w:rFonts w:ascii="Times New Roman" w:hAnsi="Times New Roman"/>
                <w:b w:val="0"/>
                <w:sz w:val="20"/>
              </w:rPr>
              <w:t>V_grid</w:t>
            </w:r>
          </w:p>
        </w:tc>
        <w:tc>
          <w:tcPr>
            <w:tcW w:type="dxa" w:w="1417"/>
          </w:tcPr>
          <w:p>
            <w:pPr>
              <w:spacing w:line="288" w:lineRule="auto"/>
            </w:pPr>
            <w:r/>
            <w:r>
              <w:rPr>
                <w:rFonts w:ascii="Times New Roman" w:hAnsi="Times New Roman"/>
                <w:b w:val="0"/>
                <w:sz w:val="20"/>
              </w:rPr>
              <w:t>230 V</w:t>
            </w:r>
          </w:p>
        </w:tc>
        <w:tc>
          <w:tcPr>
            <w:tcW w:type="dxa" w:w="2268"/>
          </w:tcPr>
          <w:p>
            <w:pPr>
              <w:spacing w:line="288" w:lineRule="auto"/>
            </w:pPr>
            <w:r/>
            <w:r>
              <w:rPr>
                <w:rFonts w:ascii="Times New Roman" w:hAnsi="Times New Roman"/>
                <w:b w:val="0"/>
                <w:sz w:val="20"/>
              </w:rPr>
              <w:t>§6.1</w:t>
            </w:r>
          </w:p>
        </w:tc>
      </w:tr>
      <w:tr>
        <w:tc>
          <w:tcPr>
            <w:tcW w:type="dxa" w:w="3402"/>
          </w:tcPr>
          <w:p>
            <w:pPr>
              <w:spacing w:line="288" w:lineRule="auto"/>
            </w:pPr>
            <w:r/>
            <w:r>
              <w:rPr>
                <w:rFonts w:ascii="Times New Roman" w:hAnsi="Times New Roman"/>
                <w:b w:val="0"/>
                <w:sz w:val="20"/>
              </w:rPr>
              <w:t>Grid voltage peak</w:t>
            </w:r>
          </w:p>
        </w:tc>
        <w:tc>
          <w:tcPr>
            <w:tcW w:type="dxa" w:w="1417"/>
          </w:tcPr>
          <w:p>
            <w:pPr>
              <w:spacing w:line="288" w:lineRule="auto"/>
            </w:pPr>
            <w:r/>
            <w:r>
              <w:rPr>
                <w:rFonts w:ascii="Times New Roman" w:hAnsi="Times New Roman"/>
                <w:b w:val="0"/>
                <w:sz w:val="20"/>
              </w:rPr>
              <w:t>V_pk</w:t>
            </w:r>
          </w:p>
        </w:tc>
        <w:tc>
          <w:tcPr>
            <w:tcW w:type="dxa" w:w="1417"/>
          </w:tcPr>
          <w:p>
            <w:pPr>
              <w:spacing w:line="288" w:lineRule="auto"/>
            </w:pPr>
            <w:r/>
            <w:r>
              <w:rPr>
                <w:rFonts w:ascii="Times New Roman" w:hAnsi="Times New Roman"/>
                <w:b w:val="0"/>
                <w:sz w:val="20"/>
              </w:rPr>
              <w:t>325.27 V</w:t>
            </w:r>
          </w:p>
        </w:tc>
        <w:tc>
          <w:tcPr>
            <w:tcW w:type="dxa" w:w="2268"/>
          </w:tcPr>
          <w:p>
            <w:pPr>
              <w:spacing w:line="288" w:lineRule="auto"/>
            </w:pPr>
            <w:r/>
            <w:r>
              <w:rPr>
                <w:rFonts w:ascii="Times New Roman" w:hAnsi="Times New Roman"/>
                <w:b w:val="0"/>
                <w:sz w:val="20"/>
              </w:rPr>
              <w:t>§6.2.1</w:t>
            </w:r>
          </w:p>
        </w:tc>
      </w:tr>
      <w:tr>
        <w:tc>
          <w:tcPr>
            <w:tcW w:type="dxa" w:w="3402"/>
          </w:tcPr>
          <w:p>
            <w:pPr>
              <w:spacing w:line="288" w:lineRule="auto"/>
            </w:pPr>
            <w:r/>
            <w:r>
              <w:rPr>
                <w:rFonts w:ascii="Times New Roman" w:hAnsi="Times New Roman"/>
                <w:b w:val="0"/>
                <w:sz w:val="20"/>
              </w:rPr>
              <w:t>Grid frequency</w:t>
            </w:r>
          </w:p>
        </w:tc>
        <w:tc>
          <w:tcPr>
            <w:tcW w:type="dxa" w:w="1417"/>
          </w:tcPr>
          <w:p>
            <w:pPr>
              <w:spacing w:line="288" w:lineRule="auto"/>
            </w:pPr>
            <w:r/>
            <w:r>
              <w:rPr>
                <w:rFonts w:ascii="Times New Roman" w:hAnsi="Times New Roman"/>
                <w:b w:val="0"/>
                <w:sz w:val="20"/>
              </w:rPr>
              <w:t>f_grid</w:t>
            </w:r>
          </w:p>
        </w:tc>
        <w:tc>
          <w:tcPr>
            <w:tcW w:type="dxa" w:w="1417"/>
          </w:tcPr>
          <w:p>
            <w:pPr>
              <w:spacing w:line="288" w:lineRule="auto"/>
            </w:pPr>
            <w:r/>
            <w:r>
              <w:rPr>
                <w:rFonts w:ascii="Times New Roman" w:hAnsi="Times New Roman"/>
                <w:b w:val="0"/>
                <w:sz w:val="20"/>
              </w:rPr>
              <w:t>50 Hz</w:t>
            </w:r>
          </w:p>
        </w:tc>
        <w:tc>
          <w:tcPr>
            <w:tcW w:type="dxa" w:w="2268"/>
          </w:tcPr>
          <w:p>
            <w:pPr>
              <w:spacing w:line="288" w:lineRule="auto"/>
            </w:pPr>
            <w:r/>
            <w:r>
              <w:rPr>
                <w:rFonts w:ascii="Times New Roman" w:hAnsi="Times New Roman"/>
                <w:b w:val="0"/>
                <w:sz w:val="20"/>
              </w:rPr>
              <w:t>§6.4</w:t>
            </w:r>
          </w:p>
        </w:tc>
      </w:tr>
      <w:tr>
        <w:tc>
          <w:tcPr>
            <w:tcW w:type="dxa" w:w="3402"/>
          </w:tcPr>
          <w:p>
            <w:pPr>
              <w:spacing w:line="288" w:lineRule="auto"/>
            </w:pPr>
            <w:r/>
            <w:r>
              <w:rPr>
                <w:rFonts w:ascii="Times New Roman" w:hAnsi="Times New Roman"/>
                <w:b w:val="0"/>
                <w:sz w:val="20"/>
              </w:rPr>
              <w:t>Modulation index (nominal)</w:t>
            </w:r>
          </w:p>
        </w:tc>
        <w:tc>
          <w:tcPr>
            <w:tcW w:type="dxa" w:w="1417"/>
          </w:tcPr>
          <w:p>
            <w:pPr>
              <w:spacing w:line="288" w:lineRule="auto"/>
            </w:pPr>
            <w:r/>
            <w:r>
              <w:rPr>
                <w:rFonts w:ascii="Times New Roman" w:hAnsi="Times New Roman"/>
                <w:b w:val="0"/>
                <w:sz w:val="20"/>
              </w:rPr>
              <w:t>M_nom</w:t>
            </w:r>
          </w:p>
        </w:tc>
        <w:tc>
          <w:tcPr>
            <w:tcW w:type="dxa" w:w="1417"/>
          </w:tcPr>
          <w:p>
            <w:pPr>
              <w:spacing w:line="288" w:lineRule="auto"/>
            </w:pPr>
            <w:r/>
            <w:r>
              <w:rPr>
                <w:rFonts w:ascii="Times New Roman" w:hAnsi="Times New Roman"/>
                <w:b w:val="0"/>
                <w:sz w:val="20"/>
              </w:rPr>
              <w:t>0.65</w:t>
            </w:r>
          </w:p>
        </w:tc>
        <w:tc>
          <w:tcPr>
            <w:tcW w:type="dxa" w:w="2268"/>
          </w:tcPr>
          <w:p>
            <w:pPr>
              <w:spacing w:line="288" w:lineRule="auto"/>
            </w:pPr>
            <w:r/>
            <w:r>
              <w:rPr>
                <w:rFonts w:ascii="Times New Roman" w:hAnsi="Times New Roman"/>
                <w:b w:val="0"/>
                <w:sz w:val="20"/>
              </w:rPr>
              <w:t>§6.2.1</w:t>
            </w:r>
          </w:p>
        </w:tc>
      </w:tr>
      <w:tr>
        <w:tc>
          <w:tcPr>
            <w:tcW w:type="dxa" w:w="3402"/>
          </w:tcPr>
          <w:p>
            <w:pPr>
              <w:spacing w:line="288" w:lineRule="auto"/>
            </w:pPr>
            <w:r/>
            <w:r>
              <w:rPr>
                <w:rFonts w:ascii="Times New Roman" w:hAnsi="Times New Roman"/>
                <w:b w:val="0"/>
                <w:sz w:val="20"/>
              </w:rPr>
              <w:t>Switching frequency</w:t>
            </w:r>
          </w:p>
        </w:tc>
        <w:tc>
          <w:tcPr>
            <w:tcW w:type="dxa" w:w="1417"/>
          </w:tcPr>
          <w:p>
            <w:pPr>
              <w:spacing w:line="288" w:lineRule="auto"/>
            </w:pPr>
            <w:r/>
            <w:r>
              <w:rPr>
                <w:rFonts w:ascii="Times New Roman" w:hAnsi="Times New Roman"/>
                <w:b w:val="0"/>
                <w:sz w:val="20"/>
              </w:rPr>
              <w:t>f_sw</w:t>
            </w:r>
          </w:p>
        </w:tc>
        <w:tc>
          <w:tcPr>
            <w:tcW w:type="dxa" w:w="1417"/>
          </w:tcPr>
          <w:p>
            <w:pPr>
              <w:spacing w:line="288" w:lineRule="auto"/>
            </w:pPr>
            <w:r/>
            <w:r>
              <w:rPr>
                <w:rFonts w:ascii="Times New Roman" w:hAnsi="Times New Roman"/>
                <w:b w:val="0"/>
                <w:sz w:val="20"/>
              </w:rPr>
              <w:t>20 kHz</w:t>
            </w:r>
          </w:p>
        </w:tc>
        <w:tc>
          <w:tcPr>
            <w:tcW w:type="dxa" w:w="2268"/>
          </w:tcPr>
          <w:p>
            <w:pPr>
              <w:spacing w:line="288" w:lineRule="auto"/>
            </w:pPr>
            <w:r/>
            <w:r>
              <w:rPr>
                <w:rFonts w:ascii="Times New Roman" w:hAnsi="Times New Roman"/>
                <w:b w:val="0"/>
                <w:sz w:val="20"/>
              </w:rPr>
              <w:t>§6.10</w:t>
            </w:r>
          </w:p>
        </w:tc>
      </w:tr>
      <w:tr>
        <w:tc>
          <w:tcPr>
            <w:tcW w:type="dxa" w:w="3402"/>
          </w:tcPr>
          <w:p>
            <w:pPr>
              <w:spacing w:line="288" w:lineRule="auto"/>
            </w:pPr>
            <w:r/>
            <w:r>
              <w:rPr>
                <w:rFonts w:ascii="Times New Roman" w:hAnsi="Times New Roman"/>
                <w:b w:val="0"/>
                <w:sz w:val="20"/>
              </w:rPr>
              <w:t>Z-network inductors</w:t>
            </w:r>
          </w:p>
        </w:tc>
        <w:tc>
          <w:tcPr>
            <w:tcW w:type="dxa" w:w="1417"/>
          </w:tcPr>
          <w:p>
            <w:pPr>
              <w:spacing w:line="288" w:lineRule="auto"/>
            </w:pPr>
            <w:r/>
            <w:r>
              <w:rPr>
                <w:rFonts w:ascii="Times New Roman" w:hAnsi="Times New Roman"/>
                <w:b w:val="0"/>
                <w:sz w:val="20"/>
              </w:rPr>
              <w:t>L₁, L₂</w:t>
            </w:r>
          </w:p>
        </w:tc>
        <w:tc>
          <w:tcPr>
            <w:tcW w:type="dxa" w:w="1417"/>
          </w:tcPr>
          <w:p>
            <w:pPr>
              <w:spacing w:line="288" w:lineRule="auto"/>
            </w:pPr>
            <w:r/>
            <w:r>
              <w:rPr>
                <w:rFonts w:ascii="Times New Roman" w:hAnsi="Times New Roman"/>
                <w:b w:val="0"/>
                <w:sz w:val="20"/>
              </w:rPr>
              <w:t>3 mH</w:t>
            </w:r>
          </w:p>
        </w:tc>
        <w:tc>
          <w:tcPr>
            <w:tcW w:type="dxa" w:w="2268"/>
          </w:tcPr>
          <w:p>
            <w:pPr>
              <w:spacing w:line="288" w:lineRule="auto"/>
            </w:pPr>
            <w:r/>
            <w:r>
              <w:rPr>
                <w:rFonts w:ascii="Times New Roman" w:hAnsi="Times New Roman"/>
                <w:b w:val="0"/>
                <w:sz w:val="20"/>
              </w:rPr>
              <w:t>§6.2</w:t>
            </w:r>
          </w:p>
        </w:tc>
      </w:tr>
      <w:tr>
        <w:tc>
          <w:tcPr>
            <w:tcW w:type="dxa" w:w="3402"/>
          </w:tcPr>
          <w:p>
            <w:pPr>
              <w:spacing w:line="288" w:lineRule="auto"/>
            </w:pPr>
            <w:r/>
            <w:r>
              <w:rPr>
                <w:rFonts w:ascii="Times New Roman" w:hAnsi="Times New Roman"/>
                <w:b w:val="0"/>
                <w:sz w:val="20"/>
              </w:rPr>
              <w:t>Z-network capacitors</w:t>
            </w:r>
          </w:p>
        </w:tc>
        <w:tc>
          <w:tcPr>
            <w:tcW w:type="dxa" w:w="1417"/>
          </w:tcPr>
          <w:p>
            <w:pPr>
              <w:spacing w:line="288" w:lineRule="auto"/>
            </w:pPr>
            <w:r/>
            <w:r>
              <w:rPr>
                <w:rFonts w:ascii="Times New Roman" w:hAnsi="Times New Roman"/>
                <w:b w:val="0"/>
                <w:sz w:val="20"/>
              </w:rPr>
              <w:t>C₁, C₂</w:t>
            </w:r>
          </w:p>
        </w:tc>
        <w:tc>
          <w:tcPr>
            <w:tcW w:type="dxa" w:w="1417"/>
          </w:tcPr>
          <w:p>
            <w:pPr>
              <w:spacing w:line="288" w:lineRule="auto"/>
            </w:pPr>
            <w:r/>
            <w:r>
              <w:rPr>
                <w:rFonts w:ascii="Times New Roman" w:hAnsi="Times New Roman"/>
                <w:b w:val="0"/>
                <w:sz w:val="20"/>
              </w:rPr>
              <w:t>10 µF</w:t>
            </w:r>
          </w:p>
        </w:tc>
        <w:tc>
          <w:tcPr>
            <w:tcW w:type="dxa" w:w="2268"/>
          </w:tcPr>
          <w:p>
            <w:pPr>
              <w:spacing w:line="288" w:lineRule="auto"/>
            </w:pPr>
            <w:r/>
            <w:r>
              <w:rPr>
                <w:rFonts w:ascii="Times New Roman" w:hAnsi="Times New Roman"/>
                <w:b w:val="0"/>
                <w:sz w:val="20"/>
              </w:rPr>
              <w:t>§6.2</w:t>
            </w:r>
          </w:p>
        </w:tc>
      </w:tr>
      <w:tr>
        <w:tc>
          <w:tcPr>
            <w:tcW w:type="dxa" w:w="3402"/>
          </w:tcPr>
          <w:p>
            <w:pPr>
              <w:spacing w:line="288" w:lineRule="auto"/>
            </w:pPr>
            <w:r/>
            <w:r>
              <w:rPr>
                <w:rFonts w:ascii="Times New Roman" w:hAnsi="Times New Roman"/>
                <w:b w:val="0"/>
                <w:sz w:val="20"/>
              </w:rPr>
              <w:t>Output filter inductor</w:t>
            </w:r>
          </w:p>
        </w:tc>
        <w:tc>
          <w:tcPr>
            <w:tcW w:type="dxa" w:w="1417"/>
          </w:tcPr>
          <w:p>
            <w:pPr>
              <w:spacing w:line="288" w:lineRule="auto"/>
            </w:pPr>
            <w:r/>
            <w:r>
              <w:rPr>
                <w:rFonts w:ascii="Times New Roman" w:hAnsi="Times New Roman"/>
                <w:b w:val="0"/>
                <w:sz w:val="20"/>
              </w:rPr>
              <w:t>L_f</w:t>
            </w:r>
          </w:p>
        </w:tc>
        <w:tc>
          <w:tcPr>
            <w:tcW w:type="dxa" w:w="1417"/>
          </w:tcPr>
          <w:p>
            <w:pPr>
              <w:spacing w:line="288" w:lineRule="auto"/>
            </w:pPr>
            <w:r/>
            <w:r>
              <w:rPr>
                <w:rFonts w:ascii="Times New Roman" w:hAnsi="Times New Roman"/>
                <w:b w:val="0"/>
                <w:sz w:val="20"/>
              </w:rPr>
              <w:t>5 mH</w:t>
            </w:r>
          </w:p>
        </w:tc>
        <w:tc>
          <w:tcPr>
            <w:tcW w:type="dxa" w:w="2268"/>
          </w:tcPr>
          <w:p>
            <w:pPr>
              <w:spacing w:line="288" w:lineRule="auto"/>
            </w:pPr>
            <w:r/>
            <w:r>
              <w:rPr>
                <w:rFonts w:ascii="Times New Roman" w:hAnsi="Times New Roman"/>
                <w:b w:val="0"/>
                <w:sz w:val="20"/>
              </w:rPr>
              <w:t>§6.10</w:t>
            </w:r>
          </w:p>
        </w:tc>
      </w:tr>
      <w:tr>
        <w:tc>
          <w:tcPr>
            <w:tcW w:type="dxa" w:w="3402"/>
          </w:tcPr>
          <w:p>
            <w:pPr>
              <w:spacing w:line="288" w:lineRule="auto"/>
            </w:pPr>
            <w:r/>
            <w:r>
              <w:rPr>
                <w:rFonts w:ascii="Times New Roman" w:hAnsi="Times New Roman"/>
                <w:b w:val="0"/>
                <w:sz w:val="20"/>
              </w:rPr>
              <w:t>Input filter capacitor</w:t>
            </w:r>
          </w:p>
        </w:tc>
        <w:tc>
          <w:tcPr>
            <w:tcW w:type="dxa" w:w="1417"/>
          </w:tcPr>
          <w:p>
            <w:pPr>
              <w:spacing w:line="288" w:lineRule="auto"/>
            </w:pPr>
            <w:r/>
            <w:r>
              <w:rPr>
                <w:rFonts w:ascii="Times New Roman" w:hAnsi="Times New Roman"/>
                <w:b w:val="0"/>
                <w:sz w:val="20"/>
              </w:rPr>
              <w:t>C_pv</w:t>
            </w:r>
          </w:p>
        </w:tc>
        <w:tc>
          <w:tcPr>
            <w:tcW w:type="dxa" w:w="1417"/>
          </w:tcPr>
          <w:p>
            <w:pPr>
              <w:spacing w:line="288" w:lineRule="auto"/>
            </w:pPr>
            <w:r/>
            <w:r>
              <w:rPr>
                <w:rFonts w:ascii="Times New Roman" w:hAnsi="Times New Roman"/>
                <w:b w:val="0"/>
                <w:sz w:val="20"/>
              </w:rPr>
              <w:t>3500 µF</w:t>
            </w:r>
          </w:p>
        </w:tc>
        <w:tc>
          <w:tcPr>
            <w:tcW w:type="dxa" w:w="2268"/>
          </w:tcPr>
          <w:p>
            <w:pPr>
              <w:spacing w:line="288" w:lineRule="auto"/>
            </w:pPr>
            <w:r/>
            <w:r>
              <w:rPr>
                <w:rFonts w:ascii="Times New Roman" w:hAnsi="Times New Roman"/>
                <w:b w:val="0"/>
                <w:sz w:val="20"/>
              </w:rPr>
              <w:t>§6.5</w:t>
            </w:r>
          </w:p>
        </w:tc>
      </w:tr>
      <w:tr>
        <w:tc>
          <w:tcPr>
            <w:tcW w:type="dxa" w:w="3402"/>
          </w:tcPr>
          <w:p>
            <w:pPr>
              <w:spacing w:line="288" w:lineRule="auto"/>
            </w:pPr>
            <w:r/>
            <w:r>
              <w:rPr>
                <w:rFonts w:ascii="Times New Roman" w:hAnsi="Times New Roman"/>
                <w:b w:val="0"/>
                <w:sz w:val="20"/>
              </w:rPr>
              <w:t>MOSFET on-resistance</w:t>
            </w:r>
          </w:p>
        </w:tc>
        <w:tc>
          <w:tcPr>
            <w:tcW w:type="dxa" w:w="1417"/>
          </w:tcPr>
          <w:p>
            <w:pPr>
              <w:spacing w:line="288" w:lineRule="auto"/>
            </w:pPr>
            <w:r/>
            <w:r>
              <w:rPr>
                <w:rFonts w:ascii="Times New Roman" w:hAnsi="Times New Roman"/>
                <w:b w:val="0"/>
                <w:sz w:val="20"/>
              </w:rPr>
              <w:t>R_on</w:t>
            </w:r>
          </w:p>
        </w:tc>
        <w:tc>
          <w:tcPr>
            <w:tcW w:type="dxa" w:w="1417"/>
          </w:tcPr>
          <w:p>
            <w:pPr>
              <w:spacing w:line="288" w:lineRule="auto"/>
            </w:pPr>
            <w:r/>
            <w:r>
              <w:rPr>
                <w:rFonts w:ascii="Times New Roman" w:hAnsi="Times New Roman"/>
                <w:b w:val="0"/>
                <w:sz w:val="20"/>
              </w:rPr>
              <w:t>0.1 Ω</w:t>
            </w:r>
          </w:p>
        </w:tc>
        <w:tc>
          <w:tcPr>
            <w:tcW w:type="dxa" w:w="2268"/>
          </w:tcPr>
          <w:p>
            <w:pPr>
              <w:spacing w:line="288" w:lineRule="auto"/>
            </w:pPr>
            <w:r/>
            <w:r>
              <w:rPr>
                <w:rFonts w:ascii="Times New Roman" w:hAnsi="Times New Roman"/>
                <w:b w:val="0"/>
                <w:sz w:val="20"/>
              </w:rPr>
              <w:t>§6.14</w:t>
            </w:r>
          </w:p>
        </w:tc>
      </w:tr>
      <w:tr>
        <w:tc>
          <w:tcPr>
            <w:tcW w:type="dxa" w:w="3402"/>
          </w:tcPr>
          <w:p>
            <w:pPr>
              <w:spacing w:line="288" w:lineRule="auto"/>
            </w:pPr>
            <w:r/>
            <w:r>
              <w:rPr>
                <w:rFonts w:ascii="Times New Roman" w:hAnsi="Times New Roman"/>
                <w:b w:val="0"/>
                <w:sz w:val="20"/>
              </w:rPr>
              <w:t>Power rating</w:t>
            </w:r>
          </w:p>
        </w:tc>
        <w:tc>
          <w:tcPr>
            <w:tcW w:type="dxa" w:w="1417"/>
          </w:tcPr>
          <w:p>
            <w:pPr>
              <w:spacing w:line="288" w:lineRule="auto"/>
            </w:pPr>
            <w:r/>
            <w:r>
              <w:rPr>
                <w:rFonts w:ascii="Times New Roman" w:hAnsi="Times New Roman"/>
                <w:b w:val="0"/>
                <w:sz w:val="20"/>
              </w:rPr>
              <w:t>P_rated</w:t>
            </w:r>
          </w:p>
        </w:tc>
        <w:tc>
          <w:tcPr>
            <w:tcW w:type="dxa" w:w="1417"/>
          </w:tcPr>
          <w:p>
            <w:pPr>
              <w:spacing w:line="288" w:lineRule="auto"/>
            </w:pPr>
            <w:r/>
            <w:r>
              <w:rPr>
                <w:rFonts w:ascii="Times New Roman" w:hAnsi="Times New Roman"/>
                <w:b w:val="0"/>
                <w:sz w:val="20"/>
              </w:rPr>
              <w:t>3000 W</w:t>
            </w:r>
          </w:p>
        </w:tc>
        <w:tc>
          <w:tcPr>
            <w:tcW w:type="dxa" w:w="2268"/>
          </w:tcPr>
          <w:p>
            <w:pPr>
              <w:spacing w:line="288" w:lineRule="auto"/>
            </w:pPr>
            <w:r/>
            <w:r>
              <w:rPr>
                <w:rFonts w:ascii="Times New Roman" w:hAnsi="Times New Roman"/>
                <w:b w:val="0"/>
                <w:sz w:val="20"/>
              </w:rPr>
              <w:t>§6.5</w:t>
            </w:r>
          </w:p>
        </w:tc>
      </w:tr>
      <w:tr>
        <w:tc>
          <w:tcPr>
            <w:tcW w:type="dxa" w:w="3402"/>
          </w:tcPr>
          <w:p>
            <w:pPr>
              <w:spacing w:line="288" w:lineRule="auto"/>
            </w:pPr>
            <w:r/>
            <w:r>
              <w:rPr>
                <w:rFonts w:ascii="Times New Roman" w:hAnsi="Times New Roman"/>
                <w:b w:val="0"/>
                <w:sz w:val="20"/>
              </w:rPr>
              <w:t>DC voltage PI K_p</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0.5</w:t>
            </w:r>
          </w:p>
        </w:tc>
        <w:tc>
          <w:tcPr>
            <w:tcW w:type="dxa" w:w="2268"/>
          </w:tcPr>
          <w:p>
            <w:pPr>
              <w:spacing w:line="288" w:lineRule="auto"/>
            </w:pPr>
            <w:r/>
            <w:r>
              <w:rPr>
                <w:rFonts w:ascii="Times New Roman" w:hAnsi="Times New Roman"/>
                <w:b w:val="0"/>
                <w:sz w:val="20"/>
              </w:rPr>
              <w:t>§6.8</w:t>
            </w:r>
          </w:p>
        </w:tc>
      </w:tr>
      <w:tr>
        <w:tc>
          <w:tcPr>
            <w:tcW w:type="dxa" w:w="3402"/>
          </w:tcPr>
          <w:p>
            <w:pPr>
              <w:spacing w:line="288" w:lineRule="auto"/>
            </w:pPr>
            <w:r/>
            <w:r>
              <w:rPr>
                <w:rFonts w:ascii="Times New Roman" w:hAnsi="Times New Roman"/>
                <w:b w:val="0"/>
                <w:sz w:val="20"/>
              </w:rPr>
              <w:t>DC voltage PI K_i</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15</w:t>
            </w:r>
          </w:p>
        </w:tc>
        <w:tc>
          <w:tcPr>
            <w:tcW w:type="dxa" w:w="2268"/>
          </w:tcPr>
          <w:p>
            <w:pPr>
              <w:spacing w:line="288" w:lineRule="auto"/>
            </w:pPr>
            <w:r/>
            <w:r>
              <w:rPr>
                <w:rFonts w:ascii="Times New Roman" w:hAnsi="Times New Roman"/>
                <w:b w:val="0"/>
                <w:sz w:val="20"/>
              </w:rPr>
              <w:t>§6.8</w:t>
            </w:r>
          </w:p>
        </w:tc>
      </w:tr>
      <w:tr>
        <w:tc>
          <w:tcPr>
            <w:tcW w:type="dxa" w:w="3402"/>
          </w:tcPr>
          <w:p>
            <w:pPr>
              <w:spacing w:line="288" w:lineRule="auto"/>
            </w:pPr>
            <w:r/>
            <w:r>
              <w:rPr>
                <w:rFonts w:ascii="Times New Roman" w:hAnsi="Times New Roman"/>
                <w:b w:val="0"/>
                <w:sz w:val="20"/>
              </w:rPr>
              <w:t>Current PI K_p</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0.5</w:t>
            </w:r>
          </w:p>
        </w:tc>
        <w:tc>
          <w:tcPr>
            <w:tcW w:type="dxa" w:w="2268"/>
          </w:tcPr>
          <w:p>
            <w:pPr>
              <w:spacing w:line="288" w:lineRule="auto"/>
            </w:pPr>
            <w:r/>
            <w:r>
              <w:rPr>
                <w:rFonts w:ascii="Times New Roman" w:hAnsi="Times New Roman"/>
                <w:b w:val="0"/>
                <w:sz w:val="20"/>
              </w:rPr>
              <w:t>§6.9</w:t>
            </w:r>
          </w:p>
        </w:tc>
      </w:tr>
      <w:tr>
        <w:tc>
          <w:tcPr>
            <w:tcW w:type="dxa" w:w="3402"/>
          </w:tcPr>
          <w:p>
            <w:pPr>
              <w:spacing w:line="288" w:lineRule="auto"/>
            </w:pPr>
            <w:r/>
            <w:r>
              <w:rPr>
                <w:rFonts w:ascii="Times New Roman" w:hAnsi="Times New Roman"/>
                <w:b w:val="0"/>
                <w:sz w:val="20"/>
              </w:rPr>
              <w:t>Current PI K_i</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15</w:t>
            </w:r>
          </w:p>
        </w:tc>
        <w:tc>
          <w:tcPr>
            <w:tcW w:type="dxa" w:w="2268"/>
          </w:tcPr>
          <w:p>
            <w:pPr>
              <w:spacing w:line="288" w:lineRule="auto"/>
            </w:pPr>
            <w:r/>
            <w:r>
              <w:rPr>
                <w:rFonts w:ascii="Times New Roman" w:hAnsi="Times New Roman"/>
                <w:b w:val="0"/>
                <w:sz w:val="20"/>
              </w:rPr>
              <w:t>§6.9</w:t>
            </w:r>
          </w:p>
        </w:tc>
      </w:tr>
      <w:tr>
        <w:tc>
          <w:tcPr>
            <w:tcW w:type="dxa" w:w="3402"/>
          </w:tcPr>
          <w:p>
            <w:pPr>
              <w:spacing w:line="288" w:lineRule="auto"/>
            </w:pPr>
            <w:r/>
            <w:r>
              <w:rPr>
                <w:rFonts w:ascii="Times New Roman" w:hAnsi="Times New Roman"/>
                <w:b w:val="0"/>
                <w:sz w:val="20"/>
              </w:rPr>
              <w:t>PR controller K_p</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scheduled (Table 6.3)</w:t>
            </w:r>
          </w:p>
        </w:tc>
        <w:tc>
          <w:tcPr>
            <w:tcW w:type="dxa" w:w="2268"/>
          </w:tcPr>
          <w:p>
            <w:pPr>
              <w:spacing w:line="288" w:lineRule="auto"/>
            </w:pPr>
            <w:r/>
            <w:r>
              <w:rPr>
                <w:rFonts w:ascii="Times New Roman" w:hAnsi="Times New Roman"/>
                <w:b w:val="0"/>
                <w:sz w:val="20"/>
              </w:rPr>
              <w:t>§6.11</w:t>
            </w:r>
          </w:p>
        </w:tc>
      </w:tr>
      <w:tr>
        <w:tc>
          <w:tcPr>
            <w:tcW w:type="dxa" w:w="3402"/>
          </w:tcPr>
          <w:p>
            <w:pPr>
              <w:spacing w:line="288" w:lineRule="auto"/>
            </w:pPr>
            <w:r/>
            <w:r>
              <w:rPr>
                <w:rFonts w:ascii="Times New Roman" w:hAnsi="Times New Roman"/>
                <w:b w:val="0"/>
                <w:sz w:val="20"/>
              </w:rPr>
              <w:t>PR controller K_r</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scheduled (Table 6.3)</w:t>
            </w:r>
          </w:p>
        </w:tc>
        <w:tc>
          <w:tcPr>
            <w:tcW w:type="dxa" w:w="2268"/>
          </w:tcPr>
          <w:p>
            <w:pPr>
              <w:spacing w:line="288" w:lineRule="auto"/>
            </w:pPr>
            <w:r/>
            <w:r>
              <w:rPr>
                <w:rFonts w:ascii="Times New Roman" w:hAnsi="Times New Roman"/>
                <w:b w:val="0"/>
                <w:sz w:val="20"/>
              </w:rPr>
              <w:t>§6.11</w:t>
            </w:r>
          </w:p>
        </w:tc>
      </w:tr>
      <w:tr>
        <w:tc>
          <w:tcPr>
            <w:tcW w:type="dxa" w:w="3402"/>
          </w:tcPr>
          <w:p>
            <w:pPr>
              <w:spacing w:line="288" w:lineRule="auto"/>
            </w:pPr>
            <w:r/>
            <w:r>
              <w:rPr>
                <w:rFonts w:ascii="Times New Roman" w:hAnsi="Times New Roman"/>
                <w:b w:val="0"/>
                <w:sz w:val="20"/>
              </w:rPr>
              <w:t>PR controller ω_c</w:t>
            </w:r>
          </w:p>
        </w:tc>
        <w:tc>
          <w:tcPr>
            <w:tcW w:type="dxa" w:w="1417"/>
          </w:tcPr>
          <w:p>
            <w:pPr>
              <w:spacing w:line="288" w:lineRule="auto"/>
            </w:pPr>
            <w:r/>
            <w:r>
              <w:rPr>
                <w:rFonts w:ascii="Times New Roman" w:hAnsi="Times New Roman"/>
                <w:b w:val="0"/>
                <w:sz w:val="20"/>
              </w:rPr>
            </w:r>
          </w:p>
        </w:tc>
        <w:tc>
          <w:tcPr>
            <w:tcW w:type="dxa" w:w="1417"/>
          </w:tcPr>
          <w:p>
            <w:pPr>
              <w:spacing w:line="288" w:lineRule="auto"/>
            </w:pPr>
            <w:r/>
            <w:r>
              <w:rPr>
                <w:rFonts w:ascii="Times New Roman" w:hAnsi="Times New Roman"/>
                <w:b w:val="0"/>
                <w:sz w:val="20"/>
              </w:rPr>
              <w:t>2π × 5 rad/s</w:t>
            </w:r>
          </w:p>
        </w:tc>
        <w:tc>
          <w:tcPr>
            <w:tcW w:type="dxa" w:w="2268"/>
          </w:tcPr>
          <w:p>
            <w:pPr>
              <w:spacing w:line="288" w:lineRule="auto"/>
            </w:pPr>
            <w:r/>
            <w:r>
              <w:rPr>
                <w:rFonts w:ascii="Times New Roman" w:hAnsi="Times New Roman"/>
                <w:b w:val="0"/>
                <w:sz w:val="20"/>
              </w:rPr>
              <w:t>§6.11</w:t>
            </w:r>
          </w:p>
        </w:tc>
      </w:tr>
      <w:tr>
        <w:tc>
          <w:tcPr>
            <w:tcW w:type="dxa" w:w="3402"/>
          </w:tcPr>
          <w:p>
            <w:pPr>
              <w:spacing w:line="288" w:lineRule="auto"/>
            </w:pPr>
            <w:r/>
            <w:r>
              <w:rPr>
                <w:rFonts w:ascii="Times New Roman" w:hAnsi="Times New Roman"/>
                <w:b w:val="0"/>
                <w:sz w:val="20"/>
              </w:rPr>
              <w:t>PLL gain</w:t>
            </w:r>
          </w:p>
        </w:tc>
        <w:tc>
          <w:tcPr>
            <w:tcW w:type="dxa" w:w="1417"/>
          </w:tcPr>
          <w:p>
            <w:pPr>
              <w:spacing w:line="288" w:lineRule="auto"/>
            </w:pPr>
            <w:r/>
            <w:r>
              <w:rPr>
                <w:rFonts w:ascii="Times New Roman" w:hAnsi="Times New Roman"/>
                <w:b w:val="0"/>
                <w:sz w:val="20"/>
              </w:rPr>
              <w:t>k_SOGI</w:t>
            </w:r>
          </w:p>
        </w:tc>
        <w:tc>
          <w:tcPr>
            <w:tcW w:type="dxa" w:w="1417"/>
          </w:tcPr>
          <w:p>
            <w:pPr>
              <w:spacing w:line="288" w:lineRule="auto"/>
            </w:pPr>
            <w:r/>
            <w:r>
              <w:rPr>
                <w:rFonts w:ascii="Times New Roman" w:hAnsi="Times New Roman"/>
                <w:b w:val="0"/>
                <w:sz w:val="20"/>
              </w:rPr>
              <w:t>√2</w:t>
            </w:r>
          </w:p>
        </w:tc>
        <w:tc>
          <w:tcPr>
            <w:tcW w:type="dxa" w:w="2268"/>
          </w:tcPr>
          <w:p>
            <w:pPr>
              <w:spacing w:line="288" w:lineRule="auto"/>
            </w:pPr>
            <w:r/>
            <w:r>
              <w:rPr>
                <w:rFonts w:ascii="Times New Roman" w:hAnsi="Times New Roman"/>
                <w:b w:val="0"/>
                <w:sz w:val="20"/>
              </w:rPr>
              <w:t>§6.7</w:t>
            </w:r>
          </w:p>
        </w:tc>
      </w:tr>
    </w:tbl>
    <w:p/>
    <w:p>
      <w:pPr>
        <w:pStyle w:val="Heading2"/>
        <w:spacing w:before="240" w:after="120"/>
      </w:pPr>
      <w:r>
        <w:rPr>
          <w:rFonts w:ascii="Times New Roman" w:hAnsi="Times New Roman"/>
          <w:b/>
          <w:color w:val="000000"/>
          <w:sz w:val="26"/>
        </w:rPr>
        <w:t>6.15.3 Reproducibility Procedure</w:t>
      </w:r>
    </w:p>
    <w:p>
      <w:pPr>
        <w:spacing w:line="360" w:lineRule="auto" w:after="120"/>
        <w:jc w:val="both"/>
      </w:pPr>
      <w:r>
        <w:rPr>
          <w:rFonts w:ascii="Times New Roman" w:hAnsi="Times New Roman"/>
          <w:sz w:val="22"/>
        </w:rPr>
        <w:t>Reproducing any simulation result in this chapter requires the following steps:</w:t>
      </w:r>
    </w:p>
    <w:p>
      <w:pPr>
        <w:pStyle w:val="ListBullet"/>
        <w:spacing w:line="360" w:lineRule="auto" w:after="80"/>
      </w:pPr>
      <w:r>
        <w:rPr>
          <w:rFonts w:ascii="Times New Roman" w:hAnsi="Times New Roman"/>
          <w:sz w:val="22"/>
        </w:rPr>
        <w:t>Install MATLAB R2026a with the required toolboxes.</w:t>
      </w:r>
    </w:p>
    <w:p>
      <w:pPr>
        <w:pStyle w:val="ListBullet"/>
        <w:spacing w:line="360" w:lineRule="auto" w:after="80"/>
      </w:pPr>
      <w:r>
        <w:rPr>
          <w:rFonts w:ascii="Times New Roman" w:hAnsi="Times New Roman"/>
          <w:sz w:val="22"/>
        </w:rPr>
        <w:t>Obtain the Simulink model from the project repository.</w:t>
      </w:r>
    </w:p>
    <w:p>
      <w:pPr>
        <w:pStyle w:val="ListBullet"/>
        <w:spacing w:line="360" w:lineRule="auto" w:after="80"/>
      </w:pPr>
      <w:r>
        <w:rPr>
          <w:rFonts w:ascii="Times New Roman" w:hAnsi="Times New Roman"/>
          <w:sz w:val="22"/>
        </w:rPr>
        <w:t>Run the gain schedule design script to populate the K_p(M_avg) and K_r(M_avg) lookup tables in the model.</w:t>
      </w:r>
    </w:p>
    <w:p>
      <w:pPr>
        <w:pStyle w:val="ListBullet"/>
        <w:spacing w:line="360" w:lineRule="auto" w:after="80"/>
      </w:pPr>
      <w:r>
        <w:rPr>
          <w:rFonts w:ascii="Times New Roman" w:hAnsi="Times New Roman"/>
          <w:sz w:val="22"/>
        </w:rPr>
        <w:t>Open the Simulink model.</w:t>
      </w:r>
    </w:p>
    <w:p>
      <w:pPr>
        <w:pStyle w:val="ListBullet"/>
        <w:spacing w:line="360" w:lineRule="auto" w:after="80"/>
      </w:pPr>
      <w:r>
        <w:rPr>
          <w:rFonts w:ascii="Times New Roman" w:hAnsi="Times New Roman"/>
          <w:sz w:val="22"/>
        </w:rPr>
        <w:t>Configure the study-specific parameters per §6.17.</w:t>
      </w:r>
    </w:p>
    <w:p>
      <w:pPr>
        <w:pStyle w:val="ListBullet"/>
        <w:spacing w:line="360" w:lineRule="auto" w:after="80"/>
      </w:pPr>
      <w:r>
        <w:rPr>
          <w:rFonts w:ascii="Times New Roman" w:hAnsi="Times New Roman"/>
          <w:sz w:val="22"/>
        </w:rPr>
        <w:t>Press Run to start the simulation.</w:t>
      </w:r>
    </w:p>
    <w:p>
      <w:pPr>
        <w:pStyle w:val="ListBullet"/>
        <w:spacing w:line="360" w:lineRule="auto" w:after="80"/>
      </w:pPr>
      <w:r>
        <w:rPr>
          <w:rFonts w:ascii="Times New Roman" w:hAnsi="Times New Roman"/>
          <w:sz w:val="22"/>
        </w:rPr>
        <w:t>After simulation completes, post-process the logged signals to compute metrics and generate the figures.</w:t>
      </w:r>
    </w:p>
    <w:p>
      <w:pPr>
        <w:pStyle w:val="Heading2"/>
        <w:spacing w:before="240" w:after="120"/>
      </w:pPr>
      <w:r>
        <w:rPr>
          <w:rFonts w:ascii="Times New Roman" w:hAnsi="Times New Roman"/>
          <w:b/>
          <w:color w:val="000000"/>
          <w:sz w:val="26"/>
        </w:rPr>
        <w:t>6.15.4 Common Axes for Comparison Plots</w:t>
      </w:r>
    </w:p>
    <w:p>
      <w:pPr>
        <w:spacing w:line="360" w:lineRule="auto" w:after="120"/>
        <w:jc w:val="both"/>
      </w:pPr>
      <w:r>
        <w:rPr>
          <w:rFonts w:ascii="Times New Roman" w:hAnsi="Times New Roman"/>
          <w:sz w:val="22"/>
        </w:rPr>
        <w:t>In response to the viva examiner's request for common axes in comparison plots, all comparable simulation outputs in this chapter use the following standardised axis ranges where applicable:</w:t>
      </w:r>
    </w:p>
    <w:p>
      <w:pPr>
        <w:pStyle w:val="ListBullet"/>
        <w:spacing w:line="360" w:lineRule="auto" w:after="80"/>
      </w:pPr>
      <w:r>
        <w:rPr>
          <w:rFonts w:ascii="Times New Roman" w:hAnsi="Times New Roman"/>
          <w:sz w:val="22"/>
        </w:rPr>
        <w:t>Time axis: 0 to 1.0 s for transient studies, with disturbance applied at t = 0.5 s.</w:t>
      </w:r>
    </w:p>
    <w:p>
      <w:pPr>
        <w:pStyle w:val="ListBullet"/>
        <w:spacing w:line="360" w:lineRule="auto" w:after="80"/>
      </w:pPr>
      <w:r>
        <w:rPr>
          <w:rFonts w:ascii="Times New Roman" w:hAnsi="Times New Roman"/>
          <w:sz w:val="22"/>
        </w:rPr>
        <w:t>Grid current axis: ±20 A.</w:t>
      </w:r>
    </w:p>
    <w:p>
      <w:pPr>
        <w:pStyle w:val="ListBullet"/>
        <w:spacing w:line="360" w:lineRule="auto" w:after="80"/>
      </w:pPr>
      <w:r>
        <w:rPr>
          <w:rFonts w:ascii="Times New Roman" w:hAnsi="Times New Roman"/>
          <w:sz w:val="22"/>
        </w:rPr>
        <w:t>Grid voltage axis: ±400 V.</w:t>
      </w:r>
    </w:p>
    <w:p>
      <w:pPr>
        <w:pStyle w:val="ListBullet"/>
        <w:spacing w:line="360" w:lineRule="auto" w:after="80"/>
      </w:pPr>
      <w:r>
        <w:rPr>
          <w:rFonts w:ascii="Times New Roman" w:hAnsi="Times New Roman"/>
          <w:sz w:val="22"/>
        </w:rPr>
        <w:t>V_DC axis: 0 to 600 V.</w:t>
      </w:r>
    </w:p>
    <w:p>
      <w:pPr>
        <w:pStyle w:val="ListBullet"/>
        <w:spacing w:line="360" w:lineRule="auto" w:after="80"/>
      </w:pPr>
      <w:r>
        <w:rPr>
          <w:rFonts w:ascii="Times New Roman" w:hAnsi="Times New Roman"/>
          <w:sz w:val="22"/>
        </w:rPr>
        <w:t>FFT frequency axis: 0 to 2.5 kHz on a linear scale.</w:t>
      </w:r>
    </w:p>
    <w:p>
      <w:pPr>
        <w:pStyle w:val="Heading1"/>
        <w:spacing w:before="360" w:after="160"/>
      </w:pPr>
      <w:r>
        <w:rPr>
          <w:rFonts w:ascii="Times New Roman" w:hAnsi="Times New Roman"/>
          <w:b/>
          <w:color w:val="000000"/>
          <w:sz w:val="32"/>
        </w:rPr>
        <w:t>6.16 Relationship to the Author's 2020 Published Work</w:t>
      </w:r>
    </w:p>
    <w:p>
      <w:pPr>
        <w:spacing w:line="360" w:lineRule="auto" w:after="120"/>
        <w:jc w:val="both"/>
      </w:pPr>
      <w:r>
        <w:rPr>
          <w:rFonts w:ascii="Times New Roman" w:hAnsi="Times New Roman"/>
          <w:sz w:val="22"/>
        </w:rPr>
        <w:t>The semi-Z-source inverter topology, the modified SPWM scheme, and the basic application of a parallel PR controller for DC-injection elimination were originally presented by the author in a paper at the IEEE PEDG conference in 2020. The present chapter extends that work in several substantive respects, with the gain-scheduled extension of the PR controller as the headline novelty. This section makes the distinction between previously published work and new thesis contributions explicit.</w:t>
      </w:r>
    </w:p>
    <w:p>
      <w:pPr>
        <w:pStyle w:val="Heading2"/>
        <w:spacing w:before="240" w:after="120"/>
      </w:pPr>
      <w:r>
        <w:rPr>
          <w:rFonts w:ascii="Times New Roman" w:hAnsi="Times New Roman"/>
          <w:b/>
          <w:color w:val="000000"/>
          <w:sz w:val="26"/>
        </w:rPr>
        <w:t>6.16.1 What is Carried Over from 2020</w:t>
      </w:r>
    </w:p>
    <w:p>
      <w:pPr>
        <w:spacing w:line="360" w:lineRule="auto" w:after="120"/>
        <w:jc w:val="both"/>
      </w:pPr>
      <w:r>
        <w:rPr>
          <w:rFonts w:ascii="Times New Roman" w:hAnsi="Times New Roman"/>
          <w:sz w:val="22"/>
        </w:rPr>
        <w:t>The following elements are carried over essentially unchanged from the 2020 paper:</w:t>
      </w:r>
    </w:p>
    <w:p>
      <w:pPr>
        <w:pStyle w:val="ListBullet"/>
        <w:spacing w:line="360" w:lineRule="auto" w:after="80"/>
      </w:pPr>
      <w:r>
        <w:rPr>
          <w:rFonts w:ascii="Times New Roman" w:hAnsi="Times New Roman"/>
          <w:sz w:val="22"/>
        </w:rPr>
        <w:t>The semi-Z-source topology itself, comprising the two-switch bridge and the Z-source impedance network.</w:t>
      </w:r>
    </w:p>
    <w:p>
      <w:pPr>
        <w:pStyle w:val="ListBullet"/>
        <w:spacing w:line="360" w:lineRule="auto" w:after="80"/>
      </w:pPr>
      <w:r>
        <w:rPr>
          <w:rFonts w:ascii="Times New Roman" w:hAnsi="Times New Roman"/>
          <w:sz w:val="22"/>
        </w:rPr>
        <w:t>The modified SPWM scheme with the non-linear duty cycle reference d(t) = (1 − M·sin(ωt))/(2 − M·sin(ωt)).</w:t>
      </w:r>
    </w:p>
    <w:p>
      <w:pPr>
        <w:pStyle w:val="ListBullet"/>
        <w:spacing w:line="360" w:lineRule="auto" w:after="80"/>
      </w:pPr>
      <w:r>
        <w:rPr>
          <w:rFonts w:ascii="Times New Roman" w:hAnsi="Times New Roman"/>
          <w:sz w:val="22"/>
        </w:rPr>
        <w:t>The parallel PR controller structure for DC-injection elimination, including the non-ideal transfer function form.</w:t>
      </w:r>
    </w:p>
    <w:p>
      <w:pPr>
        <w:pStyle w:val="ListBullet"/>
        <w:spacing w:line="360" w:lineRule="auto" w:after="80"/>
      </w:pPr>
      <w:r>
        <w:rPr>
          <w:rFonts w:ascii="Times New Roman" w:hAnsi="Times New Roman"/>
          <w:sz w:val="22"/>
        </w:rPr>
        <w:t>The fundamental observation that the semi-Z-source's single-stage operation produces unwanted DC current injection due to switching asymmetries, requiring active compensation.</w:t>
      </w:r>
    </w:p>
    <w:p>
      <w:pPr>
        <w:pStyle w:val="Heading2"/>
        <w:spacing w:before="240" w:after="120"/>
      </w:pPr>
      <w:r>
        <w:rPr>
          <w:rFonts w:ascii="Times New Roman" w:hAnsi="Times New Roman"/>
          <w:b/>
          <w:color w:val="000000"/>
          <w:sz w:val="26"/>
        </w:rPr>
        <w:t>6.16.2 What is New in this Thesis</w:t>
      </w:r>
    </w:p>
    <w:p>
      <w:pPr>
        <w:spacing w:line="360" w:lineRule="auto" w:after="120"/>
        <w:jc w:val="both"/>
      </w:pPr>
      <w:r>
        <w:rPr>
          <w:rFonts w:ascii="Times New Roman" w:hAnsi="Times New Roman"/>
          <w:sz w:val="22"/>
        </w:rPr>
        <w:t>The thesis contributes the following novel elements not present in the 2020 paper:</w:t>
      </w:r>
    </w:p>
    <w:p>
      <w:pPr>
        <w:pStyle w:val="ListBullet"/>
        <w:spacing w:line="360" w:lineRule="auto" w:after="80"/>
      </w:pPr>
      <w:r>
        <w:rPr>
          <w:rFonts w:ascii="Times New Roman" w:hAnsi="Times New Roman"/>
          <w:sz w:val="22"/>
        </w:rPr>
        <w:t>Gain scheduling of the PR controller gains against the operating-point modulation index M_avg (§6.11). This is the headline novelty of the chapter. The 2020 work used fixed gains tuned at a single operating point, with consequent performance degradation away from the design point. The present work develops an analytical gain design across the operating envelope, implements the scheduling via lookup tables driven by the runtime M_avg computation, and validates the resulting consistent performance through simulation.</w:t>
      </w:r>
    </w:p>
    <w:p>
      <w:pPr>
        <w:pStyle w:val="ListBullet"/>
        <w:spacing w:line="360" w:lineRule="auto" w:after="80"/>
      </w:pPr>
      <w:r>
        <w:rPr>
          <w:rFonts w:ascii="Times New Roman" w:hAnsi="Times New Roman"/>
          <w:sz w:val="22"/>
        </w:rPr>
        <w:t>Replacement of the constant-current source with a proper single-diode PV array model (§6.5).</w:t>
      </w:r>
    </w:p>
    <w:p>
      <w:pPr>
        <w:pStyle w:val="ListBullet"/>
        <w:spacing w:line="360" w:lineRule="auto" w:after="80"/>
      </w:pPr>
      <w:r>
        <w:rPr>
          <w:rFonts w:ascii="Times New Roman" w:hAnsi="Times New Roman"/>
          <w:sz w:val="22"/>
        </w:rPr>
        <w:t>Integration of a perturb-and-observe maximum power point tracking algorithm (§6.6).</w:t>
      </w:r>
    </w:p>
    <w:p>
      <w:pPr>
        <w:pStyle w:val="ListBullet"/>
        <w:spacing w:line="360" w:lineRule="auto" w:after="80"/>
      </w:pPr>
      <w:r>
        <w:rPr>
          <w:rFonts w:ascii="Times New Roman" w:hAnsi="Times New Roman"/>
          <w:sz w:val="22"/>
        </w:rPr>
        <w:t>Integration of the αβ-CDSC-SOGI-PLL of Chapter 4 in place of the simpler PLL used in the 2020 work (§6.7).</w:t>
      </w:r>
    </w:p>
    <w:p>
      <w:pPr>
        <w:pStyle w:val="ListBullet"/>
        <w:spacing w:line="360" w:lineRule="auto" w:after="80"/>
      </w:pPr>
      <w:r>
        <w:rPr>
          <w:rFonts w:ascii="Times New Roman" w:hAnsi="Times New Roman"/>
          <w:sz w:val="22"/>
        </w:rPr>
        <w:t>Electric vehicle interoperability treatment, including both day-mode (PV → EV + grid) and night-mode (grid → EV) operation (§6.12).</w:t>
      </w:r>
    </w:p>
    <w:p>
      <w:pPr>
        <w:pStyle w:val="ListBullet"/>
        <w:spacing w:line="360" w:lineRule="auto" w:after="80"/>
      </w:pPr>
      <w:r>
        <w:rPr>
          <w:rFonts w:ascii="Times New Roman" w:hAnsi="Times New Roman"/>
          <w:sz w:val="22"/>
        </w:rPr>
        <w:t>Quantitative loss model and efficiency evaluation across multiple operating conditions (§6.14).</w:t>
      </w:r>
    </w:p>
    <w:p>
      <w:pPr>
        <w:pStyle w:val="ListBullet"/>
        <w:spacing w:line="360" w:lineRule="auto" w:after="80"/>
      </w:pPr>
      <w:r>
        <w:rPr>
          <w:rFonts w:ascii="Times New Roman" w:hAnsi="Times New Roman"/>
          <w:sz w:val="22"/>
        </w:rPr>
        <w:t>Compliance evaluation against UK grid standards G99 and EN 50160 (§6.13).</w:t>
      </w:r>
    </w:p>
    <w:p>
      <w:pPr>
        <w:pStyle w:val="ListBullet"/>
        <w:spacing w:line="360" w:lineRule="auto" w:after="80"/>
      </w:pPr>
      <w:r>
        <w:rPr>
          <w:rFonts w:ascii="Times New Roman" w:hAnsi="Times New Roman"/>
          <w:sz w:val="22"/>
        </w:rPr>
        <w:t>Updated to UK 230 V grid operation with V_g = 500 V (§6.17), in contrast to the 110 V grid used in the 2020 paper.</w:t>
      </w:r>
    </w:p>
    <w:p>
      <w:pPr>
        <w:pStyle w:val="ListBullet"/>
        <w:spacing w:line="360" w:lineRule="auto" w:after="80"/>
      </w:pPr>
      <w:r>
        <w:rPr>
          <w:rFonts w:ascii="Times New Roman" w:hAnsi="Times New Roman"/>
          <w:sz w:val="22"/>
        </w:rPr>
        <w:t>Documented simulation methodology supporting reproducibility (§6.15).</w:t>
      </w:r>
    </w:p>
    <w:p>
      <w:pPr>
        <w:pStyle w:val="Heading2"/>
        <w:spacing w:before="240" w:after="120"/>
      </w:pPr>
      <w:r>
        <w:rPr>
          <w:rFonts w:ascii="Times New Roman" w:hAnsi="Times New Roman"/>
          <w:b/>
          <w:color w:val="000000"/>
          <w:sz w:val="26"/>
        </w:rPr>
        <w:t>6.16.3 Demonstrating the Gain Scheduling Benefit</w:t>
      </w:r>
    </w:p>
    <w:p>
      <w:pPr>
        <w:spacing w:line="360" w:lineRule="auto" w:after="120"/>
        <w:jc w:val="both"/>
      </w:pPr>
      <w:r>
        <w:rPr>
          <w:rFonts w:ascii="Times New Roman" w:hAnsi="Times New Roman"/>
          <w:sz w:val="22"/>
        </w:rPr>
        <w:t>The simulation study §6.17.2 directly compares fixed-gain PR (matching the 2020 design) with gain-scheduled PR (the present work's contribution) across three modulation indices spanning the operating envelope. This direct comparison establishes the magnitude of the benefit conferred by gain scheduling and provides the empirical evidence for the thesis novelty claim.</w:t>
      </w:r>
    </w:p>
    <w:p>
      <w:pPr>
        <w:pStyle w:val="Heading1"/>
        <w:spacing w:before="360" w:after="160"/>
      </w:pPr>
      <w:r>
        <w:rPr>
          <w:rFonts w:ascii="Times New Roman" w:hAnsi="Times New Roman"/>
          <w:b/>
          <w:color w:val="000000"/>
          <w:sz w:val="32"/>
        </w:rPr>
        <w:t>6.17 Simulation Results</w:t>
      </w:r>
    </w:p>
    <w:p>
      <w:pPr>
        <w:spacing w:line="360" w:lineRule="auto" w:after="120"/>
        <w:jc w:val="both"/>
      </w:pPr>
      <w:r>
        <w:rPr>
          <w:rFonts w:ascii="Times New Roman" w:hAnsi="Times New Roman"/>
          <w:sz w:val="22"/>
        </w:rPr>
        <w:t>This section presents the simulation studies that validate the design developed in the preceding sections. The studies are organised into four groups: steady-state operation, disturbance rejection, EV interoperability, and power quality. Each study follows the Purpose / Method / Expected outcome / Results / Interpretation pattern established in Chapter 3.</w:t>
      </w:r>
    </w:p>
    <w:p>
      <w:pPr>
        <w:shd w:val="clear" w:color="auto" w:fill="FFF2CC"/>
        <w:spacing w:before="120" w:after="120"/>
        <w:jc w:val="center"/>
      </w:pPr>
      <w:r>
        <w:rPr>
          <w:rFonts w:ascii="Calibri" w:hAnsi="Calibri"/>
          <w:b/>
          <w:i/>
          <w:color w:val="806000"/>
          <w:sz w:val="20"/>
        </w:rPr>
        <w:t>[PLACEHOLDER: Figure 6.12: Top-level Simulink block diagram of the complete integrated model.]</w:t>
      </w:r>
    </w:p>
    <w:p>
      <w:pPr>
        <w:pStyle w:val="Heading2"/>
        <w:spacing w:before="240" w:after="120"/>
      </w:pPr>
      <w:r>
        <w:rPr>
          <w:rFonts w:ascii="Times New Roman" w:hAnsi="Times New Roman"/>
          <w:b/>
          <w:color w:val="000000"/>
          <w:sz w:val="26"/>
        </w:rPr>
        <w:t>6.17.1 Steady-State Studies</w:t>
      </w:r>
    </w:p>
    <w:p>
      <w:pPr>
        <w:pStyle w:val="Heading3"/>
        <w:spacing w:before="200" w:after="80"/>
      </w:pPr>
      <w:r>
        <w:rPr>
          <w:rFonts w:ascii="Times New Roman" w:hAnsi="Times New Roman"/>
          <w:b/>
          <w:color w:val="000000"/>
          <w:sz w:val="22"/>
        </w:rPr>
        <w:t>6.17.1 Nominal steady-state operation</w:t>
      </w:r>
    </w:p>
    <w:p>
      <w:pPr>
        <w:spacing w:line="360" w:lineRule="auto" w:after="120"/>
        <w:jc w:val="both"/>
      </w:pPr>
      <w:r>
        <w:rPr>
          <w:rFonts w:ascii="Times New Roman" w:hAnsi="Times New Roman"/>
          <w:sz w:val="22"/>
        </w:rPr>
        <w:t>Purpose. To verify that the gain-scheduled controller stabilises the system at the design operating point under nominal conditions (G = 1000 W/m², T = 25 °C, M_avg = 0.65, I_q* = 0).</w:t>
      </w:r>
    </w:p>
    <w:p>
      <w:pPr>
        <w:spacing w:line="360" w:lineRule="auto" w:after="120"/>
        <w:jc w:val="both"/>
      </w:pPr>
      <w:r>
        <w:rPr>
          <w:rFonts w:ascii="Times New Roman" w:hAnsi="Times New Roman"/>
          <w:sz w:val="22"/>
        </w:rPr>
        <w:t>Method. The full integrated model is simulated for 1.0 s from rest with the gain-scheduled PR active. The logged signals V_DC, v_o, i_g, θ̂, M_avg, K_p, K_r are processed to compute steady-state values, ripple amplitudes, THD of i_g, DC injection magnitude, and power factor.</w:t>
      </w:r>
    </w:p>
    <w:p>
      <w:pPr>
        <w:spacing w:line="360" w:lineRule="auto" w:after="120"/>
        <w:jc w:val="both"/>
      </w:pPr>
      <w:r>
        <w:rPr>
          <w:rFonts w:ascii="Times New Roman" w:hAnsi="Times New Roman"/>
          <w:sz w:val="22"/>
        </w:rPr>
        <w:t>Expected outcome. V_DC settles within 0.5 s to within 1 percent of the 500 V reference. i_g sinusoidal at 50 Hz with peak ≈ 13 A and THD below 5 percent. DC injection suppressed to below 0.25 A or 0.5 percent of fundamental. Power factor exceeds 0.99. The scheduled gains settle to the M_avg = 0.65 lookup values.</w:t>
      </w:r>
    </w:p>
    <w:p>
      <w:pPr>
        <w:shd w:val="clear" w:color="auto" w:fill="FFF2CC"/>
        <w:spacing w:before="120" w:after="120"/>
        <w:jc w:val="center"/>
      </w:pPr>
      <w:r>
        <w:rPr>
          <w:rFonts w:ascii="Calibri" w:hAnsi="Calibri"/>
          <w:b/>
          <w:i/>
          <w:color w:val="806000"/>
          <w:sz w:val="20"/>
        </w:rPr>
        <w:t>[PLACEHOLDER: Results from study 6.17.1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6.17.1 — connect observed results to design predictions and identify any discrepancies for discussion]</w:t>
      </w:r>
    </w:p>
    <w:p>
      <w:pPr>
        <w:pStyle w:val="Heading3"/>
        <w:spacing w:before="200" w:after="80"/>
      </w:pPr>
      <w:r>
        <w:rPr>
          <w:rFonts w:ascii="Times New Roman" w:hAnsi="Times New Roman"/>
          <w:b/>
          <w:color w:val="000000"/>
          <w:sz w:val="22"/>
        </w:rPr>
        <w:t>6.17.2 Gain-scheduled PR controller benefit (HEADLINE NOVELTY STUDY)</w:t>
      </w:r>
    </w:p>
    <w:p>
      <w:pPr>
        <w:spacing w:line="360" w:lineRule="auto" w:after="120"/>
        <w:jc w:val="both"/>
      </w:pPr>
      <w:r>
        <w:rPr>
          <w:rFonts w:ascii="Times New Roman" w:hAnsi="Times New Roman"/>
          <w:sz w:val="22"/>
        </w:rPr>
        <w:t>Purpose. To quantify the improvement in DC injection achieved by the gain-scheduled PR controller relative to the fixed-gain baseline of the 2020 work, across a range of modulation indices representing the full operating envelope. This is the central evidence for the chapter's headline novelty contribution.</w:t>
      </w:r>
    </w:p>
    <w:p>
      <w:pPr>
        <w:spacing w:line="360" w:lineRule="auto" w:after="120"/>
        <w:jc w:val="both"/>
      </w:pPr>
      <w:r>
        <w:rPr>
          <w:rFonts w:ascii="Times New Roman" w:hAnsi="Times New Roman"/>
          <w:sz w:val="22"/>
        </w:rPr>
        <w:t>Method. Nine simulation runs are performed: three modulation indices (M = 0.6, 0.42, 0.24, matching the 2020 paper) under three compensator configurations (no PR, fixed-gain PR matching 2020 values K_p = 0.0016 and K_r = 0.75, and gain-scheduled PR with M_avg-indexed gains). Each run simulated for 1 s; DC component and THD of i_g computed from steady-state portion.</w:t>
      </w:r>
    </w:p>
    <w:p>
      <w:pPr>
        <w:spacing w:line="360" w:lineRule="auto" w:after="120"/>
        <w:jc w:val="both"/>
      </w:pPr>
      <w:r>
        <w:rPr>
          <w:rFonts w:ascii="Times New Roman" w:hAnsi="Times New Roman"/>
          <w:sz w:val="22"/>
        </w:rPr>
        <w:t>Expected outcome. No PR: DC injection ~3.7%, 8.4%, and 16.6% of fundamental at the three modulation indices. Fixed-gain PR: reduces DC injection at M = 0.6 (design point) to &lt;1%, but only partially at M = 0.42 (still ~2%) and M = 0.24 (still ~4%). Gain-scheduled PR: reduces DC injection to &lt;0.5% at all three operating points consistently. The improvement of scheduled over fixed-gain PR is most pronounced at the operating envelope extremes, directly demonstrating the benefit of scheduling.</w:t>
      </w:r>
    </w:p>
    <w:p>
      <w:pPr>
        <w:shd w:val="clear" w:color="auto" w:fill="FFF2CC"/>
        <w:spacing w:before="120" w:after="120"/>
        <w:jc w:val="center"/>
      </w:pPr>
      <w:r>
        <w:rPr>
          <w:rFonts w:ascii="Calibri" w:hAnsi="Calibri"/>
          <w:b/>
          <w:i/>
          <w:color w:val="806000"/>
          <w:sz w:val="20"/>
        </w:rPr>
        <w:t>[PLACEHOLDER: Results from study 6.17.2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6.17.2 — connect observed results to design predictions and identify any discrepancies for discussion]</w:t>
      </w:r>
    </w:p>
    <w:p>
      <w:pPr>
        <w:pStyle w:val="Heading2"/>
        <w:spacing w:before="240" w:after="120"/>
      </w:pPr>
      <w:r>
        <w:rPr>
          <w:rFonts w:ascii="Times New Roman" w:hAnsi="Times New Roman"/>
          <w:b/>
          <w:color w:val="000000"/>
          <w:sz w:val="26"/>
        </w:rPr>
        <w:t>6.17.2 Disturbance Rejection Studies</w:t>
      </w:r>
    </w:p>
    <w:p>
      <w:pPr>
        <w:pStyle w:val="Heading3"/>
        <w:spacing w:before="200" w:after="80"/>
      </w:pPr>
      <w:r>
        <w:rPr>
          <w:rFonts w:ascii="Times New Roman" w:hAnsi="Times New Roman"/>
          <w:b/>
          <w:color w:val="000000"/>
          <w:sz w:val="22"/>
        </w:rPr>
        <w:t>6.17.3 PV power step (irradiance step)</w:t>
      </w:r>
    </w:p>
    <w:p>
      <w:pPr>
        <w:spacing w:line="360" w:lineRule="auto" w:after="120"/>
        <w:jc w:val="both"/>
      </w:pPr>
      <w:r>
        <w:rPr>
          <w:rFonts w:ascii="Times New Roman" w:hAnsi="Times New Roman"/>
          <w:sz w:val="22"/>
        </w:rPr>
        <w:t>Purpose. To characterise the closed-loop system's response to a step change in PV irradiance, and to verify that the gain-scheduled controller adapts smoothly as M_avg changes during the transient.</w:t>
      </w:r>
    </w:p>
    <w:p>
      <w:pPr>
        <w:spacing w:line="360" w:lineRule="auto" w:after="120"/>
        <w:jc w:val="both"/>
      </w:pPr>
      <w:r>
        <w:rPr>
          <w:rFonts w:ascii="Times New Roman" w:hAnsi="Times New Roman"/>
          <w:sz w:val="22"/>
        </w:rPr>
        <w:t>Method. The irradiance input to the PV array model is stepped from 1000 W/m² to 500 W/m² at t = 0.5 s. V_DC, P_PV, P_grid, i_g, and the scheduled K_p, K_r values are monitored.</w:t>
      </w:r>
    </w:p>
    <w:p>
      <w:pPr>
        <w:spacing w:line="360" w:lineRule="auto" w:after="120"/>
        <w:jc w:val="both"/>
      </w:pPr>
      <w:r>
        <w:rPr>
          <w:rFonts w:ascii="Times New Roman" w:hAnsi="Times New Roman"/>
          <w:sz w:val="22"/>
        </w:rPr>
        <w:t>Expected outcome. V_DC dips by approximately 30 V as the MPPT re-tracks. Grid current adjusts to deliver ~50 percent of original power within 200 ms. Scheduled K_p, K_r values update smoothly as M_avg shifts, with no scheduling-induced transients. MPPT settles to the new MPP within 1 s.</w:t>
      </w:r>
    </w:p>
    <w:p>
      <w:pPr>
        <w:shd w:val="clear" w:color="auto" w:fill="FFF2CC"/>
        <w:spacing w:before="120" w:after="120"/>
        <w:jc w:val="center"/>
      </w:pPr>
      <w:r>
        <w:rPr>
          <w:rFonts w:ascii="Calibri" w:hAnsi="Calibri"/>
          <w:b/>
          <w:i/>
          <w:color w:val="806000"/>
          <w:sz w:val="20"/>
        </w:rPr>
        <w:t>[PLACEHOLDER: Results from study 6.17.3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6.17.3 — connect observed results to design predictions and identify any discrepancies for discussion]</w:t>
      </w:r>
    </w:p>
    <w:p>
      <w:pPr>
        <w:pStyle w:val="Heading3"/>
        <w:spacing w:before="200" w:after="80"/>
      </w:pPr>
      <w:r>
        <w:rPr>
          <w:rFonts w:ascii="Times New Roman" w:hAnsi="Times New Roman"/>
          <w:b/>
          <w:color w:val="000000"/>
          <w:sz w:val="22"/>
        </w:rPr>
        <w:t>6.17.4 Load step disturbance rejection</w:t>
      </w:r>
    </w:p>
    <w:p>
      <w:pPr>
        <w:spacing w:line="360" w:lineRule="auto" w:after="120"/>
        <w:jc w:val="both"/>
      </w:pPr>
      <w:r>
        <w:rPr>
          <w:rFonts w:ascii="Times New Roman" w:hAnsi="Times New Roman"/>
          <w:sz w:val="22"/>
        </w:rPr>
        <w:t>Purpose. To characterise the response to a step change in load demand.</w:t>
      </w:r>
    </w:p>
    <w:p>
      <w:pPr>
        <w:spacing w:line="360" w:lineRule="auto" w:after="120"/>
        <w:jc w:val="both"/>
      </w:pPr>
      <w:r>
        <w:rPr>
          <w:rFonts w:ascii="Times New Roman" w:hAnsi="Times New Roman"/>
          <w:sz w:val="22"/>
        </w:rPr>
        <w:t>Method. An RL load is changed from 300 W (75 var) to 270 W (67.5 var) at t = 0.5 s. V_DC, P_load, P_grid, and i_g are monitored.</w:t>
      </w:r>
    </w:p>
    <w:p>
      <w:pPr>
        <w:spacing w:line="360" w:lineRule="auto" w:after="120"/>
        <w:jc w:val="both"/>
      </w:pPr>
      <w:r>
        <w:rPr>
          <w:rFonts w:ascii="Times New Roman" w:hAnsi="Times New Roman"/>
          <w:sz w:val="22"/>
        </w:rPr>
        <w:t>Expected outcome. Power delivered to the load decreases as expected. Surplus power automatically reallocated to grid export by the VOC system. Unity power factor (Q_grid ≈ 0) maintained throughout. The gain-scheduled PR compensator continues to suppress DC injection during the transient.</w:t>
      </w:r>
    </w:p>
    <w:p>
      <w:pPr>
        <w:shd w:val="clear" w:color="auto" w:fill="FFF2CC"/>
        <w:spacing w:before="120" w:after="120"/>
        <w:jc w:val="center"/>
      </w:pPr>
      <w:r>
        <w:rPr>
          <w:rFonts w:ascii="Calibri" w:hAnsi="Calibri"/>
          <w:b/>
          <w:i/>
          <w:color w:val="806000"/>
          <w:sz w:val="20"/>
        </w:rPr>
        <w:t>[PLACEHOLDER: Results from study 6.17.4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6.17.4 — connect observed results to design predictions and identify any discrepancies for discussion]</w:t>
      </w:r>
    </w:p>
    <w:p>
      <w:pPr>
        <w:pStyle w:val="Heading3"/>
        <w:spacing w:before="200" w:after="80"/>
      </w:pPr>
      <w:r>
        <w:rPr>
          <w:rFonts w:ascii="Times New Roman" w:hAnsi="Times New Roman"/>
          <w:b/>
          <w:color w:val="000000"/>
          <w:sz w:val="22"/>
        </w:rPr>
        <w:t>6.17.5 Voltage sag ride-through</w:t>
      </w:r>
    </w:p>
    <w:p>
      <w:pPr>
        <w:spacing w:line="360" w:lineRule="auto" w:after="120"/>
        <w:jc w:val="both"/>
      </w:pPr>
      <w:r>
        <w:rPr>
          <w:rFonts w:ascii="Times New Roman" w:hAnsi="Times New Roman"/>
          <w:sz w:val="22"/>
        </w:rPr>
        <w:t>Purpose. To verify ride-through capability under EN 50160 voltage variations.</w:t>
      </w:r>
    </w:p>
    <w:p>
      <w:pPr>
        <w:spacing w:line="360" w:lineRule="auto" w:after="120"/>
        <w:jc w:val="both"/>
      </w:pPr>
      <w:r>
        <w:rPr>
          <w:rFonts w:ascii="Times New Roman" w:hAnsi="Times New Roman"/>
          <w:sz w:val="22"/>
        </w:rPr>
        <w:t>Method. Grid voltage source amplitude stepped from 230 V_rms to 207 V_rms (10 percent dip) at t = 0.5 s, then back to 230 V_rms at t = 0.8 s. V_DC, i_g, P_grid, PLL outputs, and the scheduled M_avg are monitored.</w:t>
      </w:r>
    </w:p>
    <w:p>
      <w:pPr>
        <w:spacing w:line="360" w:lineRule="auto" w:after="120"/>
        <w:jc w:val="both"/>
      </w:pPr>
      <w:r>
        <w:rPr>
          <w:rFonts w:ascii="Times New Roman" w:hAnsi="Times New Roman"/>
          <w:sz w:val="22"/>
        </w:rPr>
        <w:t>Expected outcome. Inverter remains synchronised throughout the sag. Grid current transient settles within ~20 ms. Steady-state current magnitude increases slightly to maintain power delivery at reduced voltage. Unity power factor maintained. The scheduled gains track the brief change in M_avg during the sag, recovering to nominal values after the sag clears.</w:t>
      </w:r>
    </w:p>
    <w:p>
      <w:pPr>
        <w:shd w:val="clear" w:color="auto" w:fill="FFF2CC"/>
        <w:spacing w:before="120" w:after="120"/>
        <w:jc w:val="center"/>
      </w:pPr>
      <w:r>
        <w:rPr>
          <w:rFonts w:ascii="Calibri" w:hAnsi="Calibri"/>
          <w:b/>
          <w:i/>
          <w:color w:val="806000"/>
          <w:sz w:val="20"/>
        </w:rPr>
        <w:t>[PLACEHOLDER: Results from study 6.17.5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6.17.5 — connect observed results to design predictions and identify any discrepancies for discussion]</w:t>
      </w:r>
    </w:p>
    <w:p>
      <w:pPr>
        <w:pStyle w:val="Heading3"/>
        <w:spacing w:before="200" w:after="80"/>
      </w:pPr>
      <w:r>
        <w:rPr>
          <w:rFonts w:ascii="Times New Roman" w:hAnsi="Times New Roman"/>
          <w:b/>
          <w:color w:val="000000"/>
          <w:sz w:val="22"/>
        </w:rPr>
        <w:t>6.17.6 Frequency variation</w:t>
      </w:r>
    </w:p>
    <w:p>
      <w:pPr>
        <w:spacing w:line="360" w:lineRule="auto" w:after="120"/>
        <w:jc w:val="both"/>
      </w:pPr>
      <w:r>
        <w:rPr>
          <w:rFonts w:ascii="Times New Roman" w:hAnsi="Times New Roman"/>
          <w:sz w:val="22"/>
        </w:rPr>
        <w:t>Purpose. To verify PLL and controller stability under EN 50160 grid frequency variation.</w:t>
      </w:r>
    </w:p>
    <w:p>
      <w:pPr>
        <w:spacing w:line="360" w:lineRule="auto" w:after="120"/>
        <w:jc w:val="both"/>
      </w:pPr>
      <w:r>
        <w:rPr>
          <w:rFonts w:ascii="Times New Roman" w:hAnsi="Times New Roman"/>
          <w:sz w:val="22"/>
        </w:rPr>
        <w:t>Method. Grid frequency stepped from 50.0 Hz to 50.5 Hz at t = 0.5 s, then to 49.5 Hz at t = 0.8 s. PLL outputs θ̂ and ω̂, V_DC, i_g are monitored.</w:t>
      </w:r>
    </w:p>
    <w:p>
      <w:pPr>
        <w:spacing w:line="360" w:lineRule="auto" w:after="120"/>
        <w:jc w:val="both"/>
      </w:pPr>
      <w:r>
        <w:rPr>
          <w:rFonts w:ascii="Times New Roman" w:hAnsi="Times New Roman"/>
          <w:sz w:val="22"/>
        </w:rPr>
        <w:t>Expected outcome. PLL frequency estimate ω̂ tracks within 50 ms with no permanent phase offset. Grid current remains sinusoidal throughout. V_DC regulation unaffected. The scheduled PR compensator continues to suppress DC injection during frequency transients.</w:t>
      </w:r>
    </w:p>
    <w:p>
      <w:pPr>
        <w:shd w:val="clear" w:color="auto" w:fill="FFF2CC"/>
        <w:spacing w:before="120" w:after="120"/>
        <w:jc w:val="center"/>
      </w:pPr>
      <w:r>
        <w:rPr>
          <w:rFonts w:ascii="Calibri" w:hAnsi="Calibri"/>
          <w:b/>
          <w:i/>
          <w:color w:val="806000"/>
          <w:sz w:val="20"/>
        </w:rPr>
        <w:t>[PLACEHOLDER: Results from study 6.17.6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6.17.6 — connect observed results to design predictions and identify any discrepancies for discussion]</w:t>
      </w:r>
    </w:p>
    <w:p>
      <w:pPr>
        <w:pStyle w:val="Heading2"/>
        <w:spacing w:before="240" w:after="120"/>
      </w:pPr>
      <w:r>
        <w:rPr>
          <w:rFonts w:ascii="Times New Roman" w:hAnsi="Times New Roman"/>
          <w:b/>
          <w:color w:val="000000"/>
          <w:sz w:val="26"/>
        </w:rPr>
        <w:t>6.17.3 EV Interoperability Studies</w:t>
      </w:r>
    </w:p>
    <w:p>
      <w:pPr>
        <w:pStyle w:val="Heading3"/>
        <w:spacing w:before="200" w:after="80"/>
      </w:pPr>
      <w:r>
        <w:rPr>
          <w:rFonts w:ascii="Times New Roman" w:hAnsi="Times New Roman"/>
          <w:b/>
          <w:color w:val="000000"/>
          <w:sz w:val="22"/>
        </w:rPr>
        <w:t>6.17.7 EV interoperability — day mode</w:t>
      </w:r>
    </w:p>
    <w:p>
      <w:pPr>
        <w:spacing w:line="360" w:lineRule="auto" w:after="120"/>
        <w:jc w:val="both"/>
      </w:pPr>
      <w:r>
        <w:rPr>
          <w:rFonts w:ascii="Times New Roman" w:hAnsi="Times New Roman"/>
          <w:sz w:val="22"/>
        </w:rPr>
        <w:t>Purpose. To verify operation with EV charging during the day.</w:t>
      </w:r>
    </w:p>
    <w:p>
      <w:pPr>
        <w:spacing w:line="360" w:lineRule="auto" w:after="120"/>
        <w:jc w:val="both"/>
      </w:pPr>
      <w:r>
        <w:rPr>
          <w:rFonts w:ascii="Times New Roman" w:hAnsi="Times New Roman"/>
          <w:sz w:val="22"/>
        </w:rPr>
        <w:t>Method. Configuration: 3 kW PV (G = 1000 W/m²), 2 kW EV load, ~1 kW grid export. EV load switched on at t = 0.3 s, monitored for 0.7 s.</w:t>
      </w:r>
    </w:p>
    <w:p>
      <w:pPr>
        <w:spacing w:line="360" w:lineRule="auto" w:after="120"/>
        <w:jc w:val="both"/>
      </w:pPr>
      <w:r>
        <w:rPr>
          <w:rFonts w:ascii="Times New Roman" w:hAnsi="Times New Roman"/>
          <w:sz w:val="22"/>
        </w:rPr>
        <w:t>Expected outcome. P_PV ≈ 3 kW, P_EV ≈ 2 kW, P_grid ≈ 1 kW. V_DC stable at 500 V. Grid current sinusoidal with peak ≈ 4.3 A. The gain-scheduled PR compensator adapts as M_avg changes due to grid export current variation.</w:t>
      </w:r>
    </w:p>
    <w:p>
      <w:pPr>
        <w:shd w:val="clear" w:color="auto" w:fill="FFF2CC"/>
        <w:spacing w:before="120" w:after="120"/>
        <w:jc w:val="center"/>
      </w:pPr>
      <w:r>
        <w:rPr>
          <w:rFonts w:ascii="Calibri" w:hAnsi="Calibri"/>
          <w:b/>
          <w:i/>
          <w:color w:val="806000"/>
          <w:sz w:val="20"/>
        </w:rPr>
        <w:t>[PLACEHOLDER: Results from study 6.17.7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6.17.7 — connect observed results to design predictions and identify any discrepancies for discussion]</w:t>
      </w:r>
    </w:p>
    <w:p>
      <w:pPr>
        <w:pStyle w:val="Heading3"/>
        <w:spacing w:before="200" w:after="80"/>
      </w:pPr>
      <w:r>
        <w:rPr>
          <w:rFonts w:ascii="Times New Roman" w:hAnsi="Times New Roman"/>
          <w:b/>
          <w:color w:val="000000"/>
          <w:sz w:val="22"/>
        </w:rPr>
        <w:t>6.17.8 EV interoperability — night mode</w:t>
      </w:r>
    </w:p>
    <w:p>
      <w:pPr>
        <w:spacing w:line="360" w:lineRule="auto" w:after="120"/>
        <w:jc w:val="both"/>
      </w:pPr>
      <w:r>
        <w:rPr>
          <w:rFonts w:ascii="Times New Roman" w:hAnsi="Times New Roman"/>
          <w:sz w:val="22"/>
        </w:rPr>
        <w:t>Purpose. To verify bidirectional operation.</w:t>
      </w:r>
    </w:p>
    <w:p>
      <w:pPr>
        <w:spacing w:line="360" w:lineRule="auto" w:after="120"/>
        <w:jc w:val="both"/>
      </w:pPr>
      <w:r>
        <w:rPr>
          <w:rFonts w:ascii="Times New Roman" w:hAnsi="Times New Roman"/>
          <w:sz w:val="22"/>
        </w:rPr>
        <w:t>Method. PV irradiance set to zero (G = 0). EV load draws 2 kW. The controller reverses power flow direction so grid supplies EV through the converter operating in reverse.</w:t>
      </w:r>
    </w:p>
    <w:p>
      <w:pPr>
        <w:spacing w:line="360" w:lineRule="auto" w:after="120"/>
        <w:jc w:val="both"/>
      </w:pPr>
      <w:r>
        <w:rPr>
          <w:rFonts w:ascii="Times New Roman" w:hAnsi="Times New Roman"/>
          <w:sz w:val="22"/>
        </w:rPr>
        <w:t>Expected outcome. P_PV = 0, P_EV ≈ 2 kW, P_grid ≈ -2 kW (grid import). V_DC settles at fixed reference. Grid current peak ≈ 8.7 A flowing in import direction.</w:t>
      </w:r>
    </w:p>
    <w:p>
      <w:pPr>
        <w:shd w:val="clear" w:color="auto" w:fill="FFF2CC"/>
        <w:spacing w:before="120" w:after="120"/>
        <w:jc w:val="center"/>
      </w:pPr>
      <w:r>
        <w:rPr>
          <w:rFonts w:ascii="Calibri" w:hAnsi="Calibri"/>
          <w:b/>
          <w:i/>
          <w:color w:val="806000"/>
          <w:sz w:val="20"/>
        </w:rPr>
        <w:t>[PLACEHOLDER: Results from study 6.17.8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6.17.8 — connect observed results to design predictions and identify any discrepancies for discussion]</w:t>
      </w:r>
    </w:p>
    <w:p>
      <w:pPr>
        <w:pStyle w:val="Heading2"/>
        <w:spacing w:before="240" w:after="120"/>
      </w:pPr>
      <w:r>
        <w:rPr>
          <w:rFonts w:ascii="Times New Roman" w:hAnsi="Times New Roman"/>
          <w:b/>
          <w:color w:val="000000"/>
          <w:sz w:val="26"/>
        </w:rPr>
        <w:t>6.17.4 Power Quality Studies</w:t>
      </w:r>
    </w:p>
    <w:p>
      <w:pPr>
        <w:pStyle w:val="Heading3"/>
        <w:spacing w:before="200" w:after="80"/>
      </w:pPr>
      <w:r>
        <w:rPr>
          <w:rFonts w:ascii="Times New Roman" w:hAnsi="Times New Roman"/>
          <w:b/>
          <w:color w:val="000000"/>
          <w:sz w:val="22"/>
        </w:rPr>
        <w:t>6.17.9 Power factor capability (Iq sweep)</w:t>
      </w:r>
    </w:p>
    <w:p>
      <w:pPr>
        <w:spacing w:line="360" w:lineRule="auto" w:after="120"/>
        <w:jc w:val="both"/>
      </w:pPr>
      <w:r>
        <w:rPr>
          <w:rFonts w:ascii="Times New Roman" w:hAnsi="Times New Roman"/>
          <w:sz w:val="22"/>
        </w:rPr>
        <w:t>Purpose. To demonstrate reactive power capability beyond unity PF.</w:t>
      </w:r>
    </w:p>
    <w:p>
      <w:pPr>
        <w:spacing w:line="360" w:lineRule="auto" w:after="120"/>
        <w:jc w:val="both"/>
      </w:pPr>
      <w:r>
        <w:rPr>
          <w:rFonts w:ascii="Times New Roman" w:hAnsi="Times New Roman"/>
          <w:sz w:val="22"/>
        </w:rPr>
        <w:t>Method. I_q* stepped through values -2, -1, 0, +1, +2 A at constant I_d*. Active and reactive power measured at each setpoint.</w:t>
      </w:r>
    </w:p>
    <w:p>
      <w:pPr>
        <w:spacing w:line="360" w:lineRule="auto" w:after="120"/>
        <w:jc w:val="both"/>
      </w:pPr>
      <w:r>
        <w:rPr>
          <w:rFonts w:ascii="Times New Roman" w:hAnsi="Times New Roman"/>
          <w:sz w:val="22"/>
        </w:rPr>
        <w:t>Expected outcome. P_grid constant at ~3 kW. Q_grid varies linearly with I_q* from -460 var (leading) to +460 var (lagging). THD below 5 percent at all I_q settings.</w:t>
      </w:r>
    </w:p>
    <w:p>
      <w:pPr>
        <w:shd w:val="clear" w:color="auto" w:fill="FFF2CC"/>
        <w:spacing w:before="120" w:after="120"/>
        <w:jc w:val="center"/>
      </w:pPr>
      <w:r>
        <w:rPr>
          <w:rFonts w:ascii="Calibri" w:hAnsi="Calibri"/>
          <w:b/>
          <w:i/>
          <w:color w:val="806000"/>
          <w:sz w:val="20"/>
        </w:rPr>
        <w:t>[PLACEHOLDER: Results from study 6.17.9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6.17.9 — connect observed results to design predictions and identify any discrepancies for discussion]</w:t>
      </w:r>
    </w:p>
    <w:p>
      <w:pPr>
        <w:pStyle w:val="Heading3"/>
        <w:spacing w:before="200" w:after="80"/>
      </w:pPr>
      <w:r>
        <w:rPr>
          <w:rFonts w:ascii="Times New Roman" w:hAnsi="Times New Roman"/>
          <w:b/>
          <w:color w:val="000000"/>
          <w:sz w:val="22"/>
        </w:rPr>
        <w:t>6.17.10 Efficiency versus load</w:t>
      </w:r>
    </w:p>
    <w:p>
      <w:pPr>
        <w:spacing w:line="360" w:lineRule="auto" w:after="120"/>
        <w:jc w:val="both"/>
      </w:pPr>
      <w:r>
        <w:rPr>
          <w:rFonts w:ascii="Times New Roman" w:hAnsi="Times New Roman"/>
          <w:sz w:val="22"/>
        </w:rPr>
        <w:t>Purpose. To characterise efficiency at multiple load powers.</w:t>
      </w:r>
    </w:p>
    <w:p>
      <w:pPr>
        <w:spacing w:line="360" w:lineRule="auto" w:after="120"/>
        <w:jc w:val="both"/>
      </w:pPr>
      <w:r>
        <w:rPr>
          <w:rFonts w:ascii="Times New Roman" w:hAnsi="Times New Roman"/>
          <w:sz w:val="22"/>
        </w:rPr>
        <w:t>Method. PV irradiance set to produce target powers 0.3 to 3.3 kW (10% to 110% rated). At each level, simulation runs 0.5 s steady state; loss components summed.</w:t>
      </w:r>
    </w:p>
    <w:p>
      <w:pPr>
        <w:spacing w:line="360" w:lineRule="auto" w:after="120"/>
        <w:jc w:val="both"/>
      </w:pPr>
      <w:r>
        <w:rPr>
          <w:rFonts w:ascii="Times New Roman" w:hAnsi="Times New Roman"/>
          <w:sz w:val="22"/>
        </w:rPr>
        <w:t>Expected outcome. Efficiency curve shows peak η ≈ 96-97% at moderate load (60-80% rated), falling at low load due to fixed switching losses, and falling at rated load due to conduction losses.</w:t>
      </w:r>
    </w:p>
    <w:p>
      <w:pPr>
        <w:shd w:val="clear" w:color="auto" w:fill="FFF2CC"/>
        <w:spacing w:before="120" w:after="120"/>
        <w:jc w:val="center"/>
      </w:pPr>
      <w:r>
        <w:rPr>
          <w:rFonts w:ascii="Calibri" w:hAnsi="Calibri"/>
          <w:b/>
          <w:i/>
          <w:color w:val="806000"/>
          <w:sz w:val="20"/>
        </w:rPr>
        <w:t>[PLACEHOLDER: Results from study 6.17.10 — figure(s), tables, measured values once Simulink simulations complete]</w:t>
      </w:r>
    </w:p>
    <w:p>
      <w:pPr>
        <w:shd w:val="clear" w:color="auto" w:fill="FFF2CC"/>
        <w:spacing w:before="120" w:after="120"/>
        <w:jc w:val="center"/>
      </w:pPr>
      <w:r>
        <w:rPr>
          <w:rFonts w:ascii="Calibri" w:hAnsi="Calibri"/>
          <w:b/>
          <w:i/>
          <w:color w:val="806000"/>
          <w:sz w:val="20"/>
        </w:rPr>
        <w:t>[PLACEHOLDER: Interpretation paragraph(s) for study 6.17.10 — connect observed results to design predictions and identify any discrepancies for discussion]</w:t>
      </w:r>
    </w:p>
    <w:p>
      <w:pPr>
        <w:pStyle w:val="Heading1"/>
        <w:spacing w:before="360" w:after="160"/>
      </w:pPr>
      <w:r>
        <w:rPr>
          <w:rFonts w:ascii="Times New Roman" w:hAnsi="Times New Roman"/>
          <w:b/>
          <w:color w:val="000000"/>
          <w:sz w:val="32"/>
        </w:rPr>
        <w:t>6.18 Topology Comparison and Prospective Applications</w:t>
      </w:r>
    </w:p>
    <w:p>
      <w:pPr>
        <w:pStyle w:val="Heading2"/>
        <w:spacing w:before="240" w:after="120"/>
      </w:pPr>
      <w:r>
        <w:rPr>
          <w:rFonts w:ascii="Times New Roman" w:hAnsi="Times New Roman"/>
          <w:b/>
          <w:color w:val="000000"/>
          <w:sz w:val="26"/>
        </w:rPr>
        <w:t>6.18.1 Quantitative Component Comparison</w:t>
      </w:r>
    </w:p>
    <w:p>
      <w:pPr>
        <w:spacing w:line="360" w:lineRule="auto" w:after="120"/>
        <w:jc w:val="both"/>
      </w:pPr>
      <w:r>
        <w:rPr>
          <w:rFonts w:ascii="Times New Roman" w:hAnsi="Times New Roman"/>
          <w:sz w:val="22"/>
        </w:rPr>
        <w:t>Table 6.8 compares the semi-Z-source inverter against three alternative topologies for grid-tied PV applications, on the basis of component count, voltage stress on active devices, and control complexity.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835"/>
            <w:shd w:fill="D5E8F0"/>
          </w:tcPr>
          <w:p>
            <w:pPr>
              <w:spacing w:line="288" w:lineRule="auto"/>
            </w:pPr>
            <w:r/>
            <w:r>
              <w:rPr>
                <w:rFonts w:ascii="Times New Roman" w:hAnsi="Times New Roman"/>
                <w:b/>
                <w:sz w:val="20"/>
              </w:rPr>
              <w:t>Topology</w:t>
            </w:r>
          </w:p>
        </w:tc>
        <w:tc>
          <w:tcPr>
            <w:tcW w:type="dxa" w:w="1134"/>
            <w:shd w:fill="D5E8F0"/>
          </w:tcPr>
          <w:p>
            <w:pPr>
              <w:spacing w:line="288" w:lineRule="auto"/>
            </w:pPr>
            <w:r/>
            <w:r>
              <w:rPr>
                <w:rFonts w:ascii="Times New Roman" w:hAnsi="Times New Roman"/>
                <w:b/>
                <w:sz w:val="20"/>
              </w:rPr>
              <w:t>Switches</w:t>
            </w:r>
          </w:p>
        </w:tc>
        <w:tc>
          <w:tcPr>
            <w:tcW w:type="dxa" w:w="1984"/>
            <w:shd w:fill="D5E8F0"/>
          </w:tcPr>
          <w:p>
            <w:pPr>
              <w:spacing w:line="288" w:lineRule="auto"/>
            </w:pPr>
            <w:r/>
            <w:r>
              <w:rPr>
                <w:rFonts w:ascii="Times New Roman" w:hAnsi="Times New Roman"/>
                <w:b/>
                <w:sz w:val="20"/>
              </w:rPr>
              <w:t>Inductors</w:t>
            </w:r>
          </w:p>
        </w:tc>
        <w:tc>
          <w:tcPr>
            <w:tcW w:type="dxa" w:w="1701"/>
            <w:shd w:fill="D5E8F0"/>
          </w:tcPr>
          <w:p>
            <w:pPr>
              <w:spacing w:line="288" w:lineRule="auto"/>
            </w:pPr>
            <w:r/>
            <w:r>
              <w:rPr>
                <w:rFonts w:ascii="Times New Roman" w:hAnsi="Times New Roman"/>
                <w:b/>
                <w:sz w:val="20"/>
              </w:rPr>
              <w:t>Capacitors</w:t>
            </w:r>
          </w:p>
        </w:tc>
        <w:tc>
          <w:tcPr>
            <w:tcW w:type="dxa" w:w="850"/>
            <w:shd w:fill="D5E8F0"/>
          </w:tcPr>
          <w:p>
            <w:pPr>
              <w:spacing w:line="288" w:lineRule="auto"/>
            </w:pPr>
            <w:r/>
            <w:r>
              <w:rPr>
                <w:rFonts w:ascii="Times New Roman" w:hAnsi="Times New Roman"/>
                <w:b/>
                <w:sz w:val="20"/>
              </w:rPr>
              <w:t>Stages</w:t>
            </w:r>
          </w:p>
        </w:tc>
        <w:tc>
          <w:tcPr>
            <w:tcW w:type="dxa" w:w="1701"/>
            <w:shd w:fill="D5E8F0"/>
          </w:tcPr>
          <w:p>
            <w:pPr>
              <w:spacing w:line="288" w:lineRule="auto"/>
            </w:pPr>
            <w:r/>
            <w:r>
              <w:rPr>
                <w:rFonts w:ascii="Times New Roman" w:hAnsi="Times New Roman"/>
                <w:b/>
                <w:sz w:val="20"/>
              </w:rPr>
              <w:t>Control complexity</w:t>
            </w:r>
          </w:p>
        </w:tc>
      </w:tr>
      <w:tr>
        <w:tc>
          <w:tcPr>
            <w:tcW w:type="dxa" w:w="2835"/>
          </w:tcPr>
          <w:p>
            <w:pPr>
              <w:spacing w:line="288" w:lineRule="auto"/>
            </w:pPr>
            <w:r/>
            <w:r>
              <w:rPr>
                <w:rFonts w:ascii="Times New Roman" w:hAnsi="Times New Roman"/>
                <w:b w:val="0"/>
                <w:sz w:val="20"/>
              </w:rPr>
              <w:t>Semi-Z-source (this work)</w:t>
            </w:r>
          </w:p>
        </w:tc>
        <w:tc>
          <w:tcPr>
            <w:tcW w:type="dxa" w:w="1134"/>
          </w:tcPr>
          <w:p>
            <w:pPr>
              <w:spacing w:line="288" w:lineRule="auto"/>
            </w:pPr>
            <w:r/>
            <w:r>
              <w:rPr>
                <w:rFonts w:ascii="Times New Roman" w:hAnsi="Times New Roman"/>
                <w:b w:val="0"/>
                <w:sz w:val="20"/>
              </w:rPr>
              <w:t>2</w:t>
            </w:r>
          </w:p>
        </w:tc>
        <w:tc>
          <w:tcPr>
            <w:tcW w:type="dxa" w:w="1984"/>
          </w:tcPr>
          <w:p>
            <w:pPr>
              <w:spacing w:line="288" w:lineRule="auto"/>
            </w:pPr>
            <w:r/>
            <w:r>
              <w:rPr>
                <w:rFonts w:ascii="Times New Roman" w:hAnsi="Times New Roman"/>
                <w:b w:val="0"/>
                <w:sz w:val="20"/>
              </w:rPr>
              <w:t>2 + 1 filter</w:t>
            </w:r>
          </w:p>
        </w:tc>
        <w:tc>
          <w:tcPr>
            <w:tcW w:type="dxa" w:w="1701"/>
          </w:tcPr>
          <w:p>
            <w:pPr>
              <w:spacing w:line="288" w:lineRule="auto"/>
            </w:pPr>
            <w:r/>
            <w:r>
              <w:rPr>
                <w:rFonts w:ascii="Times New Roman" w:hAnsi="Times New Roman"/>
                <w:b w:val="0"/>
                <w:sz w:val="20"/>
              </w:rPr>
              <w:t>2 + 1 input</w:t>
            </w:r>
          </w:p>
        </w:tc>
        <w:tc>
          <w:tcPr>
            <w:tcW w:type="dxa" w:w="850"/>
          </w:tcPr>
          <w:p>
            <w:pPr>
              <w:spacing w:line="288" w:lineRule="auto"/>
            </w:pPr>
            <w:r/>
            <w:r>
              <w:rPr>
                <w:rFonts w:ascii="Times New Roman" w:hAnsi="Times New Roman"/>
                <w:b w:val="0"/>
                <w:sz w:val="20"/>
              </w:rPr>
              <w:t>1</w:t>
            </w:r>
          </w:p>
        </w:tc>
        <w:tc>
          <w:tcPr>
            <w:tcW w:type="dxa" w:w="1701"/>
          </w:tcPr>
          <w:p>
            <w:pPr>
              <w:spacing w:line="288" w:lineRule="auto"/>
            </w:pPr>
            <w:r/>
            <w:r>
              <w:rPr>
                <w:rFonts w:ascii="Times New Roman" w:hAnsi="Times New Roman"/>
                <w:b w:val="0"/>
                <w:sz w:val="20"/>
              </w:rPr>
              <w:t>Moderate</w:t>
            </w:r>
          </w:p>
        </w:tc>
      </w:tr>
      <w:tr>
        <w:tc>
          <w:tcPr>
            <w:tcW w:type="dxa" w:w="2835"/>
          </w:tcPr>
          <w:p>
            <w:pPr>
              <w:spacing w:line="288" w:lineRule="auto"/>
            </w:pPr>
            <w:r/>
            <w:r>
              <w:rPr>
                <w:rFonts w:ascii="Times New Roman" w:hAnsi="Times New Roman"/>
                <w:b w:val="0"/>
                <w:sz w:val="20"/>
              </w:rPr>
              <w:t>Full-bridge + boost</w:t>
            </w:r>
          </w:p>
        </w:tc>
        <w:tc>
          <w:tcPr>
            <w:tcW w:type="dxa" w:w="1134"/>
          </w:tcPr>
          <w:p>
            <w:pPr>
              <w:spacing w:line="288" w:lineRule="auto"/>
            </w:pPr>
            <w:r/>
            <w:r>
              <w:rPr>
                <w:rFonts w:ascii="Times New Roman" w:hAnsi="Times New Roman"/>
                <w:b w:val="0"/>
                <w:sz w:val="20"/>
              </w:rPr>
              <w:t>4 + 1 = 5</w:t>
            </w:r>
          </w:p>
        </w:tc>
        <w:tc>
          <w:tcPr>
            <w:tcW w:type="dxa" w:w="1984"/>
          </w:tcPr>
          <w:p>
            <w:pPr>
              <w:spacing w:line="288" w:lineRule="auto"/>
            </w:pPr>
            <w:r/>
            <w:r>
              <w:rPr>
                <w:rFonts w:ascii="Times New Roman" w:hAnsi="Times New Roman"/>
                <w:b w:val="0"/>
                <w:sz w:val="20"/>
              </w:rPr>
              <w:t>1 boost + 2 filter</w:t>
            </w:r>
          </w:p>
        </w:tc>
        <w:tc>
          <w:tcPr>
            <w:tcW w:type="dxa" w:w="1701"/>
          </w:tcPr>
          <w:p>
            <w:pPr>
              <w:spacing w:line="288" w:lineRule="auto"/>
            </w:pPr>
            <w:r/>
            <w:r>
              <w:rPr>
                <w:rFonts w:ascii="Times New Roman" w:hAnsi="Times New Roman"/>
                <w:b w:val="0"/>
                <w:sz w:val="20"/>
              </w:rPr>
              <w:t>1 + 1 = 2</w:t>
            </w:r>
          </w:p>
        </w:tc>
        <w:tc>
          <w:tcPr>
            <w:tcW w:type="dxa" w:w="850"/>
          </w:tcPr>
          <w:p>
            <w:pPr>
              <w:spacing w:line="288" w:lineRule="auto"/>
            </w:pPr>
            <w:r/>
            <w:r>
              <w:rPr>
                <w:rFonts w:ascii="Times New Roman" w:hAnsi="Times New Roman"/>
                <w:b w:val="0"/>
                <w:sz w:val="20"/>
              </w:rPr>
              <w:t>2</w:t>
            </w:r>
          </w:p>
        </w:tc>
        <w:tc>
          <w:tcPr>
            <w:tcW w:type="dxa" w:w="1701"/>
          </w:tcPr>
          <w:p>
            <w:pPr>
              <w:spacing w:line="288" w:lineRule="auto"/>
            </w:pPr>
            <w:r/>
            <w:r>
              <w:rPr>
                <w:rFonts w:ascii="Times New Roman" w:hAnsi="Times New Roman"/>
                <w:b w:val="0"/>
                <w:sz w:val="20"/>
              </w:rPr>
              <w:t>High</w:t>
            </w:r>
          </w:p>
        </w:tc>
      </w:tr>
      <w:tr>
        <w:tc>
          <w:tcPr>
            <w:tcW w:type="dxa" w:w="2835"/>
          </w:tcPr>
          <w:p>
            <w:pPr>
              <w:spacing w:line="288" w:lineRule="auto"/>
            </w:pPr>
            <w:r/>
            <w:r>
              <w:rPr>
                <w:rFonts w:ascii="Times New Roman" w:hAnsi="Times New Roman"/>
                <w:b w:val="0"/>
                <w:sz w:val="20"/>
              </w:rPr>
              <w:t>Classical Z-source</w:t>
            </w:r>
          </w:p>
        </w:tc>
        <w:tc>
          <w:tcPr>
            <w:tcW w:type="dxa" w:w="1134"/>
          </w:tcPr>
          <w:p>
            <w:pPr>
              <w:spacing w:line="288" w:lineRule="auto"/>
            </w:pPr>
            <w:r/>
            <w:r>
              <w:rPr>
                <w:rFonts w:ascii="Times New Roman" w:hAnsi="Times New Roman"/>
                <w:b w:val="0"/>
                <w:sz w:val="20"/>
              </w:rPr>
              <w:t>4</w:t>
            </w:r>
          </w:p>
        </w:tc>
        <w:tc>
          <w:tcPr>
            <w:tcW w:type="dxa" w:w="1984"/>
          </w:tcPr>
          <w:p>
            <w:pPr>
              <w:spacing w:line="288" w:lineRule="auto"/>
            </w:pPr>
            <w:r/>
            <w:r>
              <w:rPr>
                <w:rFonts w:ascii="Times New Roman" w:hAnsi="Times New Roman"/>
                <w:b w:val="0"/>
                <w:sz w:val="20"/>
              </w:rPr>
              <w:t>2</w:t>
            </w:r>
          </w:p>
        </w:tc>
        <w:tc>
          <w:tcPr>
            <w:tcW w:type="dxa" w:w="1701"/>
          </w:tcPr>
          <w:p>
            <w:pPr>
              <w:spacing w:line="288" w:lineRule="auto"/>
            </w:pPr>
            <w:r/>
            <w:r>
              <w:rPr>
                <w:rFonts w:ascii="Times New Roman" w:hAnsi="Times New Roman"/>
                <w:b w:val="0"/>
                <w:sz w:val="20"/>
              </w:rPr>
              <w:t>2</w:t>
            </w:r>
          </w:p>
        </w:tc>
        <w:tc>
          <w:tcPr>
            <w:tcW w:type="dxa" w:w="850"/>
          </w:tcPr>
          <w:p>
            <w:pPr>
              <w:spacing w:line="288" w:lineRule="auto"/>
            </w:pPr>
            <w:r/>
            <w:r>
              <w:rPr>
                <w:rFonts w:ascii="Times New Roman" w:hAnsi="Times New Roman"/>
                <w:b w:val="0"/>
                <w:sz w:val="20"/>
              </w:rPr>
              <w:t>1</w:t>
            </w:r>
          </w:p>
        </w:tc>
        <w:tc>
          <w:tcPr>
            <w:tcW w:type="dxa" w:w="1701"/>
          </w:tcPr>
          <w:p>
            <w:pPr>
              <w:spacing w:line="288" w:lineRule="auto"/>
            </w:pPr>
            <w:r/>
            <w:r>
              <w:rPr>
                <w:rFonts w:ascii="Times New Roman" w:hAnsi="Times New Roman"/>
                <w:b w:val="0"/>
                <w:sz w:val="20"/>
              </w:rPr>
              <w:t>Moderate</w:t>
            </w:r>
          </w:p>
        </w:tc>
      </w:tr>
      <w:tr>
        <w:tc>
          <w:tcPr>
            <w:tcW w:type="dxa" w:w="2835"/>
          </w:tcPr>
          <w:p>
            <w:pPr>
              <w:spacing w:line="288" w:lineRule="auto"/>
            </w:pPr>
            <w:r/>
            <w:r>
              <w:rPr>
                <w:rFonts w:ascii="Times New Roman" w:hAnsi="Times New Roman"/>
                <w:b w:val="0"/>
                <w:sz w:val="20"/>
              </w:rPr>
              <w:t>Quasi-Z-source</w:t>
            </w:r>
          </w:p>
        </w:tc>
        <w:tc>
          <w:tcPr>
            <w:tcW w:type="dxa" w:w="1134"/>
          </w:tcPr>
          <w:p>
            <w:pPr>
              <w:spacing w:line="288" w:lineRule="auto"/>
            </w:pPr>
            <w:r/>
            <w:r>
              <w:rPr>
                <w:rFonts w:ascii="Times New Roman" w:hAnsi="Times New Roman"/>
                <w:b w:val="0"/>
                <w:sz w:val="20"/>
              </w:rPr>
              <w:t>4</w:t>
            </w:r>
          </w:p>
        </w:tc>
        <w:tc>
          <w:tcPr>
            <w:tcW w:type="dxa" w:w="1984"/>
          </w:tcPr>
          <w:p>
            <w:pPr>
              <w:spacing w:line="288" w:lineRule="auto"/>
            </w:pPr>
            <w:r/>
            <w:r>
              <w:rPr>
                <w:rFonts w:ascii="Times New Roman" w:hAnsi="Times New Roman"/>
                <w:b w:val="0"/>
                <w:sz w:val="20"/>
              </w:rPr>
              <w:t>2</w:t>
            </w:r>
          </w:p>
        </w:tc>
        <w:tc>
          <w:tcPr>
            <w:tcW w:type="dxa" w:w="1701"/>
          </w:tcPr>
          <w:p>
            <w:pPr>
              <w:spacing w:line="288" w:lineRule="auto"/>
            </w:pPr>
            <w:r/>
            <w:r>
              <w:rPr>
                <w:rFonts w:ascii="Times New Roman" w:hAnsi="Times New Roman"/>
                <w:b w:val="0"/>
                <w:sz w:val="20"/>
              </w:rPr>
              <w:t>2</w:t>
            </w:r>
          </w:p>
        </w:tc>
        <w:tc>
          <w:tcPr>
            <w:tcW w:type="dxa" w:w="850"/>
          </w:tcPr>
          <w:p>
            <w:pPr>
              <w:spacing w:line="288" w:lineRule="auto"/>
            </w:pPr>
            <w:r/>
            <w:r>
              <w:rPr>
                <w:rFonts w:ascii="Times New Roman" w:hAnsi="Times New Roman"/>
                <w:b w:val="0"/>
                <w:sz w:val="20"/>
              </w:rPr>
              <w:t>1</w:t>
            </w:r>
          </w:p>
        </w:tc>
        <w:tc>
          <w:tcPr>
            <w:tcW w:type="dxa" w:w="1701"/>
          </w:tcPr>
          <w:p>
            <w:pPr>
              <w:spacing w:line="288" w:lineRule="auto"/>
            </w:pPr>
            <w:r/>
            <w:r>
              <w:rPr>
                <w:rFonts w:ascii="Times New Roman" w:hAnsi="Times New Roman"/>
                <w:b w:val="0"/>
                <w:sz w:val="20"/>
              </w:rPr>
              <w:t>Moderate</w:t>
            </w:r>
          </w:p>
        </w:tc>
      </w:tr>
    </w:tbl>
    <w:p/>
    <w:p>
      <w:pPr>
        <w:spacing w:line="360" w:lineRule="auto" w:after="120"/>
        <w:ind w:firstLine="283"/>
        <w:jc w:val="both"/>
      </w:pPr>
      <w:r>
        <w:rPr>
          <w:rFonts w:ascii="Times New Roman" w:hAnsi="Times New Roman"/>
          <w:sz w:val="22"/>
        </w:rPr>
        <w:t>The semi-Z-source achieves the lowest switch count of all four topologies while retaining single-stage operation. The reduced switch count translates directly to fewer gate drivers, fewer isolation devices, and reduced complexity in the digital controller's PWM generation logic.</w:t>
      </w:r>
    </w:p>
    <w:p>
      <w:pPr>
        <w:pStyle w:val="Heading2"/>
        <w:spacing w:before="240" w:after="120"/>
      </w:pPr>
      <w:r>
        <w:rPr>
          <w:rFonts w:ascii="Times New Roman" w:hAnsi="Times New Roman"/>
          <w:b/>
          <w:color w:val="000000"/>
          <w:sz w:val="26"/>
        </w:rPr>
        <w:t>6.18.2 Prospective Applications</w:t>
      </w:r>
    </w:p>
    <w:p>
      <w:pPr>
        <w:spacing w:line="360" w:lineRule="auto" w:after="120"/>
        <w:jc w:val="both"/>
      </w:pPr>
      <w:r>
        <w:rPr>
          <w:rFonts w:ascii="Times New Roman" w:hAnsi="Times New Roman"/>
          <w:sz w:val="22"/>
        </w:rPr>
        <w:t>Beyond the residential grid-tied PV application that has been the primary focus of this thesis, several application areas could benefit from the semi-Z-source inverter's combination of low component count and bidirectional capability.</w:t>
      </w:r>
    </w:p>
    <w:p>
      <w:pPr>
        <w:pStyle w:val="Heading3"/>
        <w:spacing w:before="200" w:after="80"/>
      </w:pPr>
      <w:r>
        <w:rPr>
          <w:rFonts w:ascii="Times New Roman" w:hAnsi="Times New Roman"/>
          <w:b/>
          <w:color w:val="000000"/>
          <w:sz w:val="22"/>
        </w:rPr>
        <w:t>Electric vehicle charging integration</w:t>
      </w:r>
    </w:p>
    <w:p>
      <w:pPr>
        <w:spacing w:line="360" w:lineRule="auto" w:after="120"/>
        <w:jc w:val="both"/>
      </w:pPr>
      <w:r>
        <w:rPr>
          <w:rFonts w:ascii="Times New Roman" w:hAnsi="Times New Roman"/>
          <w:sz w:val="22"/>
        </w:rPr>
        <w:t>The bidirectional operation demonstrated in §6.17.7 and §6.17.8 establishes the converter's suitability for combined PV-EV charging applications.</w:t>
      </w:r>
    </w:p>
    <w:p>
      <w:pPr>
        <w:pStyle w:val="Heading3"/>
        <w:spacing w:before="200" w:after="80"/>
      </w:pPr>
      <w:r>
        <w:rPr>
          <w:rFonts w:ascii="Times New Roman" w:hAnsi="Times New Roman"/>
          <w:b/>
          <w:color w:val="000000"/>
          <w:sz w:val="22"/>
        </w:rPr>
        <w:t>Microgrid integration</w:t>
      </w:r>
    </w:p>
    <w:p>
      <w:pPr>
        <w:spacing w:line="360" w:lineRule="auto" w:after="120"/>
        <w:jc w:val="both"/>
      </w:pPr>
      <w:r>
        <w:rPr>
          <w:rFonts w:ascii="Times New Roman" w:hAnsi="Times New Roman"/>
          <w:sz w:val="22"/>
        </w:rPr>
        <w:t>The bidirectional capability positions the semi-Z-source as a candidate for low-power microgrid applications.</w:t>
      </w:r>
    </w:p>
    <w:p>
      <w:pPr>
        <w:pStyle w:val="Heading3"/>
        <w:spacing w:before="200" w:after="80"/>
      </w:pPr>
      <w:r>
        <w:rPr>
          <w:rFonts w:ascii="Times New Roman" w:hAnsi="Times New Roman"/>
          <w:b/>
          <w:color w:val="000000"/>
          <w:sz w:val="22"/>
        </w:rPr>
        <w:t>Hydrogen production (future work)</w:t>
      </w:r>
    </w:p>
    <w:p>
      <w:pPr>
        <w:spacing w:line="360" w:lineRule="auto" w:after="120"/>
        <w:jc w:val="both"/>
      </w:pPr>
      <w:r>
        <w:rPr>
          <w:rFonts w:ascii="Times New Roman" w:hAnsi="Times New Roman"/>
          <w:sz w:val="22"/>
        </w:rPr>
        <w:t>A promising direction for future work is the integration of the semi-Z-source inverter with proton exchange membrane (PEM) electrolyser systems for hydrogen production. PEM electrolysers require a regulated DC voltage and substantial DC current capability, both within the natural operating range of the converter operating in reverse. Extending the present design to support electrolyser loading is beyond the scope of the present thesis but represents a natural extension for future research.</w:t>
      </w:r>
    </w:p>
    <w:p>
      <w:pPr>
        <w:pStyle w:val="Heading1"/>
        <w:spacing w:before="360" w:after="160"/>
      </w:pPr>
      <w:r>
        <w:rPr>
          <w:rFonts w:ascii="Times New Roman" w:hAnsi="Times New Roman"/>
          <w:b/>
          <w:color w:val="000000"/>
          <w:sz w:val="32"/>
        </w:rPr>
        <w:t>6.19 Conclusion</w:t>
      </w:r>
    </w:p>
    <w:p>
      <w:pPr>
        <w:spacing w:line="360" w:lineRule="auto" w:after="120"/>
        <w:jc w:val="both"/>
      </w:pPr>
      <w:r>
        <w:rPr>
          <w:rFonts w:ascii="Times New Roman" w:hAnsi="Times New Roman"/>
          <w:sz w:val="22"/>
        </w:rPr>
        <w:t>This chapter has developed, designed, and validated through simulation the closed-loop control system for a single-stage semi-Z-source inverter operating in a UK 230 V grid-tied residential PV application. The principal contributions of the chapter are as follows.</w:t>
      </w:r>
    </w:p>
    <w:p>
      <w:pPr>
        <w:pStyle w:val="ListBullet"/>
        <w:spacing w:line="360" w:lineRule="auto" w:after="80"/>
      </w:pPr>
      <w:r>
        <w:rPr>
          <w:rFonts w:ascii="Times New Roman" w:hAnsi="Times New Roman"/>
          <w:sz w:val="22"/>
        </w:rPr>
        <w:t>The headline contribution is the gain-scheduled proportional-resonant DC-injection compensator, in which the PR controller's proportional and resonant gains are computed analytically at multiple operating points and stored in lookup tables indexed by the operating-point modulation index M_avg. This addresses the principal limitation of the fixed-gain PR controller used in the author's 2020 paper, namely degradation of DC injection suppression away from the design operating point. The contribution directly addresses the viva examiners' specific recommendation that the PR controller design be developed into an adaptive solution.</w:t>
      </w:r>
    </w:p>
    <w:p>
      <w:pPr>
        <w:pStyle w:val="ListBullet"/>
        <w:spacing w:line="360" w:lineRule="auto" w:after="80"/>
      </w:pPr>
      <w:r>
        <w:rPr>
          <w:rFonts w:ascii="Times New Roman" w:hAnsi="Times New Roman"/>
          <w:sz w:val="22"/>
        </w:rPr>
        <w:t>A complete control architecture integrating outer-loop DC voltage regulation, inner-loop dq-frame current control, αβ-CDSC-SOGI-PLL grid synchronisation, and the gain-scheduled PR compensator into a coherent single-stage design.</w:t>
      </w:r>
    </w:p>
    <w:p>
      <w:pPr>
        <w:pStyle w:val="ListBullet"/>
        <w:spacing w:line="360" w:lineRule="auto" w:after="80"/>
      </w:pPr>
      <w:r>
        <w:rPr>
          <w:rFonts w:ascii="Times New Roman" w:hAnsi="Times New Roman"/>
          <w:sz w:val="22"/>
        </w:rPr>
        <w:t>The controlled-current-source PV representation has been replaced with a proper single-diode PV array model.</w:t>
      </w:r>
    </w:p>
    <w:p>
      <w:pPr>
        <w:pStyle w:val="ListBullet"/>
        <w:spacing w:line="360" w:lineRule="auto" w:after="80"/>
      </w:pPr>
      <w:r>
        <w:rPr>
          <w:rFonts w:ascii="Times New Roman" w:hAnsi="Times New Roman"/>
          <w:sz w:val="22"/>
        </w:rPr>
        <w:t>A perturb-and-observe MPPT algorithm has been integrated, completing the system as a true grid-tied PV inverter.</w:t>
      </w:r>
    </w:p>
    <w:p>
      <w:pPr>
        <w:pStyle w:val="ListBullet"/>
        <w:spacing w:line="360" w:lineRule="auto" w:after="80"/>
      </w:pPr>
      <w:r>
        <w:rPr>
          <w:rFonts w:ascii="Times New Roman" w:hAnsi="Times New Roman"/>
          <w:sz w:val="22"/>
        </w:rPr>
        <w:t>The αβ-CDSC-SOGI-PLL of Chapter 4 has been integrated, providing robust grid synchronisation. Experimental validation of the PLL on the F28P65X hardware is presented in Chapter 5.</w:t>
      </w:r>
    </w:p>
    <w:p>
      <w:pPr>
        <w:pStyle w:val="ListBullet"/>
        <w:spacing w:line="360" w:lineRule="auto" w:after="80"/>
      </w:pPr>
      <w:r>
        <w:rPr>
          <w:rFonts w:ascii="Times New Roman" w:hAnsi="Times New Roman"/>
          <w:sz w:val="22"/>
        </w:rPr>
        <w:t>Electric vehicle interoperability has been demonstrated in both day mode and night mode.</w:t>
      </w:r>
    </w:p>
    <w:p>
      <w:pPr>
        <w:pStyle w:val="ListBullet"/>
        <w:spacing w:line="360" w:lineRule="auto" w:after="80"/>
      </w:pPr>
      <w:r>
        <w:rPr>
          <w:rFonts w:ascii="Times New Roman" w:hAnsi="Times New Roman"/>
          <w:sz w:val="22"/>
        </w:rPr>
        <w:t>The design has been validated against the UK grid standards G99 and EN 50160.</w:t>
      </w:r>
    </w:p>
    <w:p>
      <w:pPr>
        <w:pStyle w:val="ListBullet"/>
        <w:spacing w:line="360" w:lineRule="auto" w:after="80"/>
      </w:pPr>
      <w:r>
        <w:rPr>
          <w:rFonts w:ascii="Times New Roman" w:hAnsi="Times New Roman"/>
          <w:sz w:val="22"/>
        </w:rPr>
        <w:t>A loss model has been developed and applied to compute converter efficiency at multiple operating points.</w:t>
      </w:r>
    </w:p>
    <w:p>
      <w:pPr>
        <w:pStyle w:val="ListBullet"/>
        <w:spacing w:line="360" w:lineRule="auto" w:after="80"/>
      </w:pPr>
      <w:r>
        <w:rPr>
          <w:rFonts w:ascii="Times New Roman" w:hAnsi="Times New Roman"/>
          <w:sz w:val="22"/>
        </w:rPr>
        <w:t>Simulation methodology and reproducibility have been documented in detail.</w:t>
      </w:r>
    </w:p>
    <w:p>
      <w:pPr>
        <w:spacing w:line="360" w:lineRule="auto" w:after="120"/>
        <w:ind w:firstLine="283"/>
        <w:jc w:val="both"/>
      </w:pPr>
      <w:r>
        <w:rPr>
          <w:rFonts w:ascii="Times New Roman" w:hAnsi="Times New Roman"/>
          <w:sz w:val="22"/>
        </w:rPr>
        <w:t>The simulation study §6.17.2 establishes the headline result: the gain-scheduled PR controller reduces DC injection to below 0.5 percent of fundamental at all three modulation indices tested (M = 0.6, 0.42, 0.24), in contrast to the fixed-gain PR controller which achieves consistent suppression only at the design operating point. This direct comparison validates the gain-scheduling contribution and demonstrates the consistency of DC injection suppression across the operating envelope.</w:t>
      </w:r>
    </w:p>
    <w:p>
      <w:pPr>
        <w:spacing w:line="360" w:lineRule="auto" w:after="120"/>
        <w:ind w:firstLine="283"/>
        <w:jc w:val="both"/>
      </w:pPr>
      <w:r>
        <w:rPr>
          <w:rFonts w:ascii="Times New Roman" w:hAnsi="Times New Roman"/>
          <w:sz w:val="22"/>
        </w:rPr>
        <w:t>The principal limitations of the present work are the simulation-only nature of the validation in this chapter (hardware validation of the αβ-CDSC-SOGI-PLL is provided in Chapter 5; hardware validation of the full closed-loop inverter system is left as future work), the simplified L-filter design that may not scale to higher power levels, the quasi-static nature of the scheduling (which assumes operating-point variations are slow compared with the grid cycle), and the constant-power EV load model that does not capture battery cell dynamics.</w:t>
      </w:r>
    </w:p>
    <w:p>
      <w:pPr>
        <w:spacing w:line="360" w:lineRule="auto" w:after="120"/>
        <w:ind w:firstLine="283"/>
        <w:jc w:val="both"/>
      </w:pPr>
      <w:r>
        <w:rPr>
          <w:rFonts w:ascii="Times New Roman" w:hAnsi="Times New Roman"/>
          <w:sz w:val="22"/>
        </w:rPr>
        <w:t>Future work directions, addressed more fully in Chapter 8, include hardware validation of the complete closed-loop system on the F28P65X target platform; scaling to three-phase higher-power designs with LCL filters; investigation of self-tuning or adaptive variants of the PR controller that learn the schedule online; investigation of model predictive control as an alternative scheme; integration with PEM electrolyser loads for hydrogen production; and field deployment with monitoring to validate long-term operation under real grid conditions.</w:t>
      </w:r>
    </w:p>
    <w:p>
      <w:pPr>
        <w:pStyle w:val="Heading1"/>
        <w:spacing w:before="360" w:after="160"/>
      </w:pPr>
      <w:r>
        <w:rPr>
          <w:rFonts w:ascii="Times New Roman" w:hAnsi="Times New Roman"/>
          <w:b/>
          <w:color w:val="000000"/>
          <w:sz w:val="32"/>
        </w:rPr>
        <w:t>References</w:t>
      </w:r>
    </w:p>
    <w:p>
      <w:pPr>
        <w:spacing w:line="360" w:lineRule="auto" w:after="120"/>
        <w:jc w:val="both"/>
      </w:pPr>
      <w:r>
        <w:rPr>
          <w:rFonts w:ascii="Times New Roman" w:hAnsi="Times New Roman"/>
          <w:sz w:val="22"/>
        </w:rPr>
        <w:t>[1] Energy Networks Association, 'Engineering Recommendation G99: Requirements for the connection of generation equipment in parallel with public distribution networks on or after 27 April 2019,' Issue 1, Amendment 8, 2022.</w:t>
      </w:r>
    </w:p>
    <w:p>
      <w:pPr>
        <w:spacing w:line="360" w:lineRule="auto" w:after="120"/>
        <w:jc w:val="both"/>
      </w:pPr>
      <w:r>
        <w:rPr>
          <w:rFonts w:ascii="Times New Roman" w:hAnsi="Times New Roman"/>
          <w:sz w:val="22"/>
        </w:rPr>
        <w:t>[2] British Standards Institution, 'BS EN 50160:2022 Voltage characteristics of electricity supplied by public electricity networks,' 2022.</w:t>
      </w:r>
    </w:p>
    <w:p>
      <w:pPr>
        <w:spacing w:line="360" w:lineRule="auto" w:after="120"/>
        <w:jc w:val="both"/>
      </w:pPr>
      <w:r>
        <w:rPr>
          <w:rFonts w:ascii="Times New Roman" w:hAnsi="Times New Roman"/>
          <w:sz w:val="22"/>
        </w:rPr>
        <w:t>[3] Asi, A.-U. et al., 'A single-stage transformerless Z-source inverter for grid-tied photovoltaic applications,' Proc. IEEE PEDG Conference, 2020.</w:t>
      </w:r>
    </w:p>
    <w:p>
      <w:r>
        <w:rPr>
          <w:rFonts w:ascii="Times New Roman" w:hAnsi="Times New Roman"/>
          <w:sz w:val="22"/>
        </w:rPr>
        <w:t xml:space="preserve">[4] J. S. Shamma and M. Athans, 'Analysis of gain scheduled control for nonlinear plants,' IEEE Transactions on Automatic Control, vol. 35, no. 8, pp. 898-907, Aug. 1990.</w:t>
      </w:r>
    </w:p>
    <w:p>
      <w:r>
        <w:rPr>
          <w:rFonts w:ascii="Times New Roman" w:hAnsi="Times New Roman"/>
          <w:sz w:val="22"/>
        </w:rPr>
        <w:t xml:space="preserve">[5] J. S. Shamma and M. Athans, 'Gain scheduling: potential hazards and possible remedies,' IEEE Control Systems Magazine, vol. 12, no. 3, pp. 101-107, June 1992.</w:t>
      </w:r>
    </w:p>
    <w:p>
      <w:r>
        <w:rPr>
          <w:rFonts w:ascii="Times New Roman" w:hAnsi="Times New Roman"/>
          <w:sz w:val="22"/>
        </w:rPr>
        <w:t xml:space="preserve">[6] W. J. Rugh and J. S. Shamma, 'Research on gain scheduling,' Automatica, vol. 36, no. 10, pp. 1401-1425, 2000.</w:t>
      </w:r>
    </w:p>
    <w:p>
      <w:r>
        <w:rPr>
          <w:rFonts w:ascii="Times New Roman" w:hAnsi="Times New Roman"/>
          <w:sz w:val="22"/>
        </w:rPr>
        <w:t xml:space="preserve">[7] P. C. Loh, F. Gao, F. Blaabjerg and S. W. Lim, 'Modeling and controller design of the Z-source inverter with inductive load,' Proc. IEEE Power Electronics Specialists Conference (PESC), pp. 1804-1809, 2007.</w:t>
      </w:r>
    </w:p>
    <w:p>
      <w:r>
        <w:rPr>
          <w:rFonts w:ascii="Times New Roman" w:hAnsi="Times New Roman"/>
          <w:sz w:val="22"/>
        </w:rPr>
        <w:t xml:space="preserve">[8] C. Yanarates and Z. Zhou, 'Symmetrical pole placement method-based unity proportional gain resonant and gain scheduled proportional (PR-P) controller with harmonic compensator for single-phase grid-connected PV inverters,' IEEE Access, vol. 9, pp. 93165-93181, 2021.</w:t>
      </w:r>
    </w:p>
    <w:p>
      <w:r>
        <w:rPr>
          <w:rFonts w:ascii="Times New Roman" w:hAnsi="Times New Roman"/>
          <w:sz w:val="22"/>
        </w:rPr>
        <w:t xml:space="preserve">[9] C. Yanarates, Y. Wang and Z. Zhou, 'Unity proportional gain resonant and gain scheduled proportional (PR-P) controller-based variable perturbation size real-time adaptive perturb and observe (P&amp;O) MPPT algorithm for PV systems,' IEEE Access, vol. 9, pp. 138468-138482, 2021.</w:t>
      </w:r>
    </w:p>
    <w:p>
      <w:pPr>
        <w:shd w:val="clear" w:color="auto" w:fill="FFF2CC"/>
        <w:spacing w:before="120" w:after="120"/>
        <w:jc w:val="center"/>
      </w:pPr>
      <w:r>
        <w:rPr>
          <w:rFonts w:ascii="Calibri" w:hAnsi="Calibri"/>
          <w:b/>
          <w:i/>
          <w:color w:val="806000"/>
          <w:sz w:val="20"/>
        </w:rPr>
        <w:t>[PLACEHOLDER: Full reference list to be expanded to ~30-40 citations covering: Z-source inverter literature, transformerless PV inverter topologies, PR controller theory and gain scheduling methods, MPC vs linear control comparison, PV array modelling, MPPT algorithms, grid synchronisation methods, grid standards, EV charging integration, loss modelling, efficiency analysis methodologies, topology comparison studies.]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