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28"/>
        </w:rPr>
        <w:t>Chapter 3</w:t>
      </w:r>
    </w:p>
    <w:p>
      <w:pPr>
        <w:spacing w:after="480"/>
      </w:pPr>
      <w:r>
        <w:rPr>
          <w:b/>
          <w:sz w:val="36"/>
        </w:rPr>
        <w:t>Small-Signal Modelling and Open-Loop Plant Characterisation of the Semi-Z-Source DC-DC Stage</w:t>
      </w:r>
    </w:p>
    <w:p>
      <w:pPr>
        <w:pStyle w:val="Heading1"/>
        <w:spacing w:before="360" w:after="160"/>
      </w:pPr>
      <w:r>
        <w:rPr>
          <w:rFonts w:ascii="Times New Roman" w:hAnsi="Times New Roman"/>
          <w:b/>
          <w:color w:val="000000"/>
          <w:sz w:val="32"/>
        </w:rPr>
        <w:t>3.1 Introduction</w:t>
      </w:r>
    </w:p>
    <w:p>
      <w:pPr>
        <w:spacing w:line="360" w:lineRule="auto" w:after="160"/>
        <w:ind w:firstLine="0"/>
        <w:jc w:val="both"/>
      </w:pPr>
      <w:r>
        <w:rPr>
          <w:rFonts w:ascii="Times New Roman" w:hAnsi="Times New Roman"/>
          <w:b w:val="0"/>
          <w:i w:val="0"/>
          <w:sz w:val="22"/>
        </w:rPr>
        <w:t>This chapter develops and verifies the small-signal averaged state-space model of the semi-Z-source DC-DC stage that forms the front end of the single-phase grid-connected photovoltaic inverter studied in this thesis. The chapter has three objectives: to derive the averaged model from first principles in a way that documents every modelling assumption and parasitic element; to verify the model against a Simscape switching simulation across three excitation magnitudes that span the small-signal validity range; and to characterise the resulting open-loop plant in both the time and frequency domains across the realistic operating envelope of the converter.</w:t>
      </w:r>
    </w:p>
    <w:p>
      <w:pPr>
        <w:spacing w:line="360" w:lineRule="auto" w:after="160"/>
        <w:ind w:firstLine="0"/>
        <w:jc w:val="both"/>
      </w:pPr>
      <w:r>
        <w:rPr>
          <w:rFonts w:ascii="Times New Roman" w:hAnsi="Times New Roman"/>
          <w:b w:val="0"/>
          <w:i w:val="0"/>
          <w:sz w:val="22"/>
        </w:rPr>
        <w:t>The work in this chapter responds directly to the methodological concerns raised by the external examiner during the viva. Three concerns dominated. First, the original submission did not document the linearisation procedure or the bounds of its validity with sufficient rigour for a reader to reproduce the model. Second, the parasitic elements of the converter (inductor winding resistance, switch on-resistance, capacitor equivalent series resistance) were stated to be "included" but were not visible in the published state-space matrices. Third, the reported step-response behaviour appeared to assume implicitly that the linearisation about a single operating point would remain valid across the full range of duty ratios encountered during normal Maximum Power Point Tracking (MPPT) operation. Each of these concerns is addressed explicitly in the sections that follow.</w:t>
      </w:r>
    </w:p>
    <w:p>
      <w:pPr>
        <w:spacing w:line="360" w:lineRule="auto" w:after="160"/>
        <w:ind w:firstLine="0"/>
        <w:jc w:val="both"/>
      </w:pPr>
      <w:r>
        <w:rPr>
          <w:rFonts w:ascii="Times New Roman" w:hAnsi="Times New Roman"/>
          <w:b w:val="0"/>
          <w:i w:val="0"/>
          <w:sz w:val="22"/>
        </w:rPr>
        <w:t>The chapter is organised as follows. Section 3.2 establishes the topology and operating conventions of the semi-Z-source DC-DC converter and declares the operating-mode assumptions. Section 3.3 presents the switching equations for each of the two conducting states and combines them into a duty-ratio-averaged set of nonlinear differential equations. Section 3.4 linearises these equations about a chosen operating point and assembles the resulting small-signal state-space model, including a full treatment of all parasitic elements with capacitor ESR included explicitly. Section 3.5 verifies the linearised model against the Simscape switching simulation through three step-response studies that span the small-signal, moderate-signal, and large-signal regimes; this section establishes the quantitative bounds of model validity. Section 3.6 examines the sensitivity of the converter's open-loop dynamics to component-value variation within the manufacturing tolerance band. Section 3.7 characterises the linearised plant in the frequency domain through pole-zero analysis, Bode-diagram analysis, and a sweep of the operating point across the MPPT range. Section 3.8 summarises the findings and identifies the design constraints that the linearised plant imposes on the closed-loop controller of Chapter 6.</w:t>
      </w:r>
    </w:p>
    <w:p>
      <w:pPr>
        <w:spacing w:line="360" w:lineRule="auto" w:after="160"/>
        <w:ind w:firstLine="0"/>
        <w:jc w:val="both"/>
      </w:pPr>
      <w:r>
        <w:rPr>
          <w:rFonts w:ascii="Times New Roman" w:hAnsi="Times New Roman"/>
          <w:b w:val="0"/>
          <w:i w:val="0"/>
          <w:sz w:val="22"/>
        </w:rPr>
        <w:t>The chapter's contribution is methodological. The novel content of the thesis lies in the closed-loop control design of Chapter 6 and the experimental validation of Chapter 5. This chapter does not claim a novel modelling technique. What it does claim is a complete, reproducible, and verified linearisation of the semi-Z-source DC-DC stage that supports the design choices made in subsequent chapters and answers, in detail, the questions raised in the viva. The factor-of-six variation in plant DC gain across the MPPT operating range that Section 3.7.4 will quantify is the technical basis for the gain-scheduled proportional-resonant compensator developed in Chapter 6 §6.11, which is the principal closed-loop control contribution of the thesis.</w:t>
      </w:r>
    </w:p>
    <w:p>
      <w:pPr>
        <w:pStyle w:val="Heading1"/>
        <w:spacing w:before="360" w:after="160"/>
      </w:pPr>
      <w:r>
        <w:rPr>
          <w:rFonts w:ascii="Times New Roman" w:hAnsi="Times New Roman"/>
          <w:b/>
          <w:color w:val="000000"/>
          <w:sz w:val="32"/>
        </w:rPr>
        <w:t>3.2 Topology and Operating Conventions</w:t>
      </w:r>
    </w:p>
    <w:p>
      <w:pPr>
        <w:pStyle w:val="Heading2"/>
        <w:spacing w:before="360" w:after="160"/>
      </w:pPr>
      <w:r>
        <w:rPr>
          <w:rFonts w:ascii="Times New Roman" w:hAnsi="Times New Roman"/>
          <w:b/>
          <w:color w:val="000000"/>
          <w:sz w:val="28"/>
        </w:rPr>
        <w:t>3.2.1 The semi-Z-source DC-DC stage</w:t>
      </w:r>
    </w:p>
    <w:p>
      <w:pPr>
        <w:spacing w:line="360" w:lineRule="auto" w:after="160"/>
        <w:ind w:firstLine="0"/>
        <w:jc w:val="both"/>
      </w:pPr>
      <w:r>
        <w:rPr>
          <w:rFonts w:ascii="Times New Roman" w:hAnsi="Times New Roman"/>
          <w:b w:val="0"/>
          <w:i w:val="0"/>
          <w:sz w:val="22"/>
        </w:rPr>
        <w:t>The semi-Z-source converter studied in this thesis is a single-stage DC-DC topology that uses a symmetric LC network in a Z-shaped configuration to achieve voltage step-up and step-down within a single switching stage. The topology is a buck-boost variant of the classical Z-source converter, with the distinguishing property that the input source and the output load share a common ground reference. This single-ground feature is the practical reason for choosing the semi-Z-source over the classical Z-source in grid-connected photovoltaic applications: it simplifies the wiring of the input array and the grid-tie output stage to a common chassis reference, removing the need for galvanic isolation transformers at this stage.</w:t>
      </w:r>
    </w:p>
    <w:p>
      <w:pPr>
        <w:spacing w:line="360" w:lineRule="auto" w:after="160"/>
        <w:ind w:firstLine="0"/>
        <w:jc w:val="both"/>
      </w:pPr>
      <w:r>
        <w:rPr>
          <w:rFonts w:ascii="Times New Roman" w:hAnsi="Times New Roman"/>
          <w:b w:val="0"/>
          <w:i w:val="0"/>
          <w:sz w:val="22"/>
        </w:rPr>
        <w:t>Figure 3.1 shows the schematic of the converter as implemented in this work. The topology comprises four passive elements arranged in a Z-network (L₁, L₂, C₁, C₂), two active switches (S₁ and S₂), two output rectifying diodes, and a single resistive load R representing the downstream H-bridge inverter and grid interface. The input source on the left represents the photovoltaic array operating at its maximum power point voltage V_g. The output capacitor C₂ on the right feeds the DC bus voltage V_C2 that supplies the inverter stage of Chapter 6. Each inductor is drawn with its series winding resistance r_L explicit, and each capacitor with its series equivalent resistance r_C explicit, so that the parasitic-element treatment in subsequent sections has unambiguous physical referents in the schematic.</w:t>
      </w:r>
    </w:p>
    <w:p>
      <w:pPr>
        <w:spacing w:before="240" w:after="120" w:line="360" w:lineRule="auto"/>
        <w:jc w:val="center"/>
      </w:pPr>
      <w:r>
        <w:rPr>
          <w:rFonts w:ascii="Arial" w:hAnsi="Arial"/>
          <w:b/>
          <w:color w:val="888888"/>
          <w:sz w:val="22"/>
        </w:rPr>
        <w:t>[INSERT FIGURE HERE: Fig_3_1_topology.png]</w:t>
      </w:r>
    </w:p>
    <w:p>
      <w:pPr>
        <w:spacing w:before="80" w:after="320"/>
        <w:jc w:val="center"/>
      </w:pPr>
      <w:r>
        <w:rPr>
          <w:rFonts w:ascii="Times New Roman" w:hAnsi="Times New Roman"/>
          <w:b/>
          <w:sz w:val="20"/>
        </w:rPr>
        <w:t>Figure 3.1 — Schematic of the semi-Z-source DC-DC converter as implemented. The Z-network passive elements L₁, L₂, C₁, C₂ provide the voltage-conversion mechanism; the two MOSFETs S₁ and S₂ operate in complementary fashion to alternate between the two switching states. The output capacitor C₂ feeds the downstream H-bridge inverter (not shown). Annotations identify the inductor winding resistances r_L, the MOSFET on-resistances R_on, and the capacitor equivalent series resistances r_C, all modelled as series elements.</w:t>
      </w:r>
    </w:p>
    <w:p>
      <w:pPr>
        <w:spacing w:line="360" w:lineRule="auto" w:after="160"/>
        <w:ind w:firstLine="0"/>
        <w:jc w:val="both"/>
      </w:pPr>
      <w:r>
        <w:rPr>
          <w:rFonts w:ascii="Times New Roman" w:hAnsi="Times New Roman"/>
          <w:b w:val="0"/>
          <w:i w:val="0"/>
          <w:sz w:val="22"/>
        </w:rPr>
        <w:t>The current-direction conventions used throughout this chapter are also indicated in Figure 3.1. The inductor currents i_L1 and i_L2 are defined positive in the direction of source-to-load energy flow during the conducting intervals. The capacitor voltages v_C1 and v_C2 are defined positive on the polarity that aligns with normal operation: v_C2 positive on the side feeding the load, v_C1 positive on the side closer to the input. These conventions are adopted to keep the resulting state-space matrices in a form that produces non-negative DC bus voltage at the operating point and to match the sign conventions used in the reference works on this topology.</w:t>
      </w:r>
    </w:p>
    <w:p>
      <w:pPr>
        <w:pStyle w:val="Heading2"/>
        <w:spacing w:before="360" w:after="160"/>
      </w:pPr>
      <w:r>
        <w:rPr>
          <w:rFonts w:ascii="Times New Roman" w:hAnsi="Times New Roman"/>
          <w:b/>
          <w:color w:val="000000"/>
          <w:sz w:val="28"/>
        </w:rPr>
        <w:t>3.2.2 Operating-mode assumption</w:t>
      </w:r>
    </w:p>
    <w:p>
      <w:pPr>
        <w:spacing w:line="360" w:lineRule="auto" w:after="160"/>
        <w:ind w:firstLine="0"/>
        <w:jc w:val="both"/>
      </w:pPr>
      <w:r>
        <w:rPr>
          <w:rFonts w:ascii="Times New Roman" w:hAnsi="Times New Roman"/>
          <w:b w:val="0"/>
          <w:i w:val="0"/>
          <w:sz w:val="22"/>
        </w:rPr>
        <w:t>The analysis throughout this chapter assumes continuous conduction mode (CCM) operation. In CCM, both inductor currents remain strictly positive throughout the switching cycle, the diodes conduct continuously during their respective intervals, and the two switching states cleanly alternate between S₁-conducting and S₂-conducting with no overlapping or freewheeling third state. The averaging procedure used to construct the small-signal model rests on this assumption: it assumes that the converter spends exactly two distinct, mutually exclusive intervals in each switching period, with no third (discontinuous) state in which both inductors are simultaneously freewheeling at zero current.</w:t>
      </w:r>
    </w:p>
    <w:p>
      <w:pPr>
        <w:spacing w:line="360" w:lineRule="auto" w:after="160"/>
        <w:ind w:firstLine="0"/>
        <w:jc w:val="both"/>
      </w:pPr>
      <w:r>
        <w:rPr>
          <w:rFonts w:ascii="Times New Roman" w:hAnsi="Times New Roman"/>
          <w:b w:val="0"/>
          <w:i w:val="0"/>
          <w:sz w:val="22"/>
        </w:rPr>
        <w:t>At very light load, where the load resistance R becomes large enough that the average inductor current falls below half the peak-to-peak ripple, the converter would enter discontinuous conduction mode (DCM). DCM operation requires a different averaging treatment with three intervals per cycle rather than two and yields a different set of state-space matrices with a reduced state dimension at the operating point. The DCM treatment is well-established in the literature for related Z-source topologies but is not pursued in this thesis: the converter is designed and operated in CCM across the full MPPT range relevant to the residential photovoltaic application, and the closed-loop controller of Chapter 6 includes a CCM-maintaining current floor in the duty-ratio command to prevent the operating point from straying into DCM during transient excursions. The CCM assumption is therefore both physically justified and design-enforced throughout the work that follows. Where the boundary of CCM validity matters to the conclusions, this is flagged explicitly.</w:t>
      </w:r>
    </w:p>
    <w:p>
      <w:pPr>
        <w:pStyle w:val="Heading2"/>
        <w:spacing w:before="360" w:after="160"/>
      </w:pPr>
      <w:r>
        <w:rPr>
          <w:rFonts w:ascii="Times New Roman" w:hAnsi="Times New Roman"/>
          <w:b/>
          <w:color w:val="000000"/>
          <w:sz w:val="28"/>
        </w:rPr>
        <w:t>3.2.3 Nominal parameter set</w:t>
      </w:r>
    </w:p>
    <w:p>
      <w:pPr>
        <w:spacing w:line="360" w:lineRule="auto" w:after="160"/>
        <w:ind w:firstLine="0"/>
        <w:jc w:val="both"/>
      </w:pPr>
      <w:r>
        <w:rPr>
          <w:rFonts w:ascii="Times New Roman" w:hAnsi="Times New Roman"/>
          <w:b w:val="0"/>
          <w:i w:val="0"/>
          <w:sz w:val="22"/>
        </w:rPr>
        <w:t>Table 3.1 lists the nominal parameter values used throughout this chapter, and used consistently in Chapters 6 and 7. The values represent a 3 kW single-phase residential photovoltaic inverter operating from an 10-module string-array at its typical maximum power point voltage of 500 V, switching at 20 kHz, and delivering grid-quality power to a 230 V / 50 Hz UK domestic supply through the H-bridge stage of Chapter 6. The parasitic-element values are representative of off-the-shelf components in the power-electronic ranges appropriate to the rated power: r_L = 50 mΩ corresponds to a high-quality 3 mH ferrite-cored inductor at the rated current; r_C = 20 mΩ corresponds to a typical 10 µF polypropylene film capacitor at switching frequency; R_on = 100 mΩ is representative of a 600 V silicon-carbide MOSFET in the 3 kW power range; and V_F = 1.0 V is the forward drop of a typical silicon-carbide Schottky rectifier.</w:t>
      </w:r>
    </w:p>
    <w:p>
      <w:pPr>
        <w:spacing w:before="80" w:after="320"/>
        <w:jc w:val="center"/>
      </w:pPr>
      <w:r>
        <w:rPr>
          <w:rFonts w:ascii="Times New Roman" w:hAnsi="Times New Roman"/>
          <w:b/>
          <w:sz w:val="20"/>
        </w:rPr>
        <w:t>Table 3.1 — Nominal parameter set for the semi-Z-source DC-DC converter.</w:t>
      </w:r>
    </w:p>
    <w:tbl>
      <w:tblPr>
        <w:tblStyle w:val="TableGrid"/>
        <w:tblW w:type="auto" w:w="0"/>
        <w:jc w:val="center"/>
        <w:tblLook w:firstColumn="1" w:firstRow="1" w:lastColumn="0" w:lastRow="0" w:noHBand="0" w:noVBand="1" w:val="04A0"/>
      </w:tblPr>
      <w:tblGrid>
        <w:gridCol w:w="2204"/>
        <w:gridCol w:w="2204"/>
        <w:gridCol w:w="2204"/>
        <w:gridCol w:w="2204"/>
      </w:tblGrid>
      <w:tr>
        <w:tc>
          <w:tcPr>
            <w:tcW w:type="dxa" w:w="1417"/>
            <w:shd w:fill="D5E8F0"/>
          </w:tcPr>
          <w:p>
            <w:pPr>
              <w:spacing w:line="276" w:lineRule="auto" w:after="40"/>
            </w:pPr>
            <w:r/>
            <w:r>
              <w:rPr>
                <w:rFonts w:ascii="Times New Roman" w:hAnsi="Times New Roman"/>
                <w:b/>
                <w:i w:val="0"/>
                <w:sz w:val="20"/>
              </w:rPr>
              <w:t>Symbol</w:t>
            </w:r>
          </w:p>
        </w:tc>
        <w:tc>
          <w:tcPr>
            <w:tcW w:type="dxa" w:w="1134"/>
            <w:shd w:fill="D5E8F0"/>
          </w:tcPr>
          <w:p>
            <w:pPr>
              <w:spacing w:line="276" w:lineRule="auto" w:after="40"/>
            </w:pPr>
            <w:r/>
            <w:r>
              <w:rPr>
                <w:rFonts w:ascii="Times New Roman" w:hAnsi="Times New Roman"/>
                <w:b/>
                <w:i w:val="0"/>
                <w:sz w:val="20"/>
              </w:rPr>
              <w:t>Value</w:t>
            </w:r>
          </w:p>
        </w:tc>
        <w:tc>
          <w:tcPr>
            <w:tcW w:type="dxa" w:w="850"/>
            <w:shd w:fill="D5E8F0"/>
          </w:tcPr>
          <w:p>
            <w:pPr>
              <w:spacing w:line="276" w:lineRule="auto" w:after="40"/>
            </w:pPr>
            <w:r/>
            <w:r>
              <w:rPr>
                <w:rFonts w:ascii="Times New Roman" w:hAnsi="Times New Roman"/>
                <w:b/>
                <w:i w:val="0"/>
                <w:sz w:val="20"/>
              </w:rPr>
              <w:t>Units</w:t>
            </w:r>
          </w:p>
        </w:tc>
        <w:tc>
          <w:tcPr>
            <w:tcW w:type="dxa" w:w="5386"/>
            <w:shd w:fill="D5E8F0"/>
          </w:tcPr>
          <w:p>
            <w:pPr>
              <w:spacing w:line="276" w:lineRule="auto" w:after="40"/>
            </w:pPr>
            <w:r/>
            <w:r>
              <w:rPr>
                <w:rFonts w:ascii="Times New Roman" w:hAnsi="Times New Roman"/>
                <w:b/>
                <w:i w:val="0"/>
                <w:sz w:val="20"/>
              </w:rPr>
              <w:t>Description</w:t>
            </w:r>
          </w:p>
        </w:tc>
      </w:tr>
      <w:tr>
        <w:tc>
          <w:tcPr>
            <w:tcW w:type="dxa" w:w="1417"/>
          </w:tcPr>
          <w:p>
            <w:pPr>
              <w:spacing w:line="276" w:lineRule="auto" w:after="40"/>
            </w:pPr>
            <w:r/>
            <w:r>
              <w:rPr>
                <w:rFonts w:ascii="Times New Roman" w:hAnsi="Times New Roman"/>
                <w:b w:val="0"/>
                <w:i w:val="0"/>
                <w:sz w:val="20"/>
              </w:rPr>
              <w:t>V_g</w:t>
            </w:r>
          </w:p>
        </w:tc>
        <w:tc>
          <w:tcPr>
            <w:tcW w:type="dxa" w:w="1134"/>
          </w:tcPr>
          <w:p>
            <w:pPr>
              <w:spacing w:line="276" w:lineRule="auto" w:after="40"/>
            </w:pPr>
            <w:r>
              <w:t>500</w:t>
            </w:r>
            <w:r>
              <w:rPr>
                <w:rFonts w:ascii="Times New Roman" w:hAnsi="Times New Roman"/>
                <w:b w:val="0"/>
                <w:i w:val="0"/>
                <w:sz w:val="20"/>
              </w:rPr>
            </w:r>
          </w:p>
        </w:tc>
        <w:tc>
          <w:tcPr>
            <w:tcW w:type="dxa" w:w="850"/>
          </w:tcPr>
          <w:p>
            <w:pPr>
              <w:spacing w:line="276" w:lineRule="auto" w:after="40"/>
            </w:pPr>
            <w:r/>
            <w:r>
              <w:rPr>
                <w:rFonts w:ascii="Times New Roman" w:hAnsi="Times New Roman"/>
                <w:b w:val="0"/>
                <w:i w:val="0"/>
                <w:sz w:val="20"/>
              </w:rPr>
              <w:t>V</w:t>
            </w:r>
          </w:p>
        </w:tc>
        <w:tc>
          <w:tcPr>
            <w:tcW w:type="dxa" w:w="5386"/>
          </w:tcPr>
          <w:p>
            <w:pPr>
              <w:spacing w:line="276" w:lineRule="auto" w:after="40"/>
            </w:pPr>
            <w:r/>
            <w:r>
              <w:rPr>
                <w:rFonts w:ascii="Times New Roman" w:hAnsi="Times New Roman"/>
                <w:b w:val="0"/>
                <w:i w:val="0"/>
                <w:sz w:val="20"/>
              </w:rPr>
              <w:t>PV-side DC voltage at maximum power point</w:t>
            </w:r>
          </w:p>
        </w:tc>
      </w:tr>
      <w:tr>
        <w:tc>
          <w:tcPr>
            <w:tcW w:type="dxa" w:w="1417"/>
          </w:tcPr>
          <w:p>
            <w:pPr>
              <w:spacing w:line="276" w:lineRule="auto" w:after="40"/>
            </w:pPr>
            <w:r/>
            <w:r>
              <w:rPr>
                <w:rFonts w:ascii="Times New Roman" w:hAnsi="Times New Roman"/>
                <w:b w:val="0"/>
                <w:i w:val="0"/>
                <w:sz w:val="20"/>
              </w:rPr>
              <w:t>P_rated</w:t>
            </w:r>
          </w:p>
        </w:tc>
        <w:tc>
          <w:tcPr>
            <w:tcW w:type="dxa" w:w="1134"/>
          </w:tcPr>
          <w:p>
            <w:pPr>
              <w:spacing w:line="276" w:lineRule="auto" w:after="40"/>
            </w:pPr>
            <w:r/>
            <w:r>
              <w:rPr>
                <w:rFonts w:ascii="Times New Roman" w:hAnsi="Times New Roman"/>
                <w:b w:val="0"/>
                <w:i w:val="0"/>
                <w:sz w:val="20"/>
              </w:rPr>
              <w:t>3000</w:t>
            </w:r>
          </w:p>
        </w:tc>
        <w:tc>
          <w:tcPr>
            <w:tcW w:type="dxa" w:w="850"/>
          </w:tcPr>
          <w:p>
            <w:pPr>
              <w:spacing w:line="276" w:lineRule="auto" w:after="40"/>
            </w:pPr>
            <w:r/>
            <w:r>
              <w:rPr>
                <w:rFonts w:ascii="Times New Roman" w:hAnsi="Times New Roman"/>
                <w:b w:val="0"/>
                <w:i w:val="0"/>
                <w:sz w:val="20"/>
              </w:rPr>
              <w:t>W</w:t>
            </w:r>
          </w:p>
        </w:tc>
        <w:tc>
          <w:tcPr>
            <w:tcW w:type="dxa" w:w="5386"/>
          </w:tcPr>
          <w:p>
            <w:pPr>
              <w:spacing w:line="276" w:lineRule="auto" w:after="40"/>
            </w:pPr>
            <w:r/>
            <w:r>
              <w:rPr>
                <w:rFonts w:ascii="Times New Roman" w:hAnsi="Times New Roman"/>
                <w:b w:val="0"/>
                <w:i w:val="0"/>
                <w:sz w:val="20"/>
              </w:rPr>
              <w:t>Rated converter output power</w:t>
            </w:r>
          </w:p>
        </w:tc>
      </w:tr>
      <w:tr>
        <w:tc>
          <w:tcPr>
            <w:tcW w:type="dxa" w:w="1417"/>
          </w:tcPr>
          <w:p>
            <w:pPr>
              <w:spacing w:line="276" w:lineRule="auto" w:after="40"/>
            </w:pPr>
            <w:r/>
            <w:r>
              <w:rPr>
                <w:rFonts w:ascii="Times New Roman" w:hAnsi="Times New Roman"/>
                <w:b w:val="0"/>
                <w:i w:val="0"/>
                <w:sz w:val="20"/>
              </w:rPr>
              <w:t>f_sw</w:t>
            </w:r>
          </w:p>
        </w:tc>
        <w:tc>
          <w:tcPr>
            <w:tcW w:type="dxa" w:w="1134"/>
          </w:tcPr>
          <w:p>
            <w:pPr>
              <w:spacing w:line="276" w:lineRule="auto" w:after="40"/>
            </w:pPr>
            <w:r/>
            <w:r>
              <w:rPr>
                <w:rFonts w:ascii="Times New Roman" w:hAnsi="Times New Roman"/>
                <w:b w:val="0"/>
                <w:i w:val="0"/>
                <w:sz w:val="20"/>
              </w:rPr>
              <w:t>20</w:t>
            </w:r>
          </w:p>
        </w:tc>
        <w:tc>
          <w:tcPr>
            <w:tcW w:type="dxa" w:w="850"/>
          </w:tcPr>
          <w:p>
            <w:pPr>
              <w:spacing w:line="276" w:lineRule="auto" w:after="40"/>
            </w:pPr>
            <w:r/>
            <w:r>
              <w:rPr>
                <w:rFonts w:ascii="Times New Roman" w:hAnsi="Times New Roman"/>
                <w:b w:val="0"/>
                <w:i w:val="0"/>
                <w:sz w:val="20"/>
              </w:rPr>
              <w:t>kHz</w:t>
            </w:r>
          </w:p>
        </w:tc>
        <w:tc>
          <w:tcPr>
            <w:tcW w:type="dxa" w:w="5386"/>
          </w:tcPr>
          <w:p>
            <w:pPr>
              <w:spacing w:line="276" w:lineRule="auto" w:after="40"/>
            </w:pPr>
            <w:r/>
            <w:r>
              <w:rPr>
                <w:rFonts w:ascii="Times New Roman" w:hAnsi="Times New Roman"/>
                <w:b w:val="0"/>
                <w:i w:val="0"/>
                <w:sz w:val="20"/>
              </w:rPr>
              <w:t>Switching frequency</w:t>
            </w:r>
          </w:p>
        </w:tc>
      </w:tr>
      <w:tr>
        <w:tc>
          <w:tcPr>
            <w:tcW w:type="dxa" w:w="1417"/>
          </w:tcPr>
          <w:p>
            <w:pPr>
              <w:spacing w:line="276" w:lineRule="auto" w:after="40"/>
            </w:pPr>
            <w:r/>
            <w:r>
              <w:rPr>
                <w:rFonts w:ascii="Times New Roman" w:hAnsi="Times New Roman"/>
                <w:b w:val="0"/>
                <w:i w:val="0"/>
                <w:sz w:val="20"/>
              </w:rPr>
              <w:t>D₀</w:t>
            </w:r>
          </w:p>
        </w:tc>
        <w:tc>
          <w:tcPr>
            <w:tcW w:type="dxa" w:w="1134"/>
          </w:tcPr>
          <w:p>
            <w:pPr>
              <w:spacing w:line="276" w:lineRule="auto" w:after="40"/>
            </w:pPr>
            <w:r/>
            <w:r>
              <w:rPr>
                <w:rFonts w:ascii="Times New Roman" w:hAnsi="Times New Roman"/>
                <w:b w:val="0"/>
                <w:i w:val="0"/>
                <w:sz w:val="20"/>
              </w:rPr>
              <w:t>0.20</w:t>
            </w:r>
          </w:p>
        </w:tc>
        <w:tc>
          <w:tcPr>
            <w:tcW w:type="dxa" w:w="850"/>
          </w:tcPr>
          <w:p>
            <w:pPr>
              <w:spacing w:line="276" w:lineRule="auto" w:after="40"/>
            </w:pPr>
            <w:r/>
            <w:r>
              <w:rPr>
                <w:rFonts w:ascii="Times New Roman" w:hAnsi="Times New Roman"/>
                <w:b w:val="0"/>
                <w:i w:val="0"/>
                <w:sz w:val="20"/>
              </w:rPr>
              <w:t>—</w:t>
            </w:r>
          </w:p>
        </w:tc>
        <w:tc>
          <w:tcPr>
            <w:tcW w:type="dxa" w:w="5386"/>
          </w:tcPr>
          <w:p>
            <w:pPr>
              <w:spacing w:line="276" w:lineRule="auto" w:after="40"/>
            </w:pPr>
            <w:r/>
            <w:r>
              <w:rPr>
                <w:rFonts w:ascii="Times New Roman" w:hAnsi="Times New Roman"/>
                <w:b w:val="0"/>
                <w:i w:val="0"/>
                <w:sz w:val="20"/>
              </w:rPr>
              <w:t>Nominal operating-point duty ratio</w:t>
            </w:r>
          </w:p>
        </w:tc>
      </w:tr>
      <w:tr>
        <w:tc>
          <w:tcPr>
            <w:tcW w:type="dxa" w:w="1417"/>
          </w:tcPr>
          <w:p>
            <w:pPr>
              <w:spacing w:line="276" w:lineRule="auto" w:after="40"/>
            </w:pPr>
            <w:r/>
            <w:r>
              <w:rPr>
                <w:rFonts w:ascii="Times New Roman" w:hAnsi="Times New Roman"/>
                <w:b w:val="0"/>
                <w:i w:val="0"/>
                <w:sz w:val="20"/>
              </w:rPr>
              <w:t>L₁ = L₂</w:t>
            </w:r>
          </w:p>
        </w:tc>
        <w:tc>
          <w:tcPr>
            <w:tcW w:type="dxa" w:w="1134"/>
          </w:tcPr>
          <w:p>
            <w:pPr>
              <w:spacing w:line="276" w:lineRule="auto" w:after="40"/>
            </w:pPr>
            <w:r>
              <w:t>2.0</w:t>
            </w:r>
            <w:r>
              <w:rPr>
                <w:rFonts w:ascii="Times New Roman" w:hAnsi="Times New Roman"/>
                <w:b w:val="0"/>
                <w:i w:val="0"/>
                <w:sz w:val="20"/>
              </w:rPr>
            </w:r>
          </w:p>
        </w:tc>
        <w:tc>
          <w:tcPr>
            <w:tcW w:type="dxa" w:w="850"/>
          </w:tcPr>
          <w:p>
            <w:pPr>
              <w:spacing w:line="276" w:lineRule="auto" w:after="40"/>
            </w:pPr>
            <w:r/>
            <w:r>
              <w:rPr>
                <w:rFonts w:ascii="Times New Roman" w:hAnsi="Times New Roman"/>
                <w:b w:val="0"/>
                <w:i w:val="0"/>
                <w:sz w:val="20"/>
              </w:rPr>
              <w:t>mH</w:t>
            </w:r>
          </w:p>
        </w:tc>
        <w:tc>
          <w:tcPr>
            <w:tcW w:type="dxa" w:w="5386"/>
          </w:tcPr>
          <w:p>
            <w:pPr>
              <w:spacing w:line="276" w:lineRule="auto" w:after="40"/>
            </w:pPr>
            <w:r/>
            <w:r>
              <w:rPr>
                <w:rFonts w:ascii="Times New Roman" w:hAnsi="Times New Roman"/>
                <w:b w:val="0"/>
                <w:i w:val="0"/>
                <w:sz w:val="20"/>
              </w:rPr>
              <w:t>Z-network inductance (symmetric)</w:t>
            </w:r>
          </w:p>
        </w:tc>
      </w:tr>
      <w:tr>
        <w:tc>
          <w:tcPr>
            <w:tcW w:type="dxa" w:w="1417"/>
          </w:tcPr>
          <w:p>
            <w:pPr>
              <w:spacing w:line="276" w:lineRule="auto" w:after="40"/>
            </w:pPr>
            <w:r/>
            <w:r>
              <w:rPr>
                <w:rFonts w:ascii="Times New Roman" w:hAnsi="Times New Roman"/>
                <w:b w:val="0"/>
                <w:i w:val="0"/>
                <w:sz w:val="20"/>
              </w:rPr>
              <w:t>C₁ = C₂</w:t>
            </w:r>
          </w:p>
        </w:tc>
        <w:tc>
          <w:tcPr>
            <w:tcW w:type="dxa" w:w="1134"/>
          </w:tcPr>
          <w:p>
            <w:pPr>
              <w:spacing w:line="276" w:lineRule="auto" w:after="40"/>
            </w:pPr>
            <w:r>
              <w:t>20.0</w:t>
            </w:r>
            <w:r>
              <w:rPr>
                <w:rFonts w:ascii="Times New Roman" w:hAnsi="Times New Roman"/>
                <w:b w:val="0"/>
                <w:i w:val="0"/>
                <w:sz w:val="20"/>
              </w:rPr>
            </w:r>
          </w:p>
        </w:tc>
        <w:tc>
          <w:tcPr>
            <w:tcW w:type="dxa" w:w="850"/>
          </w:tcPr>
          <w:p>
            <w:pPr>
              <w:spacing w:line="276" w:lineRule="auto" w:after="40"/>
            </w:pPr>
            <w:r/>
            <w:r>
              <w:rPr>
                <w:rFonts w:ascii="Times New Roman" w:hAnsi="Times New Roman"/>
                <w:b w:val="0"/>
                <w:i w:val="0"/>
                <w:sz w:val="20"/>
              </w:rPr>
              <w:t>µF</w:t>
            </w:r>
          </w:p>
        </w:tc>
        <w:tc>
          <w:tcPr>
            <w:tcW w:type="dxa" w:w="5386"/>
          </w:tcPr>
          <w:p>
            <w:pPr>
              <w:spacing w:line="276" w:lineRule="auto" w:after="40"/>
            </w:pPr>
            <w:r/>
            <w:r>
              <w:rPr>
                <w:rFonts w:ascii="Times New Roman" w:hAnsi="Times New Roman"/>
                <w:b w:val="0"/>
                <w:i w:val="0"/>
                <w:sz w:val="20"/>
              </w:rPr>
              <w:t>Z-network capacitance (symmetric)</w:t>
            </w:r>
          </w:p>
        </w:tc>
      </w:tr>
      <w:tr>
        <w:tc>
          <w:tcPr>
            <w:tcW w:type="dxa" w:w="1417"/>
          </w:tcPr>
          <w:p>
            <w:pPr>
              <w:spacing w:line="276" w:lineRule="auto" w:after="40"/>
            </w:pPr>
            <w:r/>
            <w:r>
              <w:rPr>
                <w:rFonts w:ascii="Times New Roman" w:hAnsi="Times New Roman"/>
                <w:b w:val="0"/>
                <w:i w:val="0"/>
                <w:sz w:val="20"/>
              </w:rPr>
              <w:t>r_L</w:t>
            </w:r>
          </w:p>
        </w:tc>
        <w:tc>
          <w:tcPr>
            <w:tcW w:type="dxa" w:w="1134"/>
          </w:tcPr>
          <w:p>
            <w:pPr>
              <w:spacing w:line="276" w:lineRule="auto" w:after="40"/>
            </w:pPr>
            <w:r/>
            <w:r>
              <w:rPr>
                <w:rFonts w:ascii="Times New Roman" w:hAnsi="Times New Roman"/>
                <w:b w:val="0"/>
                <w:i w:val="0"/>
                <w:sz w:val="20"/>
              </w:rPr>
              <w:t>50</w:t>
            </w:r>
          </w:p>
        </w:tc>
        <w:tc>
          <w:tcPr>
            <w:tcW w:type="dxa" w:w="850"/>
          </w:tcPr>
          <w:p>
            <w:pPr>
              <w:spacing w:line="276" w:lineRule="auto" w:after="40"/>
            </w:pPr>
            <w:r/>
            <w:r>
              <w:rPr>
                <w:rFonts w:ascii="Times New Roman" w:hAnsi="Times New Roman"/>
                <w:b w:val="0"/>
                <w:i w:val="0"/>
                <w:sz w:val="20"/>
              </w:rPr>
              <w:t>mΩ</w:t>
            </w:r>
          </w:p>
        </w:tc>
        <w:tc>
          <w:tcPr>
            <w:tcW w:type="dxa" w:w="5386"/>
          </w:tcPr>
          <w:p>
            <w:pPr>
              <w:spacing w:line="276" w:lineRule="auto" w:after="40"/>
            </w:pPr>
            <w:r/>
            <w:r>
              <w:rPr>
                <w:rFonts w:ascii="Times New Roman" w:hAnsi="Times New Roman"/>
                <w:b w:val="0"/>
                <w:i w:val="0"/>
                <w:sz w:val="20"/>
              </w:rPr>
              <w:t>Inductor winding DCR (modelled in series with L)</w:t>
            </w:r>
          </w:p>
        </w:tc>
      </w:tr>
      <w:tr>
        <w:tc>
          <w:tcPr>
            <w:tcW w:type="dxa" w:w="1417"/>
          </w:tcPr>
          <w:p>
            <w:pPr>
              <w:spacing w:line="276" w:lineRule="auto" w:after="40"/>
            </w:pPr>
            <w:r/>
            <w:r>
              <w:rPr>
                <w:rFonts w:ascii="Times New Roman" w:hAnsi="Times New Roman"/>
                <w:b w:val="0"/>
                <w:i w:val="0"/>
                <w:sz w:val="20"/>
              </w:rPr>
              <w:t>R_on</w:t>
            </w:r>
          </w:p>
        </w:tc>
        <w:tc>
          <w:tcPr>
            <w:tcW w:type="dxa" w:w="1134"/>
          </w:tcPr>
          <w:p>
            <w:pPr>
              <w:spacing w:line="276" w:lineRule="auto" w:after="40"/>
            </w:pPr>
            <w:r/>
            <w:r>
              <w:rPr>
                <w:rFonts w:ascii="Times New Roman" w:hAnsi="Times New Roman"/>
                <w:b w:val="0"/>
                <w:i w:val="0"/>
                <w:sz w:val="20"/>
              </w:rPr>
              <w:t>100</w:t>
            </w:r>
          </w:p>
        </w:tc>
        <w:tc>
          <w:tcPr>
            <w:tcW w:type="dxa" w:w="850"/>
          </w:tcPr>
          <w:p>
            <w:pPr>
              <w:spacing w:line="276" w:lineRule="auto" w:after="40"/>
            </w:pPr>
            <w:r/>
            <w:r>
              <w:rPr>
                <w:rFonts w:ascii="Times New Roman" w:hAnsi="Times New Roman"/>
                <w:b w:val="0"/>
                <w:i w:val="0"/>
                <w:sz w:val="20"/>
              </w:rPr>
              <w:t>mΩ</w:t>
            </w:r>
          </w:p>
        </w:tc>
        <w:tc>
          <w:tcPr>
            <w:tcW w:type="dxa" w:w="5386"/>
          </w:tcPr>
          <w:p>
            <w:pPr>
              <w:spacing w:line="276" w:lineRule="auto" w:after="40"/>
            </w:pPr>
            <w:r/>
            <w:r>
              <w:rPr>
                <w:rFonts w:ascii="Times New Roman" w:hAnsi="Times New Roman"/>
                <w:b w:val="0"/>
                <w:i w:val="0"/>
                <w:sz w:val="20"/>
              </w:rPr>
              <w:t>MOSFET on-resistance</w:t>
            </w:r>
          </w:p>
        </w:tc>
      </w:tr>
      <w:tr>
        <w:tc>
          <w:tcPr>
            <w:tcW w:type="dxa" w:w="1417"/>
          </w:tcPr>
          <w:p>
            <w:pPr>
              <w:spacing w:line="276" w:lineRule="auto" w:after="40"/>
            </w:pPr>
            <w:r/>
            <w:r>
              <w:rPr>
                <w:rFonts w:ascii="Times New Roman" w:hAnsi="Times New Roman"/>
                <w:b w:val="0"/>
                <w:i w:val="0"/>
                <w:sz w:val="20"/>
              </w:rPr>
              <w:t>V_F</w:t>
            </w:r>
          </w:p>
        </w:tc>
        <w:tc>
          <w:tcPr>
            <w:tcW w:type="dxa" w:w="1134"/>
          </w:tcPr>
          <w:p>
            <w:pPr>
              <w:spacing w:line="276" w:lineRule="auto" w:after="40"/>
            </w:pPr>
            <w:r/>
            <w:r>
              <w:rPr>
                <w:rFonts w:ascii="Times New Roman" w:hAnsi="Times New Roman"/>
                <w:b w:val="0"/>
                <w:i w:val="0"/>
                <w:sz w:val="20"/>
              </w:rPr>
              <w:t>1.0</w:t>
            </w:r>
          </w:p>
        </w:tc>
        <w:tc>
          <w:tcPr>
            <w:tcW w:type="dxa" w:w="850"/>
          </w:tcPr>
          <w:p>
            <w:pPr>
              <w:spacing w:line="276" w:lineRule="auto" w:after="40"/>
            </w:pPr>
            <w:r/>
            <w:r>
              <w:rPr>
                <w:rFonts w:ascii="Times New Roman" w:hAnsi="Times New Roman"/>
                <w:b w:val="0"/>
                <w:i w:val="0"/>
                <w:sz w:val="20"/>
              </w:rPr>
              <w:t>V</w:t>
            </w:r>
          </w:p>
        </w:tc>
        <w:tc>
          <w:tcPr>
            <w:tcW w:type="dxa" w:w="5386"/>
          </w:tcPr>
          <w:p>
            <w:pPr>
              <w:spacing w:line="276" w:lineRule="auto" w:after="40"/>
            </w:pPr>
            <w:r/>
            <w:r>
              <w:rPr>
                <w:rFonts w:ascii="Times New Roman" w:hAnsi="Times New Roman"/>
                <w:b w:val="0"/>
                <w:i w:val="0"/>
                <w:sz w:val="20"/>
              </w:rPr>
              <w:t>Diode forward voltage drop (small-signal effect neglected)</w:t>
            </w:r>
          </w:p>
        </w:tc>
      </w:tr>
      <w:tr>
        <w:tc>
          <w:tcPr>
            <w:tcW w:type="dxa" w:w="1417"/>
          </w:tcPr>
          <w:p>
            <w:pPr>
              <w:spacing w:line="276" w:lineRule="auto" w:after="40"/>
            </w:pPr>
            <w:r/>
            <w:r>
              <w:rPr>
                <w:rFonts w:ascii="Times New Roman" w:hAnsi="Times New Roman"/>
                <w:b w:val="0"/>
                <w:i w:val="0"/>
                <w:sz w:val="20"/>
              </w:rPr>
              <w:t>r_C</w:t>
            </w:r>
          </w:p>
        </w:tc>
        <w:tc>
          <w:tcPr>
            <w:tcW w:type="dxa" w:w="1134"/>
          </w:tcPr>
          <w:p>
            <w:pPr>
              <w:spacing w:line="276" w:lineRule="auto" w:after="40"/>
            </w:pPr>
            <w:r/>
            <w:r>
              <w:rPr>
                <w:rFonts w:ascii="Times New Roman" w:hAnsi="Times New Roman"/>
                <w:b w:val="0"/>
                <w:i w:val="0"/>
                <w:sz w:val="20"/>
              </w:rPr>
              <w:t>20</w:t>
            </w:r>
          </w:p>
        </w:tc>
        <w:tc>
          <w:tcPr>
            <w:tcW w:type="dxa" w:w="850"/>
          </w:tcPr>
          <w:p>
            <w:pPr>
              <w:spacing w:line="276" w:lineRule="auto" w:after="40"/>
            </w:pPr>
            <w:r/>
            <w:r>
              <w:rPr>
                <w:rFonts w:ascii="Times New Roman" w:hAnsi="Times New Roman"/>
                <w:b w:val="0"/>
                <w:i w:val="0"/>
                <w:sz w:val="20"/>
              </w:rPr>
              <w:t>mΩ</w:t>
            </w:r>
          </w:p>
        </w:tc>
        <w:tc>
          <w:tcPr>
            <w:tcW w:type="dxa" w:w="5386"/>
          </w:tcPr>
          <w:p>
            <w:pPr>
              <w:spacing w:line="276" w:lineRule="auto" w:after="40"/>
            </w:pPr>
            <w:r/>
            <w:r>
              <w:rPr>
                <w:rFonts w:ascii="Times New Roman" w:hAnsi="Times New Roman"/>
                <w:b w:val="0"/>
                <w:i w:val="0"/>
                <w:sz w:val="20"/>
              </w:rPr>
              <w:t>Capacitor ESR (modelled in series with C)</w:t>
            </w:r>
          </w:p>
        </w:tc>
      </w:tr>
    </w:tbl>
    <w:p/>
    <w:p>
      <w:pPr>
        <w:spacing w:line="360" w:lineRule="auto" w:after="160"/>
        <w:ind w:firstLine="0"/>
        <w:jc w:val="both"/>
      </w:pPr>
      <w:r>
        <w:rPr>
          <w:rFonts w:ascii="Times New Roman" w:hAnsi="Times New Roman"/>
          <w:b w:val="0"/>
          <w:i w:val="0"/>
          <w:sz w:val="22"/>
        </w:rPr>
        <w:t>Both parasitic resistances are modelled as series elements. The value r_L represents the resistance of the inductor winding through which the inductor current flows, so the current through r_L equals the inductor state i_L by Kirchhoff's current law applied at the inductor's terminal. The value r_C represents the resistance of the foil, terminals, and electrolyte path inside the capacitor, through which the capacitor current must flow to charge or discharge the ideal-capacitor part of the storage region. The Simscape switching simulation used to verify the analytical model employs Series RLC Branch primitives for both elements, ensuring that the physical assumptions of the analytical and switching models are identical throughout. This identity of modelling assumption between the two models is essential to the verification programme of Section 3.5: without it, any disagreement between the analytical and switching results could be attributed either to linearisation error or to model-topology mismatch, weakening the methodological conclusion of either.</w:t>
      </w:r>
    </w:p>
    <w:p>
      <w:pPr>
        <w:pStyle w:val="Heading2"/>
        <w:spacing w:before="360" w:after="160"/>
      </w:pPr>
      <w:r>
        <w:rPr>
          <w:rFonts w:ascii="Times New Roman" w:hAnsi="Times New Roman"/>
          <w:b/>
          <w:color w:val="000000"/>
          <w:sz w:val="28"/>
        </w:rPr>
        <w:t>3.2.4 Operating-point steady-state values</w:t>
      </w:r>
    </w:p>
    <w:p>
      <w:pPr>
        <w:spacing w:line="360" w:lineRule="auto" w:after="160"/>
        <w:ind w:firstLine="0"/>
        <w:jc w:val="both"/>
      </w:pPr>
      <w:r>
        <w:rPr>
          <w:rFonts w:ascii="Times New Roman" w:hAnsi="Times New Roman"/>
          <w:b w:val="0"/>
          <w:i w:val="0"/>
          <w:sz w:val="22"/>
        </w:rPr>
        <w:t>The steady-state operating point of the converter at the nominal duty ratio D₀ = 0.20 is computed by setting all time derivatives to zero in the averaged equations of Section 3.3 and solving the resulting algebraic system. Detailed derivation of these closed-form expressions follows the standard semi-Z-source steady-state analysis in the literature and yields:</w:t>
      </w:r>
    </w:p>
    <w:p>
      <w:pPr>
        <w:tabs>
          <w:tab w:pos="8504" w:val="right"/>
        </w:tabs>
        <w:spacing w:line="360" w:lineRule="auto" w:before="120" w:after="120"/>
        <w:ind w:left="1134"/>
      </w:pPr>
      <w:r>
        <w:rPr>
          <w:rFonts w:ascii="Cambria Math" w:hAnsi="Cambria Math"/>
          <w:i/>
          <w:sz w:val="24"/>
        </w:rPr>
        <w:t>V_C2 = ((1 - 2·D₀) / (1 - D₀)) · V_g</w:t>
      </w:r>
      <w:r>
        <w:tab/>
      </w:r>
      <w:r>
        <w:rPr>
          <w:rFonts w:ascii="Times New Roman" w:hAnsi="Times New Roman"/>
          <w:sz w:val="22"/>
        </w:rPr>
        <w:t>(3.1)</w:t>
      </w:r>
    </w:p>
    <w:p>
      <w:pPr>
        <w:tabs>
          <w:tab w:pos="8504" w:val="right"/>
        </w:tabs>
        <w:spacing w:line="360" w:lineRule="auto" w:before="120" w:after="120"/>
        <w:ind w:left="1134"/>
      </w:pPr>
      <w:r>
        <w:rPr>
          <w:rFonts w:ascii="Cambria Math" w:hAnsi="Cambria Math"/>
          <w:i/>
          <w:sz w:val="24"/>
        </w:rPr>
        <w:t>V_C1 = ((1 - D₀) / D₀) · (V_g - V_C2)</w:t>
      </w:r>
      <w:r>
        <w:tab/>
      </w:r>
      <w:r>
        <w:rPr>
          <w:rFonts w:ascii="Times New Roman" w:hAnsi="Times New Roman"/>
          <w:sz w:val="22"/>
        </w:rPr>
        <w:t>(3.2)</w:t>
      </w:r>
    </w:p>
    <w:p>
      <w:pPr>
        <w:tabs>
          <w:tab w:pos="8504" w:val="right"/>
        </w:tabs>
        <w:spacing w:line="360" w:lineRule="auto" w:before="120" w:after="120"/>
        <w:ind w:left="1134"/>
      </w:pPr>
      <w:r>
        <w:rPr>
          <w:rFonts w:ascii="Cambria Math" w:hAnsi="Cambria Math"/>
          <w:i/>
          <w:sz w:val="24"/>
        </w:rPr>
        <w:t>R = V_C2² / P_rated</w:t>
      </w:r>
      <w:r>
        <w:tab/>
      </w:r>
      <w:r>
        <w:rPr>
          <w:rFonts w:ascii="Times New Roman" w:hAnsi="Times New Roman"/>
          <w:sz w:val="22"/>
        </w:rPr>
        <w:t>(3.3)</w:t>
      </w:r>
    </w:p>
    <w:p>
      <w:pPr>
        <w:tabs>
          <w:tab w:pos="8504" w:val="right"/>
        </w:tabs>
        <w:spacing w:line="360" w:lineRule="auto" w:before="120" w:after="120"/>
        <w:ind w:left="1134"/>
      </w:pPr>
      <w:r>
        <w:rPr>
          <w:rFonts w:ascii="Cambria Math" w:hAnsi="Cambria Math"/>
          <w:i/>
          <w:sz w:val="24"/>
        </w:rPr>
        <w:t>I_L2 = (V_C2 / R) · (D₀ / (1 - D₀))</w:t>
      </w:r>
      <w:r>
        <w:tab/>
      </w:r>
      <w:r>
        <w:rPr>
          <w:rFonts w:ascii="Times New Roman" w:hAnsi="Times New Roman"/>
          <w:sz w:val="22"/>
        </w:rPr>
        <w:t>(3.4)</w:t>
      </w:r>
    </w:p>
    <w:p>
      <w:pPr>
        <w:tabs>
          <w:tab w:pos="8504" w:val="right"/>
        </w:tabs>
        <w:spacing w:line="360" w:lineRule="auto" w:before="120" w:after="120"/>
        <w:ind w:left="1134"/>
      </w:pPr>
      <w:r>
        <w:rPr>
          <w:rFonts w:ascii="Cambria Math" w:hAnsi="Cambria Math"/>
          <w:i/>
          <w:sz w:val="24"/>
        </w:rPr>
        <w:t>I_L1 = ((1 - D₀) / D₀) · I_L2</w:t>
      </w:r>
      <w:r>
        <w:tab/>
      </w:r>
      <w:r>
        <w:rPr>
          <w:rFonts w:ascii="Times New Roman" w:hAnsi="Times New Roman"/>
          <w:sz w:val="22"/>
        </w:rPr>
        <w:t>(3.5)</w:t>
      </w:r>
    </w:p>
    <w:p>
      <w:pPr>
        <w:spacing w:line="360" w:lineRule="auto" w:after="160"/>
        <w:ind w:firstLine="0"/>
        <w:jc w:val="both"/>
      </w:pPr>
      <w:r>
        <w:rPr>
          <w:rFonts w:ascii="Times New Roman" w:hAnsi="Times New Roman"/>
          <w:b w:val="0"/>
          <w:i w:val="0"/>
          <w:sz w:val="22"/>
        </w:rPr>
        <w:t>Evaluating these expressions at D₀ = 0.20, V_g = 500 V, and P_rated = 3000 W gives the operating-point values listed in Table 3.2. These values define the equilibrium about which the small-signal model of Section 3.4 is linearised. They are also the targets against which the Simscape steady-state behaviour is compared as the first validation check in Section 3.5.1.</w:t>
      </w:r>
    </w:p>
    <w:p>
      <w:pPr>
        <w:spacing w:before="80" w:after="320"/>
        <w:jc w:val="center"/>
      </w:pPr>
      <w:r>
        <w:rPr>
          <w:rFonts w:ascii="Times New Roman" w:hAnsi="Times New Roman"/>
          <w:b/>
          <w:sz w:val="20"/>
        </w:rPr>
        <w:t>Table 3.2 — Steady-state operating-point values at D₀ = 0.20.</w:t>
      </w:r>
    </w:p>
    <w:tbl>
      <w:tblPr>
        <w:tblStyle w:val="TableGrid"/>
        <w:tblW w:type="auto" w:w="0"/>
        <w:jc w:val="center"/>
        <w:tblLook w:firstColumn="1" w:firstRow="1" w:lastColumn="0" w:lastRow="0" w:noHBand="0" w:noVBand="1" w:val="04A0"/>
      </w:tblPr>
      <w:tblGrid>
        <w:gridCol w:w="2939"/>
        <w:gridCol w:w="2939"/>
        <w:gridCol w:w="2939"/>
      </w:tblGrid>
      <w:tr>
        <w:tc>
          <w:tcPr>
            <w:tcW w:type="dxa" w:w="1417"/>
            <w:shd w:fill="D5E8F0"/>
          </w:tcPr>
          <w:p>
            <w:pPr>
              <w:spacing w:line="276" w:lineRule="auto" w:after="40"/>
            </w:pPr>
            <w:r/>
            <w:r>
              <w:rPr>
                <w:rFonts w:ascii="Times New Roman" w:hAnsi="Times New Roman"/>
                <w:b/>
                <w:i w:val="0"/>
                <w:sz w:val="20"/>
              </w:rPr>
              <w:t>Quantity</w:t>
            </w:r>
          </w:p>
        </w:tc>
        <w:tc>
          <w:tcPr>
            <w:tcW w:type="dxa" w:w="1134"/>
            <w:shd w:fill="D5E8F0"/>
          </w:tcPr>
          <w:p>
            <w:pPr>
              <w:spacing w:line="276" w:lineRule="auto" w:after="40"/>
            </w:pPr>
            <w:r/>
            <w:r>
              <w:rPr>
                <w:rFonts w:ascii="Times New Roman" w:hAnsi="Times New Roman"/>
                <w:b/>
                <w:i w:val="0"/>
                <w:sz w:val="20"/>
              </w:rPr>
              <w:t>Value</w:t>
            </w:r>
          </w:p>
        </w:tc>
        <w:tc>
          <w:tcPr>
            <w:tcW w:type="dxa" w:w="6236"/>
            <w:shd w:fill="D5E8F0"/>
          </w:tcPr>
          <w:p>
            <w:pPr>
              <w:spacing w:line="276" w:lineRule="auto" w:after="40"/>
            </w:pPr>
            <w:r/>
            <w:r>
              <w:rPr>
                <w:rFonts w:ascii="Times New Roman" w:hAnsi="Times New Roman"/>
                <w:b/>
                <w:i w:val="0"/>
                <w:sz w:val="20"/>
              </w:rPr>
              <w:t>Interpretation</w:t>
            </w:r>
          </w:p>
        </w:tc>
      </w:tr>
      <w:tr>
        <w:tc>
          <w:tcPr>
            <w:tcW w:type="dxa" w:w="1417"/>
          </w:tcPr>
          <w:p>
            <w:pPr>
              <w:spacing w:line="276" w:lineRule="auto" w:after="40"/>
            </w:pPr>
            <w:r/>
            <w:r>
              <w:rPr>
                <w:rFonts w:ascii="Times New Roman" w:hAnsi="Times New Roman"/>
                <w:b w:val="0"/>
                <w:i w:val="0"/>
                <w:sz w:val="20"/>
              </w:rPr>
              <w:t>V_C1</w:t>
            </w:r>
          </w:p>
        </w:tc>
        <w:tc>
          <w:tcPr>
            <w:tcW w:type="dxa" w:w="1134"/>
          </w:tcPr>
          <w:p>
            <w:pPr>
              <w:spacing w:line="276" w:lineRule="auto" w:after="40"/>
            </w:pPr>
            <w:r>
              <w:t>500.00 V</w:t>
            </w:r>
            <w:r>
              <w:rPr>
                <w:rFonts w:ascii="Times New Roman" w:hAnsi="Times New Roman"/>
                <w:b w:val="0"/>
                <w:i w:val="0"/>
                <w:sz w:val="20"/>
              </w:rPr>
            </w:r>
          </w:p>
        </w:tc>
        <w:tc>
          <w:tcPr>
            <w:tcW w:type="dxa" w:w="6236"/>
          </w:tcPr>
          <w:p>
            <w:pPr>
              <w:spacing w:line="276" w:lineRule="auto" w:after="40"/>
            </w:pPr>
            <w:r/>
            <w:r>
              <w:rPr>
                <w:rFonts w:ascii="Times New Roman" w:hAnsi="Times New Roman"/>
                <w:b w:val="0"/>
                <w:i w:val="0"/>
                <w:sz w:val="20"/>
              </w:rPr>
              <w:t>Equal to V_g; the source-side capacitor floats at the input voltage</w:t>
            </w:r>
          </w:p>
        </w:tc>
      </w:tr>
      <w:tr>
        <w:tc>
          <w:tcPr>
            <w:tcW w:type="dxa" w:w="1417"/>
          </w:tcPr>
          <w:p>
            <w:pPr>
              <w:spacing w:line="276" w:lineRule="auto" w:after="40"/>
            </w:pPr>
            <w:r/>
            <w:r>
              <w:rPr>
                <w:rFonts w:ascii="Times New Roman" w:hAnsi="Times New Roman"/>
                <w:b w:val="0"/>
                <w:i w:val="0"/>
                <w:sz w:val="20"/>
              </w:rPr>
              <w:t>V_C2</w:t>
            </w:r>
          </w:p>
        </w:tc>
        <w:tc>
          <w:tcPr>
            <w:tcW w:type="dxa" w:w="1134"/>
          </w:tcPr>
          <w:p>
            <w:pPr>
              <w:spacing w:line="276" w:lineRule="auto" w:after="40"/>
            </w:pPr>
            <w:r>
              <w:t>375.00 V</w:t>
            </w:r>
            <w:r>
              <w:rPr>
                <w:rFonts w:ascii="Times New Roman" w:hAnsi="Times New Roman"/>
                <w:b w:val="0"/>
                <w:i w:val="0"/>
                <w:sz w:val="20"/>
              </w:rPr>
            </w:r>
          </w:p>
        </w:tc>
        <w:tc>
          <w:tcPr>
            <w:tcW w:type="dxa" w:w="6236"/>
          </w:tcPr>
          <w:p>
            <w:pPr>
              <w:spacing w:line="276" w:lineRule="auto" w:after="40"/>
            </w:pPr>
            <w:r/>
            <w:r>
              <w:rPr>
                <w:rFonts w:ascii="Times New Roman" w:hAnsi="Times New Roman"/>
                <w:b w:val="0"/>
                <w:i w:val="0"/>
                <w:sz w:val="20"/>
              </w:rPr>
              <w:t>DC bus voltage feeding the downstream inverter (75% of V_g)</w:t>
            </w:r>
          </w:p>
        </w:tc>
      </w:tr>
      <w:tr>
        <w:tc>
          <w:tcPr>
            <w:tcW w:type="dxa" w:w="1417"/>
          </w:tcPr>
          <w:p>
            <w:pPr>
              <w:spacing w:line="276" w:lineRule="auto" w:after="40"/>
            </w:pPr>
            <w:r/>
            <w:r>
              <w:rPr>
                <w:rFonts w:ascii="Times New Roman" w:hAnsi="Times New Roman"/>
                <w:b w:val="0"/>
                <w:i w:val="0"/>
                <w:sz w:val="20"/>
              </w:rPr>
              <w:t>I_L1</w:t>
            </w:r>
          </w:p>
        </w:tc>
        <w:tc>
          <w:tcPr>
            <w:tcW w:type="dxa" w:w="1134"/>
          </w:tcPr>
          <w:p>
            <w:pPr>
              <w:spacing w:line="276" w:lineRule="auto" w:after="40"/>
            </w:pPr>
            <w:r>
              <w:t>8.000 A</w:t>
            </w:r>
            <w:r>
              <w:rPr>
                <w:rFonts w:ascii="Times New Roman" w:hAnsi="Times New Roman"/>
                <w:b w:val="0"/>
                <w:i w:val="0"/>
                <w:sz w:val="20"/>
              </w:rPr>
            </w:r>
          </w:p>
        </w:tc>
        <w:tc>
          <w:tcPr>
            <w:tcW w:type="dxa" w:w="6236"/>
          </w:tcPr>
          <w:p>
            <w:pPr>
              <w:spacing w:line="276" w:lineRule="auto" w:after="40"/>
            </w:pPr>
            <w:r/>
            <w:r>
              <w:rPr>
                <w:rFonts w:ascii="Times New Roman" w:hAnsi="Times New Roman"/>
                <w:b w:val="0"/>
                <w:i w:val="0"/>
                <w:sz w:val="20"/>
              </w:rPr>
              <w:t>Source-side inductor current — carries the input-power energy flow</w:t>
            </w:r>
          </w:p>
        </w:tc>
      </w:tr>
      <w:tr>
        <w:tc>
          <w:tcPr>
            <w:tcW w:type="dxa" w:w="1417"/>
          </w:tcPr>
          <w:p>
            <w:pPr>
              <w:spacing w:line="276" w:lineRule="auto" w:after="40"/>
            </w:pPr>
            <w:r/>
            <w:r>
              <w:rPr>
                <w:rFonts w:ascii="Times New Roman" w:hAnsi="Times New Roman"/>
                <w:b w:val="0"/>
                <w:i w:val="0"/>
                <w:sz w:val="20"/>
              </w:rPr>
              <w:t>I_L2</w:t>
            </w:r>
          </w:p>
        </w:tc>
        <w:tc>
          <w:tcPr>
            <w:tcW w:type="dxa" w:w="1134"/>
          </w:tcPr>
          <w:p>
            <w:pPr>
              <w:spacing w:line="276" w:lineRule="auto" w:after="40"/>
            </w:pPr>
            <w:r>
              <w:t>2.000 A</w:t>
            </w:r>
            <w:r>
              <w:rPr>
                <w:rFonts w:ascii="Times New Roman" w:hAnsi="Times New Roman"/>
                <w:b w:val="0"/>
                <w:i w:val="0"/>
                <w:sz w:val="20"/>
              </w:rPr>
            </w:r>
          </w:p>
        </w:tc>
        <w:tc>
          <w:tcPr>
            <w:tcW w:type="dxa" w:w="6236"/>
          </w:tcPr>
          <w:p>
            <w:pPr>
              <w:spacing w:line="276" w:lineRule="auto" w:after="40"/>
            </w:pPr>
            <w:r/>
            <w:r>
              <w:rPr>
                <w:rFonts w:ascii="Times New Roman" w:hAnsi="Times New Roman"/>
                <w:b w:val="0"/>
                <w:i w:val="0"/>
                <w:sz w:val="20"/>
              </w:rPr>
              <w:t>Load-side inductor current — carries the output current at the operating point</w:t>
            </w:r>
          </w:p>
        </w:tc>
      </w:tr>
      <w:tr>
        <w:tc>
          <w:tcPr>
            <w:tcW w:type="dxa" w:w="1417"/>
          </w:tcPr>
          <w:p>
            <w:pPr>
              <w:spacing w:line="276" w:lineRule="auto" w:after="40"/>
            </w:pPr>
            <w:r/>
            <w:r>
              <w:rPr>
                <w:rFonts w:ascii="Times New Roman" w:hAnsi="Times New Roman"/>
                <w:b w:val="0"/>
                <w:i w:val="0"/>
                <w:sz w:val="20"/>
              </w:rPr>
              <w:t>R</w:t>
            </w:r>
          </w:p>
        </w:tc>
        <w:tc>
          <w:tcPr>
            <w:tcW w:type="dxa" w:w="1134"/>
          </w:tcPr>
          <w:p>
            <w:pPr>
              <w:spacing w:line="276" w:lineRule="auto" w:after="40"/>
            </w:pPr>
            <w:r>
              <w:t>46.87 Ω</w:t>
            </w:r>
            <w:r>
              <w:rPr>
                <w:rFonts w:ascii="Times New Roman" w:hAnsi="Times New Roman"/>
                <w:b w:val="0"/>
                <w:i w:val="0"/>
                <w:sz w:val="20"/>
              </w:rPr>
            </w:r>
          </w:p>
        </w:tc>
        <w:tc>
          <w:tcPr>
            <w:tcW w:type="dxa" w:w="6236"/>
          </w:tcPr>
          <w:p>
            <w:pPr>
              <w:spacing w:line="276" w:lineRule="auto" w:after="40"/>
            </w:pPr>
            <w:r/>
            <w:r>
              <w:rPr>
                <w:rFonts w:ascii="Times New Roman" w:hAnsi="Times New Roman"/>
                <w:b w:val="0"/>
                <w:i w:val="0"/>
                <w:sz w:val="20"/>
              </w:rPr>
              <w:t>Effective load resistance corresponding to 3 kW at V_C2 = 375 V</w:t>
            </w:r>
          </w:p>
        </w:tc>
      </w:tr>
      <w:tr>
        <w:tc>
          <w:tcPr>
            <w:tcW w:type="dxa" w:w="1417"/>
          </w:tcPr>
          <w:p>
            <w:pPr>
              <w:spacing w:line="276" w:lineRule="auto" w:after="40"/>
            </w:pPr>
            <w:r/>
            <w:r>
              <w:rPr>
                <w:rFonts w:ascii="Times New Roman" w:hAnsi="Times New Roman"/>
                <w:b w:val="0"/>
                <w:i w:val="0"/>
                <w:sz w:val="20"/>
              </w:rPr>
              <w:t>r_L_eff</w:t>
            </w:r>
          </w:p>
        </w:tc>
        <w:tc>
          <w:tcPr>
            <w:tcW w:type="dxa" w:w="1134"/>
          </w:tcPr>
          <w:p>
            <w:pPr>
              <w:spacing w:line="276" w:lineRule="auto" w:after="40"/>
            </w:pPr>
            <w:r/>
            <w:r>
              <w:rPr>
                <w:rFonts w:ascii="Times New Roman" w:hAnsi="Times New Roman"/>
                <w:b w:val="0"/>
                <w:i w:val="0"/>
                <w:sz w:val="20"/>
              </w:rPr>
              <w:t>70 mΩ</w:t>
            </w:r>
          </w:p>
        </w:tc>
        <w:tc>
          <w:tcPr>
            <w:tcW w:type="dxa" w:w="6236"/>
          </w:tcPr>
          <w:p>
            <w:pPr>
              <w:spacing w:line="276" w:lineRule="auto" w:after="40"/>
            </w:pPr>
            <w:r/>
            <w:r>
              <w:rPr>
                <w:rFonts w:ascii="Times New Roman" w:hAnsi="Times New Roman"/>
                <w:b w:val="0"/>
                <w:i w:val="0"/>
                <w:sz w:val="20"/>
              </w:rPr>
              <w:t>Averaged inductor branch resistance: r_L + D₀·R_on</w:t>
            </w:r>
          </w:p>
        </w:tc>
      </w:tr>
    </w:tbl>
    <w:p/>
    <w:p>
      <w:pPr>
        <w:spacing w:line="360" w:lineRule="auto" w:after="160"/>
        <w:ind w:firstLine="0"/>
        <w:jc w:val="both"/>
      </w:pPr>
      <w:r>
        <w:rPr>
          <w:rFonts w:ascii="Times New Roman" w:hAnsi="Times New Roman"/>
          <w:b w:val="0"/>
          <w:i w:val="0"/>
          <w:sz w:val="22"/>
        </w:rPr>
        <w:t>The averaged inductor branch resistance r_L_eff combines the always-present inductor winding resistance r_L with the duty-cycle-weighted contribution of the MOSFET on-resistance R_on, which is in the inductor branch only when its associated switch is conducting. For D₀ = 0.20, the MOSFET conducts 20% of the time and contributes 0.20 × 100 = 20 mΩ to the averaged effective resistance, giving r_L_eff = 50 + 20 = 70 mΩ. This is the value that appears in the diagonal entries of the inductor rows of the A matrix derived in Section 3.4. The remaining 80 mΩ of MOSFET on-resistance contribution (when the switch is off) does not appear in the averaged model because no current flows through the switch during that interval and so it dissipates no power. The averaged model thereby captures the conduction losses correctly without needing to track the instantaneous switch state.</w:t>
      </w:r>
    </w:p>
    <w:p>
      <w:r>
        <w:rPr>
          <w:rFonts w:ascii="Calibri" w:hAnsi="Calibri"/>
          <w:sz w:val="22"/>
        </w:rPr>
        <w:t>A note on the load resistance R. The value R = 46.87 Ω in Table 3.2 is not a freely chosen design parameter but a derived quantity, computed from equation 3.3 as R = V_C2² / P_rated = 375² / 3000. It represents the equivalent load resistance that absorbs the rated 3 kW at the steady-state output voltage V_C2 = 375 V. Updating V_g changes V_C2 (equation 3.1) and therefore changes R: at V_g = 400 V the same procedure would yield R = 30 Ω, and at V_g = 500 V it yields R = 46.87 Ω.</w:t>
      </w:r>
    </w:p>
    <w:p>
      <w:r>
        <w:rPr>
          <w:rFonts w:ascii="Calibri" w:hAnsi="Calibri"/>
          <w:sz w:val="22"/>
        </w:rPr>
        <w:t xml:space="preserve">R serves as a small-signal proxy for the actual downstream stage, which in the integrated system of Chapter 6 is the H-bridge inverter feeding the grid (and, in some operating scenarios, an EV battery load). This downstream stage is closed-loop controlled to deliver a specified power, so it behaves as a constant-power load (CPL) rather than as a fixed resistor. To represent this behaviour consistently in the open-loop small-signal analysis, R is recomputed at each operating point in the D₀ sweep of §3.7.4 such that the converter delivers the rated 3 kW at every linearisation point: R(D₀) = V_C2(D₀)² / P_rated. The resulting plant variation reported in §3.7.4 reflects the dynamic challenge that the closed-loop controller of Chapter 6 actually faces — the gain-scheduling requirement is established under realistic load conditions.</w:t>
      </w:r>
    </w:p>
    <w:p>
      <w:r>
        <w:rPr>
          <w:rFonts w:ascii="Calibri" w:hAnsi="Calibri"/>
          <w:sz w:val="22"/>
        </w:rPr>
        <w:t xml:space="preserve">The alternative of holding R fixed at the nominal 46.87 Ω throughout the sweep would represent the converter feeding a fixed resistive dummy load, in which the power delivered scales as V_C2² and would range from approximately 4.2 kW at D₀ = 0.10 down to 1.7 kW at D₀ = 0.30. This is not representative of grid-tied operation, and the constant-power formulation is therefore the physically appropriate choice for this thesis.</w:t>
      </w:r>
    </w:p>
    <w:p>
      <w:pPr>
        <w:pStyle w:val="Heading1"/>
        <w:spacing w:before="360" w:after="160"/>
      </w:pPr>
      <w:r>
        <w:rPr>
          <w:rFonts w:ascii="Times New Roman" w:hAnsi="Times New Roman"/>
          <w:b/>
          <w:color w:val="000000"/>
          <w:sz w:val="32"/>
        </w:rPr>
        <w:t>3.3 Switched Equations and State-Space Averaging</w:t>
      </w:r>
    </w:p>
    <w:p>
      <w:pPr>
        <w:pStyle w:val="Heading2"/>
        <w:spacing w:before="360" w:after="160"/>
      </w:pPr>
      <w:r>
        <w:rPr>
          <w:rFonts w:ascii="Times New Roman" w:hAnsi="Times New Roman"/>
          <w:b/>
          <w:color w:val="000000"/>
          <w:sz w:val="28"/>
        </w:rPr>
        <w:t>3.3.1 Switching states and conduction intervals</w:t>
      </w:r>
    </w:p>
    <w:p>
      <w:pPr>
        <w:spacing w:line="360" w:lineRule="auto" w:after="160"/>
        <w:ind w:firstLine="0"/>
        <w:jc w:val="both"/>
      </w:pPr>
      <w:r>
        <w:rPr>
          <w:rFonts w:ascii="Times New Roman" w:hAnsi="Times New Roman"/>
          <w:b w:val="0"/>
          <w:i w:val="0"/>
          <w:sz w:val="22"/>
        </w:rPr>
        <w:t>The semi-Z-source converter operates in two distinct switching states per switching period, alternating in time according to the gate signals applied to S₁ and S₂. The two switches are commanded in strict complement: in each switching period T_sw = 1/f_sw, S₁ conducts for a fraction d·T_sw of the period and S₂ conducts for the remaining (1 − d)·T_sw, where d ∈ (0, 1) is the instantaneous duty ratio set by the control system. Dead time between the two switches is set to a small fraction of the switching period to prevent shoot-through; in the analytical averaged model this dead-time interval is neglected, but in the Simscape switching model a 200 ns dead time is included between the two switch commands. The effect of dead time on the averaged dynamics is negligible at the scale of the bandwidths of interest in this thesis (controller bandwidths up to 200 Hz against a switching frequency of 20 kHz).</w:t>
      </w:r>
    </w:p>
    <w:p>
      <w:pPr>
        <w:spacing w:line="360" w:lineRule="auto" w:after="160"/>
        <w:ind w:firstLine="0"/>
        <w:jc w:val="both"/>
      </w:pPr>
      <w:r>
        <w:rPr>
          <w:rFonts w:ascii="Times New Roman" w:hAnsi="Times New Roman"/>
          <w:b w:val="0"/>
          <w:i w:val="0"/>
          <w:sz w:val="22"/>
        </w:rPr>
        <w:t>During the S₁-conducting interval — referred to in what follows as Mode 1 — the load-side switch is open, the inductor L₁ is connected directly across the capacitor C₁ on its source side, the load capacitor C₂ feeds the load alone, and the inductor L₂ is held in a freewheeling configuration with only the input voltage V_g across it. During the S₂-conducting interval — Mode 2 — the source-side switch is open, the inductors L₁ and L₂ are connected in series through the closed switch S₂, and the combined inductor current flows from the input source through both capacitors C₁ and C₂ in sequence to reach the load. These two configurations are the standard semi-Z-source switching states and have been documented in the literature.</w:t>
      </w:r>
    </w:p>
    <w:p>
      <w:pPr>
        <w:pStyle w:val="Heading2"/>
        <w:spacing w:before="360" w:after="160"/>
      </w:pPr>
      <w:r>
        <w:rPr>
          <w:rFonts w:ascii="Times New Roman" w:hAnsi="Times New Roman"/>
          <w:b/>
          <w:color w:val="000000"/>
          <w:sz w:val="28"/>
        </w:rPr>
        <w:t>3.3.2 Mode 1 (S₁ conducting) state equations</w:t>
      </w:r>
    </w:p>
    <w:p>
      <w:pPr>
        <w:spacing w:line="360" w:lineRule="auto" w:after="160"/>
        <w:ind w:firstLine="0"/>
        <w:jc w:val="both"/>
      </w:pPr>
      <w:r>
        <w:rPr>
          <w:rFonts w:ascii="Times New Roman" w:hAnsi="Times New Roman"/>
          <w:b w:val="0"/>
          <w:i w:val="0"/>
          <w:sz w:val="22"/>
        </w:rPr>
        <w:t>Applying Kirchhoff's voltage and current laws to the circuit configuration during the S₁-conducting interval, and using the sign conventions established in Section 3.2, gives the four state equations governing the converter during this interval. Each equation expresses the time derivative of one state in terms of the other states and the input source V_g:</w:t>
      </w:r>
    </w:p>
    <w:p>
      <w:pPr>
        <w:tabs>
          <w:tab w:pos="8504" w:val="right"/>
        </w:tabs>
        <w:spacing w:line="360" w:lineRule="auto" w:before="120" w:after="120"/>
        <w:ind w:left="1134"/>
      </w:pPr>
      <w:r>
        <w:rPr>
          <w:rFonts w:ascii="Cambria Math" w:hAnsi="Cambria Math"/>
          <w:i/>
          <w:sz w:val="24"/>
        </w:rPr>
        <w:t>L₁·di_L1/dt = + v_C1 − r_L_eff · i_L1</w:t>
      </w:r>
      <w:r>
        <w:tab/>
      </w:r>
      <w:r>
        <w:rPr>
          <w:rFonts w:ascii="Times New Roman" w:hAnsi="Times New Roman"/>
          <w:sz w:val="22"/>
        </w:rPr>
        <w:t>(3.6)</w:t>
      </w:r>
    </w:p>
    <w:p>
      <w:pPr>
        <w:tabs>
          <w:tab w:pos="8504" w:val="right"/>
        </w:tabs>
        <w:spacing w:line="360" w:lineRule="auto" w:before="120" w:after="120"/>
        <w:ind w:left="1134"/>
      </w:pPr>
      <w:r>
        <w:rPr>
          <w:rFonts w:ascii="Cambria Math" w:hAnsi="Cambria Math"/>
          <w:i/>
          <w:sz w:val="24"/>
        </w:rPr>
        <w:t>L₂·di_L2/dt = + v_C2 − r_L_eff · i_L2</w:t>
      </w:r>
      <w:r>
        <w:tab/>
      </w:r>
      <w:r>
        <w:rPr>
          <w:rFonts w:ascii="Times New Roman" w:hAnsi="Times New Roman"/>
          <w:sz w:val="22"/>
        </w:rPr>
        <w:t>(3.7)</w:t>
      </w:r>
    </w:p>
    <w:p>
      <w:pPr>
        <w:tabs>
          <w:tab w:pos="8504" w:val="right"/>
        </w:tabs>
        <w:spacing w:line="360" w:lineRule="auto" w:before="120" w:after="120"/>
        <w:ind w:left="1134"/>
      </w:pPr>
      <w:r>
        <w:rPr>
          <w:rFonts w:ascii="Cambria Math" w:hAnsi="Cambria Math"/>
          <w:i/>
          <w:sz w:val="24"/>
        </w:rPr>
        <w:t>C₁·dv_C1/dt = − i_L1</w:t>
      </w:r>
      <w:r>
        <w:tab/>
      </w:r>
      <w:r>
        <w:rPr>
          <w:rFonts w:ascii="Times New Roman" w:hAnsi="Times New Roman"/>
          <w:sz w:val="22"/>
        </w:rPr>
        <w:t>(3.8)</w:t>
      </w:r>
    </w:p>
    <w:p>
      <w:pPr>
        <w:tabs>
          <w:tab w:pos="8504" w:val="right"/>
        </w:tabs>
        <w:spacing w:line="360" w:lineRule="auto" w:before="120" w:after="120"/>
        <w:ind w:left="1134"/>
      </w:pPr>
      <w:r>
        <w:rPr>
          <w:rFonts w:ascii="Cambria Math" w:hAnsi="Cambria Math"/>
          <w:i/>
          <w:sz w:val="24"/>
        </w:rPr>
        <w:t>C₂·dv_C2/dt = − i_L2 − v_C2 / R</w:t>
      </w:r>
      <w:r>
        <w:tab/>
      </w:r>
      <w:r>
        <w:rPr>
          <w:rFonts w:ascii="Times New Roman" w:hAnsi="Times New Roman"/>
          <w:sz w:val="22"/>
        </w:rPr>
        <w:t>(3.9)</w:t>
      </w:r>
    </w:p>
    <w:p>
      <w:pPr>
        <w:spacing w:line="360" w:lineRule="auto" w:after="160"/>
        <w:ind w:firstLine="0"/>
        <w:jc w:val="both"/>
      </w:pPr>
      <w:r>
        <w:rPr>
          <w:rFonts w:ascii="Times New Roman" w:hAnsi="Times New Roman"/>
          <w:b w:val="0"/>
          <w:i w:val="0"/>
          <w:sz w:val="22"/>
        </w:rPr>
        <w:t>Equation 3.6 expresses that during Mode 1, the inductor L₁ sees the capacitor C₁'s terminal voltage acting in the positive direction (driving the inductor current upward), opposed only by the IR drop across the averaged effective resistance r_L_eff in the inductor branch. Equation 3.7 expresses an analogous relationship for L₂, which is driven by the load capacitor's terminal voltage v_C2. Equation 3.8 expresses that the source-side capacitor C₁ discharges into the inductor L₁ at a rate proportional to the inductor current flowing out of it. Equation 3.9 expresses that the load capacitor C₂ both discharges into L₂ and supplies the load current v_C2 / R simultaneously during this interval.</w:t>
      </w:r>
    </w:p>
    <w:p>
      <w:pPr>
        <w:spacing w:line="360" w:lineRule="auto" w:after="160"/>
        <w:ind w:firstLine="0"/>
        <w:jc w:val="both"/>
      </w:pPr>
      <w:r>
        <w:rPr>
          <w:rFonts w:ascii="Times New Roman" w:hAnsi="Times New Roman"/>
          <w:b w:val="0"/>
          <w:i w:val="0"/>
          <w:sz w:val="22"/>
        </w:rPr>
        <w:t>It should be noted that equations 3.6 to 3.9 omit the V_F drop across the output rectifying diode. This is consistent with the standard small-signal analysis approximation in which diode forward drops are treated as constant and absorbed into the input-output transformation rather than tracked dynamically. The error introduced by this approximation is small (a constant offset on V_C2 of at most a few volts) and does not affect the dynamic behaviour of the linearised model.</w:t>
      </w:r>
    </w:p>
    <w:p>
      <w:pPr>
        <w:pStyle w:val="Heading2"/>
        <w:spacing w:before="360" w:after="160"/>
      </w:pPr>
      <w:r>
        <w:rPr>
          <w:rFonts w:ascii="Times New Roman" w:hAnsi="Times New Roman"/>
          <w:b/>
          <w:color w:val="000000"/>
          <w:sz w:val="28"/>
        </w:rPr>
        <w:t>3.3.3 Mode 2 (S₂ conducting) state equations</w:t>
      </w:r>
    </w:p>
    <w:p>
      <w:pPr>
        <w:spacing w:line="360" w:lineRule="auto" w:after="160"/>
        <w:ind w:firstLine="0"/>
        <w:jc w:val="both"/>
      </w:pPr>
      <w:r>
        <w:rPr>
          <w:rFonts w:ascii="Times New Roman" w:hAnsi="Times New Roman"/>
          <w:b w:val="0"/>
          <w:i w:val="0"/>
          <w:sz w:val="22"/>
        </w:rPr>
        <w:t>During the S₂-conducting interval, the circuit topology rearranges so that the source V_g, the two inductors L₁ and L₂, and both capacitors C₁ and C₂ are all connected in a single series path. The state equations governing this interval are:</w:t>
      </w:r>
    </w:p>
    <w:p>
      <w:pPr>
        <w:tabs>
          <w:tab w:pos="8504" w:val="right"/>
        </w:tabs>
        <w:spacing w:line="360" w:lineRule="auto" w:before="120" w:after="120"/>
        <w:ind w:left="1134"/>
      </w:pPr>
      <w:r>
        <w:rPr>
          <w:rFonts w:ascii="Cambria Math" w:hAnsi="Cambria Math"/>
          <w:i/>
          <w:sz w:val="24"/>
        </w:rPr>
        <w:t>L₁·di_L1/dt = V_g − v_C2 − r_L_eff · i_L1</w:t>
      </w:r>
      <w:r>
        <w:tab/>
      </w:r>
      <w:r>
        <w:rPr>
          <w:rFonts w:ascii="Times New Roman" w:hAnsi="Times New Roman"/>
          <w:sz w:val="22"/>
        </w:rPr>
        <w:t>(3.10)</w:t>
      </w:r>
    </w:p>
    <w:p>
      <w:pPr>
        <w:tabs>
          <w:tab w:pos="8504" w:val="right"/>
        </w:tabs>
        <w:spacing w:line="360" w:lineRule="auto" w:before="120" w:after="120"/>
        <w:ind w:left="1134"/>
      </w:pPr>
      <w:r>
        <w:rPr>
          <w:rFonts w:ascii="Cambria Math" w:hAnsi="Cambria Math"/>
          <w:i/>
          <w:sz w:val="24"/>
        </w:rPr>
        <w:t>L₂·di_L2/dt = + v_C1 − v_C2 − r_L_eff · i_L2</w:t>
      </w:r>
      <w:r>
        <w:tab/>
      </w:r>
      <w:r>
        <w:rPr>
          <w:rFonts w:ascii="Times New Roman" w:hAnsi="Times New Roman"/>
          <w:sz w:val="22"/>
        </w:rPr>
        <w:t>(3.11)</w:t>
      </w:r>
    </w:p>
    <w:p>
      <w:pPr>
        <w:tabs>
          <w:tab w:pos="8504" w:val="right"/>
        </w:tabs>
        <w:spacing w:line="360" w:lineRule="auto" w:before="120" w:after="120"/>
        <w:ind w:left="1134"/>
      </w:pPr>
      <w:r>
        <w:rPr>
          <w:rFonts w:ascii="Cambria Math" w:hAnsi="Cambria Math"/>
          <w:i/>
          <w:sz w:val="24"/>
        </w:rPr>
        <w:t>C₁·dv_C1/dt = + i_L2</w:t>
      </w:r>
      <w:r>
        <w:tab/>
      </w:r>
      <w:r>
        <w:rPr>
          <w:rFonts w:ascii="Times New Roman" w:hAnsi="Times New Roman"/>
          <w:sz w:val="22"/>
        </w:rPr>
        <w:t>(3.12)</w:t>
      </w:r>
    </w:p>
    <w:p>
      <w:pPr>
        <w:tabs>
          <w:tab w:pos="8504" w:val="right"/>
        </w:tabs>
        <w:spacing w:line="360" w:lineRule="auto" w:before="120" w:after="120"/>
        <w:ind w:left="1134"/>
      </w:pPr>
      <w:r>
        <w:rPr>
          <w:rFonts w:ascii="Cambria Math" w:hAnsi="Cambria Math"/>
          <w:i/>
          <w:sz w:val="24"/>
        </w:rPr>
        <w:t>C₂·dv_C2/dt = + (i_L1 − i_L2) − v_C2 / R</w:t>
      </w:r>
      <w:r>
        <w:tab/>
      </w:r>
      <w:r>
        <w:rPr>
          <w:rFonts w:ascii="Times New Roman" w:hAnsi="Times New Roman"/>
          <w:sz w:val="22"/>
        </w:rPr>
        <w:t>(3.13)</w:t>
      </w:r>
    </w:p>
    <w:p>
      <w:pPr>
        <w:spacing w:line="360" w:lineRule="auto" w:after="160"/>
        <w:ind w:firstLine="0"/>
        <w:jc w:val="both"/>
      </w:pPr>
      <w:r>
        <w:rPr>
          <w:rFonts w:ascii="Times New Roman" w:hAnsi="Times New Roman"/>
          <w:b w:val="0"/>
          <w:i w:val="0"/>
          <w:sz w:val="22"/>
        </w:rPr>
        <w:t>Equation 3.10 reflects that during Mode 2, the source V_g drives the L₁ inductor against the load capacitor's voltage v_C2, with the IR drop r_L_eff · i_L1 opposing as before. Equation 3.11 reflects that L₂ sees the source capacitor C₁'s voltage minus the load capacitor C₂'s voltage. Equation 3.12 expresses that during this interval the source capacitor C₁ charges from the inductor L₂'s current rather than discharging into L₁. Equation 3.13 expresses that C₂ now receives the net inductor current (i_L1 − i_L2) while still supplying the load with v_C2 / R.</w:t>
      </w:r>
    </w:p>
    <w:p>
      <w:pPr>
        <w:pStyle w:val="Heading2"/>
        <w:spacing w:before="360" w:after="160"/>
      </w:pPr>
      <w:r>
        <w:rPr>
          <w:rFonts w:ascii="Times New Roman" w:hAnsi="Times New Roman"/>
          <w:b/>
          <w:color w:val="000000"/>
          <w:sz w:val="28"/>
        </w:rPr>
        <w:t>3.3.4 State-space averaging procedure</w:t>
      </w:r>
    </w:p>
    <w:p>
      <w:pPr>
        <w:spacing w:line="360" w:lineRule="auto" w:after="160"/>
        <w:ind w:firstLine="0"/>
        <w:jc w:val="both"/>
      </w:pPr>
      <w:r>
        <w:rPr>
          <w:rFonts w:ascii="Times New Roman" w:hAnsi="Times New Roman"/>
          <w:b w:val="0"/>
          <w:i w:val="0"/>
          <w:sz w:val="22"/>
        </w:rPr>
        <w:t>The state-space averaging technique introduced by Middlebrook and Cuk replaces the discontinuous switching dynamics of equations 3.6 to 3.13 with a single continuous-time approximation that captures the averaged behaviour of the converter over a switching period. The technique is valid when the natural frequencies of the converter dynamics are well below the switching frequency; in the present case, the dominant resonance at approximately 595 Hz is more than thirty times slower than the 20 kHz switching frequency, comfortably satisfying this condition.</w:t>
      </w:r>
    </w:p>
    <w:p>
      <w:pPr>
        <w:spacing w:line="360" w:lineRule="auto" w:after="160"/>
        <w:ind w:firstLine="0"/>
        <w:jc w:val="both"/>
      </w:pPr>
      <w:r>
        <w:rPr>
          <w:rFonts w:ascii="Times New Roman" w:hAnsi="Times New Roman"/>
          <w:b w:val="0"/>
          <w:i w:val="0"/>
          <w:sz w:val="22"/>
        </w:rPr>
        <w:t>The averaging procedure constructs a new continuous-time state vector x̄ = [i_L1, i_L2, v_C1, v_C2]ᵀ whose time derivative is the duty-ratio-weighted sum of the Mode 1 and Mode 2 derivatives:</w:t>
      </w:r>
    </w:p>
    <w:p>
      <w:pPr>
        <w:tabs>
          <w:tab w:pos="8504" w:val="right"/>
        </w:tabs>
        <w:spacing w:line="360" w:lineRule="auto" w:before="120" w:after="120"/>
        <w:ind w:left="1134"/>
      </w:pPr>
      <w:r>
        <w:rPr>
          <w:rFonts w:ascii="Cambria Math" w:hAnsi="Cambria Math"/>
          <w:i/>
          <w:sz w:val="24"/>
        </w:rPr>
        <w:t>dx̄/dt = d · (dx/dt)_Mode1 + (1 − d) · (dx/dt)_Mode2</w:t>
      </w:r>
      <w:r>
        <w:tab/>
      </w:r>
      <w:r>
        <w:rPr>
          <w:rFonts w:ascii="Times New Roman" w:hAnsi="Times New Roman"/>
          <w:sz w:val="22"/>
        </w:rPr>
        <w:t>(3.14)</w:t>
      </w:r>
    </w:p>
    <w:p>
      <w:pPr>
        <w:spacing w:line="360" w:lineRule="auto" w:after="160"/>
        <w:ind w:firstLine="0"/>
        <w:jc w:val="both"/>
      </w:pPr>
      <w:r>
        <w:rPr>
          <w:rFonts w:ascii="Times New Roman" w:hAnsi="Times New Roman"/>
          <w:b w:val="0"/>
          <w:i w:val="0"/>
          <w:sz w:val="22"/>
        </w:rPr>
        <w:t>where d is the duty ratio at which S₁ conducts. Substituting the Mode 1 equations 3.6 to 3.9 and the Mode 2 equations 3.10 to 3.13 into 3.14 and collecting terms gives the averaged nonlinear state equations:</w:t>
      </w:r>
    </w:p>
    <w:p>
      <w:pPr>
        <w:tabs>
          <w:tab w:pos="8504" w:val="right"/>
        </w:tabs>
        <w:spacing w:line="360" w:lineRule="auto" w:before="120" w:after="120"/>
        <w:ind w:left="1134"/>
      </w:pPr>
      <w:r>
        <w:rPr>
          <w:rFonts w:ascii="Cambria Math" w:hAnsi="Cambria Math"/>
          <w:i/>
          <w:sz w:val="24"/>
        </w:rPr>
        <w:t>L₁·di_L1/dt = d·v_C1 − (1−d)·v_C2 + (1−d)·V_g − r_L_eff·i_L1</w:t>
      </w:r>
      <w:r>
        <w:tab/>
      </w:r>
      <w:r>
        <w:rPr>
          <w:rFonts w:ascii="Times New Roman" w:hAnsi="Times New Roman"/>
          <w:sz w:val="22"/>
        </w:rPr>
        <w:t>(3.15)</w:t>
      </w:r>
    </w:p>
    <w:p>
      <w:pPr>
        <w:tabs>
          <w:tab w:pos="8504" w:val="right"/>
        </w:tabs>
        <w:spacing w:line="360" w:lineRule="auto" w:before="120" w:after="120"/>
        <w:ind w:left="1134"/>
      </w:pPr>
      <w:r>
        <w:rPr>
          <w:rFonts w:ascii="Cambria Math" w:hAnsi="Cambria Math"/>
          <w:i/>
          <w:sz w:val="24"/>
        </w:rPr>
        <w:t>L₂·di_L2/dt = −(1−d)·v_C1 + (1 − 2d)·v_C2 + (1−d)·V_g − r_L_eff·i_L2</w:t>
      </w:r>
      <w:r>
        <w:tab/>
      </w:r>
      <w:r>
        <w:rPr>
          <w:rFonts w:ascii="Times New Roman" w:hAnsi="Times New Roman"/>
          <w:sz w:val="22"/>
        </w:rPr>
        <w:t>(3.16)</w:t>
      </w:r>
    </w:p>
    <w:p>
      <w:pPr>
        <w:tabs>
          <w:tab w:pos="8504" w:val="right"/>
        </w:tabs>
        <w:spacing w:line="360" w:lineRule="auto" w:before="120" w:after="120"/>
        <w:ind w:left="1134"/>
      </w:pPr>
      <w:r>
        <w:rPr>
          <w:rFonts w:ascii="Cambria Math" w:hAnsi="Cambria Math"/>
          <w:i/>
          <w:sz w:val="24"/>
        </w:rPr>
        <w:t>C₁·dv_C1/dt = −d·i_L1 + (1−d)·i_L2</w:t>
      </w:r>
      <w:r>
        <w:tab/>
      </w:r>
      <w:r>
        <w:rPr>
          <w:rFonts w:ascii="Times New Roman" w:hAnsi="Times New Roman"/>
          <w:sz w:val="22"/>
        </w:rPr>
        <w:t>(3.17)</w:t>
      </w:r>
    </w:p>
    <w:p>
      <w:pPr>
        <w:tabs>
          <w:tab w:pos="8504" w:val="right"/>
        </w:tabs>
        <w:spacing w:line="360" w:lineRule="auto" w:before="120" w:after="120"/>
        <w:ind w:left="1134"/>
      </w:pPr>
      <w:r>
        <w:rPr>
          <w:rFonts w:ascii="Cambria Math" w:hAnsi="Cambria Math"/>
          <w:i/>
          <w:sz w:val="24"/>
        </w:rPr>
        <w:t>C₂·dv_C2/dt = (1−d)·i_L1 − d·i_L2 − v_C2 / R</w:t>
      </w:r>
      <w:r>
        <w:tab/>
      </w:r>
      <w:r>
        <w:rPr>
          <w:rFonts w:ascii="Times New Roman" w:hAnsi="Times New Roman"/>
          <w:sz w:val="22"/>
        </w:rPr>
        <w:t>(3.18)</w:t>
      </w:r>
    </w:p>
    <w:p>
      <w:pPr>
        <w:spacing w:line="360" w:lineRule="auto" w:after="160"/>
        <w:ind w:firstLine="0"/>
        <w:jc w:val="both"/>
      </w:pPr>
      <w:r>
        <w:rPr>
          <w:rFonts w:ascii="Times New Roman" w:hAnsi="Times New Roman"/>
          <w:b w:val="0"/>
          <w:i w:val="0"/>
          <w:sz w:val="22"/>
        </w:rPr>
        <w:t>These four equations are now a continuous-time nonlinear system: nonlinear because the duty ratio d multiplies the state variables in equations 3.15 through 3.18, producing bilinear terms (state × input) that prevent direct use of linear control-system tools. The nonlinearity is the price of the averaging procedure: in exchange for replacing the discontinuous switching dynamics with a continuous representation, the linear superposition principle that would let us treat d and the states independently is sacrificed.</w:t>
      </w:r>
    </w:p>
    <w:p>
      <w:pPr>
        <w:spacing w:line="360" w:lineRule="auto" w:after="160"/>
        <w:ind w:firstLine="0"/>
        <w:jc w:val="both"/>
      </w:pPr>
      <w:r>
        <w:rPr>
          <w:rFonts w:ascii="Times New Roman" w:hAnsi="Times New Roman"/>
          <w:b w:val="0"/>
          <w:i w:val="0"/>
          <w:sz w:val="22"/>
        </w:rPr>
        <w:t>This nonlinear system can be solved at equilibrium by setting all time derivatives to zero and choosing a value of d, which gives the closed-form steady-state expressions of equations 3.1 to 3.5 evaluated at D = D₀. For dynamic analysis and controller design, however, the nonlinearity must be linearised about a chosen operating point. This linearisation is the subject of Section 3.4.</w:t>
      </w:r>
    </w:p>
    <w:p>
      <w:pPr>
        <w:pStyle w:val="Heading1"/>
        <w:spacing w:before="360" w:after="160"/>
      </w:pPr>
      <w:r>
        <w:rPr>
          <w:rFonts w:ascii="Times New Roman" w:hAnsi="Times New Roman"/>
          <w:b/>
          <w:color w:val="000000"/>
          <w:sz w:val="32"/>
        </w:rPr>
        <w:t>3.4 Linearisation and Construction of the State-Space Model</w:t>
      </w:r>
    </w:p>
    <w:p>
      <w:pPr>
        <w:pStyle w:val="Heading2"/>
        <w:spacing w:before="360" w:after="160"/>
      </w:pPr>
      <w:r>
        <w:rPr>
          <w:rFonts w:ascii="Times New Roman" w:hAnsi="Times New Roman"/>
          <w:b/>
          <w:color w:val="000000"/>
          <w:sz w:val="28"/>
        </w:rPr>
        <w:t>3.4.1 Perturbation about the operating point</w:t>
      </w:r>
    </w:p>
    <w:p>
      <w:pPr>
        <w:spacing w:line="360" w:lineRule="auto" w:after="160"/>
        <w:ind w:firstLine="0"/>
        <w:jc w:val="both"/>
      </w:pPr>
      <w:r>
        <w:rPr>
          <w:rFonts w:ascii="Times New Roman" w:hAnsi="Times New Roman"/>
          <w:b w:val="0"/>
          <w:i w:val="0"/>
          <w:sz w:val="22"/>
        </w:rPr>
        <w:t>The small-signal model is obtained by introducing perturbation variables that represent the deviation of each state and the duty ratio from the chosen operating point. Let the operating point be characterised by the steady-state values X = [I_L1, I_L2, V_C1, V_C2]ᵀ and the constant operating duty ratio D₀. Define the perturbation variables:</w:t>
      </w:r>
    </w:p>
    <w:p>
      <w:pPr>
        <w:tabs>
          <w:tab w:pos="8504" w:val="right"/>
        </w:tabs>
        <w:spacing w:line="360" w:lineRule="auto" w:before="120" w:after="120"/>
        <w:ind w:left="1134"/>
      </w:pPr>
      <w:r>
        <w:rPr>
          <w:rFonts w:ascii="Cambria Math" w:hAnsi="Cambria Math"/>
          <w:i/>
          <w:sz w:val="24"/>
        </w:rPr>
        <w:t>d(t) = D₀ + d̂(t)</w:t>
      </w:r>
      <w:r>
        <w:tab/>
      </w:r>
      <w:r>
        <w:rPr>
          <w:rFonts w:ascii="Times New Roman" w:hAnsi="Times New Roman"/>
          <w:sz w:val="22"/>
        </w:rPr>
        <w:t>(3.19)</w:t>
      </w:r>
    </w:p>
    <w:p>
      <w:pPr>
        <w:tabs>
          <w:tab w:pos="8504" w:val="right"/>
        </w:tabs>
        <w:spacing w:line="360" w:lineRule="auto" w:before="120" w:after="120"/>
        <w:ind w:left="1134"/>
      </w:pPr>
      <w:r>
        <w:rPr>
          <w:rFonts w:ascii="Cambria Math" w:hAnsi="Cambria Math"/>
          <w:i/>
          <w:sz w:val="24"/>
        </w:rPr>
        <w:t>x(t) = X + x̂(t)</w:t>
      </w:r>
      <w:r>
        <w:tab/>
      </w:r>
      <w:r>
        <w:rPr>
          <w:rFonts w:ascii="Times New Roman" w:hAnsi="Times New Roman"/>
          <w:sz w:val="22"/>
        </w:rPr>
        <w:t>(3.20)</w:t>
      </w:r>
    </w:p>
    <w:p>
      <w:pPr>
        <w:spacing w:line="360" w:lineRule="auto" w:after="160"/>
        <w:ind w:firstLine="0"/>
        <w:jc w:val="both"/>
      </w:pPr>
      <w:r>
        <w:rPr>
          <w:rFonts w:ascii="Times New Roman" w:hAnsi="Times New Roman"/>
          <w:b w:val="0"/>
          <w:i w:val="0"/>
          <w:sz w:val="22"/>
        </w:rPr>
        <w:t>where d̂ and x̂ are the small-signal perturbations to the duty ratio and the state vector respectively. Substituting these expressions into the averaged equations 3.15 to 3.18 and expanding, then discarding all terms that are second-order or higher in the perturbations (the products d̂ · x̂, which are the bilinear terms of the nonlinear system), yields a set of linear differential equations in x̂ alone, driven by d̂:</w:t>
      </w:r>
    </w:p>
    <w:p>
      <w:pPr>
        <w:tabs>
          <w:tab w:pos="8504" w:val="right"/>
        </w:tabs>
        <w:spacing w:line="360" w:lineRule="auto" w:before="120" w:after="120"/>
        <w:ind w:left="1134"/>
      </w:pPr>
      <w:r>
        <w:rPr>
          <w:rFonts w:ascii="Cambria Math" w:hAnsi="Cambria Math"/>
          <w:i/>
          <w:sz w:val="24"/>
        </w:rPr>
        <w:t>dx̂/dt = A · x̂ + B · d̂</w:t>
      </w:r>
      <w:r>
        <w:tab/>
      </w:r>
      <w:r>
        <w:rPr>
          <w:rFonts w:ascii="Times New Roman" w:hAnsi="Times New Roman"/>
          <w:sz w:val="22"/>
        </w:rPr>
        <w:t>(3.21)</w:t>
      </w:r>
    </w:p>
    <w:p>
      <w:pPr>
        <w:spacing w:line="360" w:lineRule="auto" w:after="160"/>
        <w:ind w:firstLine="0"/>
        <w:jc w:val="both"/>
      </w:pPr>
      <w:r>
        <w:rPr>
          <w:rFonts w:ascii="Times New Roman" w:hAnsi="Times New Roman"/>
          <w:b w:val="0"/>
          <w:i w:val="0"/>
          <w:sz w:val="22"/>
        </w:rPr>
        <w:t>where the matrices A and B are evaluated at the operating point and depend only on the operating-point steady-state values and the converter parameters. The zero-order terms that remain after discarding the higher-order perturbations are exactly the operating-point equations of Section 3.2.4; they are satisfied identically by the chosen operating point and so cancel from the perturbation equation.</w:t>
      </w:r>
    </w:p>
    <w:p>
      <w:pPr>
        <w:pStyle w:val="Heading2"/>
        <w:spacing w:before="360" w:after="160"/>
      </w:pPr>
      <w:r>
        <w:rPr>
          <w:rFonts w:ascii="Times New Roman" w:hAnsi="Times New Roman"/>
          <w:b/>
          <w:color w:val="000000"/>
          <w:sz w:val="28"/>
        </w:rPr>
        <w:t>3.4.2 Inclusion of capacitor ESR</w:t>
      </w:r>
    </w:p>
    <w:p>
      <w:pPr>
        <w:spacing w:line="360" w:lineRule="auto" w:after="160"/>
        <w:ind w:firstLine="0"/>
        <w:jc w:val="both"/>
      </w:pPr>
      <w:r>
        <w:rPr>
          <w:rFonts w:ascii="Times New Roman" w:hAnsi="Times New Roman"/>
          <w:b w:val="0"/>
          <w:i w:val="0"/>
          <w:sz w:val="22"/>
        </w:rPr>
        <w:t>The treatment to this point has not explicitly addressed the capacitor equivalent series resistances r_C, which physically appear in series with the ideal capacitor part of each capacitor branch. With ESR present, the voltage at the external terminal of each capacitor differs from the ideal-capacitor state voltage by the IR drop across the ESR:</w:t>
      </w:r>
    </w:p>
    <w:p>
      <w:pPr>
        <w:tabs>
          <w:tab w:pos="8504" w:val="right"/>
        </w:tabs>
        <w:spacing w:line="360" w:lineRule="auto" w:before="120" w:after="120"/>
        <w:ind w:left="1134"/>
      </w:pPr>
      <w:r>
        <w:rPr>
          <w:rFonts w:ascii="Cambria Math" w:hAnsi="Cambria Math"/>
          <w:i/>
          <w:sz w:val="24"/>
        </w:rPr>
        <w:t>v_term,C = v_C + i_C · r_C</w:t>
      </w:r>
      <w:r>
        <w:tab/>
      </w:r>
      <w:r>
        <w:rPr>
          <w:rFonts w:ascii="Times New Roman" w:hAnsi="Times New Roman"/>
          <w:sz w:val="22"/>
        </w:rPr>
        <w:t>(3.22)</w:t>
      </w:r>
    </w:p>
    <w:p>
      <w:pPr>
        <w:spacing w:line="360" w:lineRule="auto" w:after="160"/>
        <w:ind w:firstLine="0"/>
        <w:jc w:val="both"/>
      </w:pPr>
      <w:r>
        <w:rPr>
          <w:rFonts w:ascii="Times New Roman" w:hAnsi="Times New Roman"/>
          <w:b w:val="0"/>
          <w:i w:val="0"/>
          <w:sz w:val="22"/>
        </w:rPr>
        <w:t>where v_C remains the state variable (the voltage on the ideal-capacitor part of the branch) and i_C is the current flowing into the capacitor branch from the external circuit. The state variable retains its definition as the ideal-capacitor voltage because that is the quantity whose time derivative is governed by the capacitance: dv_C/dt = i_C / C. The terminal voltage, in contrast, is what the rest of the circuit sees and what enters the inductor equations as the driving voltage.</w:t>
      </w:r>
    </w:p>
    <w:p>
      <w:pPr>
        <w:spacing w:line="360" w:lineRule="auto" w:after="160"/>
        <w:ind w:firstLine="0"/>
        <w:jc w:val="both"/>
      </w:pPr>
      <w:r>
        <w:rPr>
          <w:rFonts w:ascii="Times New Roman" w:hAnsi="Times New Roman"/>
          <w:b w:val="0"/>
          <w:i w:val="0"/>
          <w:sz w:val="22"/>
        </w:rPr>
        <w:t>Two consequences propagate to the state equations. First, the inductor equations of 3.15 and 3.16 no longer see v_C1 and v_C2 directly; they see the terminal voltages v_C1 + i_C1 · r_C and v_C2 + i_C2 · r_C. This couples the ideal-capacitor voltages and the inductor currents (which determine the capacitor currents by Kirchhoff's current law) through the resistive voltage drop. Second, the output of the model — the quantity that the load actually sees and that the closed-loop controller of Chapter 6 will regulate — is the load-capacitor terminal voltage v_C2 + i_C2 · r_C, not the ideal-capacitor state v_C2 alone. The C matrix of the state-space representation therefore changes from the canonical [0, 0, 0, 1] form that would select v_C2 alone to a four-element vector with non-zero entries on i_L1 and i_L2 as well.</w:t>
      </w:r>
    </w:p>
    <w:p>
      <w:pPr>
        <w:spacing w:line="360" w:lineRule="auto" w:after="160"/>
        <w:ind w:firstLine="0"/>
        <w:jc w:val="both"/>
      </w:pPr>
      <w:r>
        <w:rPr>
          <w:rFonts w:ascii="Times New Roman" w:hAnsi="Times New Roman"/>
          <w:b w:val="0"/>
          <w:i w:val="0"/>
          <w:sz w:val="22"/>
        </w:rPr>
        <w:t>For brevity in what follows, two convenience symbols are introduced. Define:</w:t>
      </w:r>
    </w:p>
    <w:p>
      <w:pPr>
        <w:tabs>
          <w:tab w:pos="8504" w:val="right"/>
        </w:tabs>
        <w:spacing w:line="360" w:lineRule="auto" w:before="120" w:after="120"/>
        <w:ind w:left="1134"/>
      </w:pPr>
      <w:r>
        <w:rPr>
          <w:rFonts w:ascii="Cambria Math" w:hAnsi="Cambria Math"/>
          <w:i/>
          <w:sz w:val="24"/>
        </w:rPr>
        <w:t>α = r_C / (R + r_C)</w:t>
      </w:r>
      <w:r>
        <w:tab/>
      </w:r>
      <w:r>
        <w:rPr>
          <w:rFonts w:ascii="Times New Roman" w:hAnsi="Times New Roman"/>
          <w:sz w:val="22"/>
        </w:rPr>
        <w:t>(3.23)</w:t>
      </w:r>
    </w:p>
    <w:p>
      <w:pPr>
        <w:tabs>
          <w:tab w:pos="8504" w:val="right"/>
        </w:tabs>
        <w:spacing w:line="360" w:lineRule="auto" w:before="120" w:after="120"/>
        <w:ind w:left="1134"/>
      </w:pPr>
      <w:r>
        <w:rPr>
          <w:rFonts w:ascii="Cambria Math" w:hAnsi="Cambria Math"/>
          <w:i/>
          <w:sz w:val="24"/>
        </w:rPr>
        <w:t>β = R · r_C / (R + r_C)</w:t>
      </w:r>
      <w:r>
        <w:tab/>
      </w:r>
      <w:r>
        <w:rPr>
          <w:rFonts w:ascii="Times New Roman" w:hAnsi="Times New Roman"/>
          <w:sz w:val="22"/>
        </w:rPr>
        <w:t>(3.24)</w:t>
      </w:r>
    </w:p>
    <w:p>
      <w:pPr>
        <w:spacing w:line="360" w:lineRule="auto" w:after="160"/>
        <w:ind w:firstLine="0"/>
        <w:jc w:val="both"/>
      </w:pPr>
      <w:r>
        <w:rPr>
          <w:rFonts w:ascii="Times New Roman" w:hAnsi="Times New Roman"/>
          <w:b w:val="0"/>
          <w:i w:val="0"/>
          <w:sz w:val="22"/>
        </w:rPr>
        <w:t>With R = 46.87 Ω and r_C = 20 mΩ at the operating point, α ≈ 4.27 × 10⁻⁴ (dimensionless) and β ≈ 19.99 mΩ. Both are small compared to unity (α) and to the load (β), reflecting the fact that the ESR is a perturbatively small effect at the impedance levels of the converter. Setting r_C = 0 sends both α and β to zero, and the modified equations developed below reduce to the original ESR-free form.</w:t>
      </w:r>
    </w:p>
    <w:p>
      <w:pPr>
        <w:pStyle w:val="Heading2"/>
        <w:spacing w:before="360" w:after="160"/>
      </w:pPr>
      <w:r>
        <w:rPr>
          <w:rFonts w:ascii="Times New Roman" w:hAnsi="Times New Roman"/>
          <w:b/>
          <w:color w:val="000000"/>
          <w:sz w:val="28"/>
        </w:rPr>
        <w:t>3.4.3 The averaged capacitor currents</w:t>
      </w:r>
    </w:p>
    <w:p>
      <w:pPr>
        <w:spacing w:line="360" w:lineRule="auto" w:after="160"/>
        <w:ind w:firstLine="0"/>
        <w:jc w:val="both"/>
      </w:pPr>
      <w:r>
        <w:rPr>
          <w:rFonts w:ascii="Times New Roman" w:hAnsi="Times New Roman"/>
          <w:b w:val="0"/>
          <w:i w:val="0"/>
          <w:sz w:val="22"/>
        </w:rPr>
        <w:t>To express the modified state equations in closed form, the capacitor currents i_C1 and i_C2 must be written in terms of the state variables. Applying Kirchhoff's current law at each capacitor node and combining with the averaged equations 3.17 and 3.18:</w:t>
      </w:r>
    </w:p>
    <w:p>
      <w:pPr>
        <w:tabs>
          <w:tab w:pos="8504" w:val="right"/>
        </w:tabs>
        <w:spacing w:line="360" w:lineRule="auto" w:before="120" w:after="120"/>
        <w:ind w:left="1134"/>
      </w:pPr>
      <w:r>
        <w:rPr>
          <w:rFonts w:ascii="Cambria Math" w:hAnsi="Cambria Math"/>
          <w:i/>
          <w:sz w:val="24"/>
        </w:rPr>
        <w:t>i_C1 = −D₀·i_L1 + (1 − D₀)·i_L2</w:t>
      </w:r>
      <w:r>
        <w:tab/>
      </w:r>
      <w:r>
        <w:rPr>
          <w:rFonts w:ascii="Times New Roman" w:hAnsi="Times New Roman"/>
          <w:sz w:val="22"/>
        </w:rPr>
        <w:t>(3.25)</w:t>
      </w:r>
    </w:p>
    <w:p>
      <w:pPr>
        <w:tabs>
          <w:tab w:pos="8504" w:val="right"/>
        </w:tabs>
        <w:spacing w:line="360" w:lineRule="auto" w:before="120" w:after="120"/>
        <w:ind w:left="1134"/>
      </w:pPr>
      <w:r>
        <w:rPr>
          <w:rFonts w:ascii="Cambria Math" w:hAnsi="Cambria Math"/>
          <w:i/>
          <w:sz w:val="24"/>
        </w:rPr>
        <w:t>i_C2 (averaged) = (1 − D₀)·i_L1 − D₀·i_L2 − v_term,C2 / R</w:t>
      </w:r>
      <w:r>
        <w:tab/>
      </w:r>
      <w:r>
        <w:rPr>
          <w:rFonts w:ascii="Times New Roman" w:hAnsi="Times New Roman"/>
          <w:sz w:val="22"/>
        </w:rPr>
        <w:t>(3.26)</w:t>
      </w:r>
    </w:p>
    <w:p>
      <w:pPr>
        <w:spacing w:line="360" w:lineRule="auto" w:after="160"/>
        <w:ind w:firstLine="0"/>
        <w:jc w:val="both"/>
      </w:pPr>
      <w:r>
        <w:rPr>
          <w:rFonts w:ascii="Times New Roman" w:hAnsi="Times New Roman"/>
          <w:b w:val="0"/>
          <w:i w:val="0"/>
          <w:sz w:val="22"/>
        </w:rPr>
        <w:t>Equation 3.26 is implicit in i_C2 because the load current depends on the terminal voltage, which itself depends on i_C2 through equation 3.22. Substituting equation 3.22 into 3.26 and solving algebraically for i_C2 gives an explicit expression:</w:t>
      </w:r>
    </w:p>
    <w:p>
      <w:pPr>
        <w:tabs>
          <w:tab w:pos="8504" w:val="right"/>
        </w:tabs>
        <w:spacing w:line="360" w:lineRule="auto" w:before="120" w:after="120"/>
        <w:ind w:left="1134"/>
      </w:pPr>
      <w:r>
        <w:rPr>
          <w:rFonts w:ascii="Cambria Math" w:hAnsi="Cambria Math"/>
          <w:i/>
          <w:sz w:val="24"/>
        </w:rPr>
        <w:t>i_C2 = [R · ((1 − D₀)·i_L1 − D₀·i_L2) − v_C2] / (R + r_C)</w:t>
      </w:r>
      <w:r>
        <w:tab/>
      </w:r>
      <w:r>
        <w:rPr>
          <w:rFonts w:ascii="Times New Roman" w:hAnsi="Times New Roman"/>
          <w:sz w:val="22"/>
        </w:rPr>
        <w:t>(3.27)</w:t>
      </w:r>
    </w:p>
    <w:p>
      <w:pPr>
        <w:spacing w:line="360" w:lineRule="auto" w:after="160"/>
        <w:ind w:firstLine="0"/>
        <w:jc w:val="both"/>
      </w:pPr>
      <w:r>
        <w:rPr>
          <w:rFonts w:ascii="Times New Roman" w:hAnsi="Times New Roman"/>
          <w:b w:val="0"/>
          <w:i w:val="0"/>
          <w:sz w:val="22"/>
        </w:rPr>
        <w:t>This expression captures the way that the ESR couples the load impedance R + r_C and modifies the relationship between the inductor currents and the capacitor's rate of charge accumulation. When r_C → 0, equation 3.27 reduces to i_C2 = (1 − D₀)·i_L1 − D₀·i_L2 − v_C2 / R, recovering the standard averaged expression.</w:t>
      </w:r>
    </w:p>
    <w:p>
      <w:pPr>
        <w:pStyle w:val="Heading2"/>
        <w:spacing w:before="360" w:after="160"/>
      </w:pPr>
      <w:r>
        <w:rPr>
          <w:rFonts w:ascii="Times New Roman" w:hAnsi="Times New Roman"/>
          <w:b/>
          <w:color w:val="000000"/>
          <w:sz w:val="28"/>
        </w:rPr>
        <w:t>3.4.4 The A matrix with ESR included</w:t>
      </w:r>
    </w:p>
    <w:p>
      <w:pPr>
        <w:spacing w:line="360" w:lineRule="auto" w:after="160"/>
        <w:ind w:firstLine="0"/>
        <w:jc w:val="both"/>
      </w:pPr>
      <w:r>
        <w:rPr>
          <w:rFonts w:ascii="Times New Roman" w:hAnsi="Times New Roman"/>
          <w:b w:val="0"/>
          <w:i w:val="0"/>
          <w:sz w:val="22"/>
        </w:rPr>
        <w:t>Substituting the capacitor-current expressions 3.25 and 3.27 into the averaged equations 3.15 through 3.18, replacing each occurrence of v_C1 and v_C2 in the inductor equations by their terminal-voltage forms from equation 3.22, perturbing about the operating point per equations 3.19 and 3.20, and discarding second-order terms, yields the linearised state-space equation 3.21 with the following A matrix:</w:t>
      </w:r>
    </w:p>
    <w:p>
      <w:pPr>
        <w:spacing w:line="360" w:lineRule="auto" w:after="160"/>
        <w:ind w:firstLine="0"/>
        <w:jc w:val="both"/>
      </w:pPr>
      <w:r>
        <w:rPr>
          <w:rFonts w:ascii="Times New Roman" w:hAnsi="Times New Roman"/>
          <w:b w:val="0"/>
          <w:i w:val="0"/>
          <w:sz w:val="22"/>
        </w:rPr>
        <w:t>The (1,1) entry of A captures the inductor L₁'s losses, which now include both the original inductor effective resistance r_L_eff and an additional ESR-induced term arising from the i_L1 contribution to i_C2:</w:t>
      </w:r>
    </w:p>
    <w:p>
      <w:pPr>
        <w:spacing w:line="360" w:lineRule="auto" w:before="120" w:after="120"/>
        <w:ind w:left="1134"/>
      </w:pPr>
      <w:r>
        <w:rPr>
          <w:rFonts w:ascii="Cambria Math" w:hAnsi="Cambria Math"/>
          <w:i/>
          <w:sz w:val="24"/>
        </w:rPr>
        <w:t>A₁₁ = [ −R·r_C·(1−D₀)² − (R+r_C)·(D₀²·r_C + r_L_eff) ] / [L₁·(R+r_C)]</w:t>
      </w:r>
    </w:p>
    <w:p>
      <w:pPr>
        <w:spacing w:line="360" w:lineRule="auto" w:after="160"/>
        <w:ind w:firstLine="0"/>
        <w:jc w:val="both"/>
      </w:pPr>
      <w:r>
        <w:rPr>
          <w:rFonts w:ascii="Times New Roman" w:hAnsi="Times New Roman"/>
          <w:b w:val="0"/>
          <w:i w:val="0"/>
          <w:sz w:val="22"/>
        </w:rPr>
        <w:t>The (1,2) entry of A is new — zero in the original model — and represents a cross-coupling between the two inductor states induced by their shared contribution to the C₂ terminal voltage through the ESR:</w:t>
      </w:r>
    </w:p>
    <w:p>
      <w:pPr>
        <w:spacing w:line="360" w:lineRule="auto" w:before="120" w:after="120"/>
        <w:ind w:left="1134"/>
      </w:pPr>
      <w:r>
        <w:rPr>
          <w:rFonts w:ascii="Cambria Math" w:hAnsi="Cambria Math"/>
          <w:i/>
          <w:sz w:val="24"/>
        </w:rPr>
        <w:t>A₁₂ = −D₀·r_C·(1−D₀)·(2R + r_C) / [L₁·(R+r_C)]</w:t>
      </w:r>
    </w:p>
    <w:p>
      <w:pPr>
        <w:spacing w:line="360" w:lineRule="auto" w:after="160"/>
        <w:ind w:firstLine="0"/>
        <w:jc w:val="both"/>
      </w:pPr>
      <w:r>
        <w:rPr>
          <w:rFonts w:ascii="Times New Roman" w:hAnsi="Times New Roman"/>
          <w:b w:val="0"/>
          <w:i w:val="0"/>
          <w:sz w:val="22"/>
        </w:rPr>
        <w:t>The (1,4) entry of A — the coefficient of v_C2 in the i_L1 equation — changes from the original −(1−D₀)/L₁ to:</w:t>
      </w:r>
    </w:p>
    <w:p>
      <w:pPr>
        <w:spacing w:line="360" w:lineRule="auto" w:before="120" w:after="120"/>
        <w:ind w:left="1134"/>
      </w:pPr>
      <w:r>
        <w:rPr>
          <w:rFonts w:ascii="Cambria Math" w:hAnsi="Cambria Math"/>
          <w:i/>
          <w:sz w:val="24"/>
        </w:rPr>
        <w:t>A₁₄ = R·(1−D₀) / [L₁·(R+r_C)] · (sign flipped per convention)</w:t>
      </w:r>
    </w:p>
    <w:p>
      <w:pPr>
        <w:spacing w:line="360" w:lineRule="auto" w:after="160"/>
        <w:ind w:firstLine="0"/>
        <w:jc w:val="both"/>
      </w:pPr>
      <w:r>
        <w:rPr>
          <w:rFonts w:ascii="Times New Roman" w:hAnsi="Times New Roman"/>
          <w:b w:val="0"/>
          <w:i w:val="0"/>
          <w:sz w:val="22"/>
        </w:rPr>
        <w:t>The (2,1) entry mirrors A₁₂ with the roles of L₁ and L₂ exchanged, the (2,2) entry mirrors A₁₁ similarly, and the (2,4) entry mirrors A₁₄. The capacitor rows of A undergo more modest modifications: the v_C1 row (equation A₃,·) is unchanged from the original because C₁ has no external load through which an ESR can influence its dynamics. The v_C2 row (equation A₄,·) sees the modifications:</w:t>
      </w:r>
    </w:p>
    <w:p>
      <w:pPr>
        <w:spacing w:line="360" w:lineRule="auto" w:before="120" w:after="120"/>
        <w:ind w:left="1134"/>
      </w:pPr>
      <w:r>
        <w:rPr>
          <w:rFonts w:ascii="Cambria Math" w:hAnsi="Cambria Math"/>
          <w:i/>
          <w:sz w:val="24"/>
        </w:rPr>
        <w:t>A₄₁ = R·(1−D₀) / [C₂·(R+r_C)]</w:t>
      </w:r>
    </w:p>
    <w:p>
      <w:pPr>
        <w:spacing w:line="360" w:lineRule="auto" w:before="120" w:after="120"/>
        <w:ind w:left="1134"/>
      </w:pPr>
      <w:r>
        <w:rPr>
          <w:rFonts w:ascii="Cambria Math" w:hAnsi="Cambria Math"/>
          <w:i/>
          <w:sz w:val="24"/>
        </w:rPr>
        <w:t>A₄₂ = −D₀·R / [C₂·(R+r_C)]</w:t>
      </w:r>
    </w:p>
    <w:p>
      <w:pPr>
        <w:spacing w:line="360" w:lineRule="auto" w:before="120" w:after="120"/>
        <w:ind w:left="1134"/>
      </w:pPr>
      <w:r>
        <w:rPr>
          <w:rFonts w:ascii="Cambria Math" w:hAnsi="Cambria Math"/>
          <w:i/>
          <w:sz w:val="24"/>
        </w:rPr>
        <w:t>A₄₄ = −1 / [C₂·(R+r_C)]</w:t>
      </w:r>
    </w:p>
    <w:p>
      <w:pPr>
        <w:spacing w:line="360" w:lineRule="auto" w:after="160"/>
        <w:ind w:firstLine="0"/>
        <w:jc w:val="both"/>
      </w:pPr>
      <w:r>
        <w:rPr>
          <w:rFonts w:ascii="Times New Roman" w:hAnsi="Times New Roman"/>
          <w:b w:val="0"/>
          <w:i w:val="0"/>
          <w:sz w:val="22"/>
        </w:rPr>
        <w:t>The A₄₄ modification is the most physically intuitive: the load pole at the input of the H-bridge stage was previously −1 / (R · C₂); with ESR included, it is −1 / ((R + r_C) · C₂), shifted by a small amount toward slower decay because the effective load resistance seen by C₂ has grown by r_C. With R = 46.87 Ω and r_C = 20 mΩ, the fractional shift is r_C / (R + r_C) ≈ 0.067 %, which is comfortably smaller than typical measurement uncertainties on the components themselves.</w:t>
      </w:r>
    </w:p>
    <w:p>
      <w:pPr>
        <w:spacing w:line="360" w:lineRule="auto" w:after="160"/>
        <w:ind w:firstLine="0"/>
        <w:jc w:val="both"/>
      </w:pPr>
      <w:r>
        <w:rPr>
          <w:rFonts w:ascii="Times New Roman" w:hAnsi="Times New Roman"/>
          <w:b w:val="0"/>
          <w:i w:val="0"/>
          <w:sz w:val="22"/>
        </w:rPr>
        <w:t>The full A matrix is implemented symbolically in the companion script SS_Script_v3.m and is verified analytically by the cross-check that setting r_C = 0 reproduces the original ESR-free A matrix exactly for all sixteen entries.</w:t>
      </w:r>
    </w:p>
    <w:p>
      <w:pPr>
        <w:pStyle w:val="Heading2"/>
        <w:spacing w:before="360" w:after="160"/>
      </w:pPr>
      <w:r>
        <w:rPr>
          <w:rFonts w:ascii="Times New Roman" w:hAnsi="Times New Roman"/>
          <w:b/>
          <w:color w:val="000000"/>
          <w:sz w:val="28"/>
        </w:rPr>
        <w:t>3.4.5 The B vector and output matrix</w:t>
      </w:r>
    </w:p>
    <w:p>
      <w:pPr>
        <w:spacing w:line="360" w:lineRule="auto" w:after="160"/>
        <w:ind w:firstLine="0"/>
        <w:jc w:val="both"/>
      </w:pPr>
      <w:r>
        <w:rPr>
          <w:rFonts w:ascii="Times New Roman" w:hAnsi="Times New Roman"/>
          <w:b w:val="0"/>
          <w:i w:val="0"/>
          <w:sz w:val="22"/>
        </w:rPr>
        <w:t>The B vector captures how a perturbation in the duty ratio drives each state. Differentiating the averaged equations 3.15 through 3.18 with respect to d at the operating point gives:</w:t>
      </w:r>
    </w:p>
    <w:p>
      <w:pPr>
        <w:tabs>
          <w:tab w:pos="8504" w:val="right"/>
        </w:tabs>
        <w:spacing w:line="360" w:lineRule="auto" w:before="120" w:after="120"/>
        <w:ind w:left="1134"/>
      </w:pPr>
      <w:r>
        <w:rPr>
          <w:rFonts w:ascii="Cambria Math" w:hAnsi="Cambria Math"/>
          <w:i/>
          <w:sz w:val="24"/>
        </w:rPr>
        <w:t>B = [ K_ind / L₁, K_ind / L₂, −K_cap / C₁, −K_cap / C₂ ]ᵀ</w:t>
      </w:r>
      <w:r>
        <w:tab/>
      </w:r>
      <w:r>
        <w:rPr>
          <w:rFonts w:ascii="Times New Roman" w:hAnsi="Times New Roman"/>
          <w:sz w:val="22"/>
        </w:rPr>
        <w:t>(3.28)</w:t>
      </w:r>
    </w:p>
    <w:p>
      <w:pPr>
        <w:spacing w:line="360" w:lineRule="auto" w:after="160"/>
        <w:ind w:firstLine="0"/>
        <w:jc w:val="both"/>
      </w:pPr>
      <w:r>
        <w:rPr>
          <w:rFonts w:ascii="Times New Roman" w:hAnsi="Times New Roman"/>
          <w:b w:val="0"/>
          <w:i w:val="0"/>
          <w:sz w:val="22"/>
        </w:rPr>
        <w:t>where the coefficients K_ind and K_cap are functions of the operating-point values:</w:t>
      </w:r>
    </w:p>
    <w:p>
      <w:pPr>
        <w:tabs>
          <w:tab w:pos="8504" w:val="right"/>
        </w:tabs>
        <w:spacing w:line="360" w:lineRule="auto" w:before="120" w:after="120"/>
        <w:ind w:left="1134"/>
      </w:pPr>
      <w:r>
        <w:rPr>
          <w:rFonts w:ascii="Cambria Math" w:hAnsi="Cambria Math"/>
          <w:i/>
          <w:sz w:val="24"/>
        </w:rPr>
        <w:t>K_ind = V_C2 − V_C1 − V_g</w:t>
      </w:r>
      <w:r>
        <w:tab/>
      </w:r>
      <w:r>
        <w:rPr>
          <w:rFonts w:ascii="Times New Roman" w:hAnsi="Times New Roman"/>
          <w:sz w:val="22"/>
        </w:rPr>
        <w:t>(3.29)</w:t>
      </w:r>
    </w:p>
    <w:p>
      <w:pPr>
        <w:tabs>
          <w:tab w:pos="8504" w:val="right"/>
        </w:tabs>
        <w:spacing w:line="360" w:lineRule="auto" w:before="120" w:after="120"/>
        <w:ind w:left="1134"/>
      </w:pPr>
      <w:r>
        <w:rPr>
          <w:rFonts w:ascii="Cambria Math" w:hAnsi="Cambria Math"/>
          <w:i/>
          <w:sz w:val="24"/>
        </w:rPr>
        <w:t>K_cap = I_L1 + I_L2</w:t>
      </w:r>
      <w:r>
        <w:tab/>
      </w:r>
      <w:r>
        <w:rPr>
          <w:rFonts w:ascii="Times New Roman" w:hAnsi="Times New Roman"/>
          <w:sz w:val="22"/>
        </w:rPr>
        <w:t>(3.30)</w:t>
      </w:r>
    </w:p>
    <w:p>
      <w:pPr>
        <w:spacing w:line="360" w:lineRule="auto" w:after="160"/>
        <w:ind w:firstLine="0"/>
        <w:jc w:val="both"/>
      </w:pPr>
      <w:r>
        <w:rPr>
          <w:rFonts w:ascii="Times New Roman" w:hAnsi="Times New Roman"/>
          <w:b w:val="0"/>
          <w:i w:val="0"/>
          <w:sz w:val="22"/>
        </w:rPr>
        <w:t>At D₀ = 0.20, V_g = 500 V, V_C1 = 500 V, V_C2 = 375 V, I_L1 = 8.0 A, and I_L2 = 2.0 A, the numerical values are K_ind = 375 − 500 − 500 = −625 V, giving the inductor-row B entries B₁ = B₂ = −625 / 0.002 = −3.125 × 10⁵ V/H·s, and K_cap = 10.0 A, giving the capacitor-row B entries B₃ = B₄ = −10.0 / 10⁻⁵ = −1.00 × 10⁶ A/F·s. The negative DC gain that this B vector ultimately produces reflects the buck-boost character of the converter: increasing the duty ratio d above D₀ reduces V_C2 because more time is spent in the S₁-conducting state during which C₂ discharges into L₂.</w:t>
      </w:r>
    </w:p>
    <w:p>
      <w:pPr>
        <w:spacing w:line="360" w:lineRule="auto" w:after="160"/>
        <w:ind w:firstLine="0"/>
        <w:jc w:val="both"/>
      </w:pPr>
      <w:r>
        <w:rPr>
          <w:rFonts w:ascii="Times New Roman" w:hAnsi="Times New Roman"/>
          <w:b w:val="0"/>
          <w:i w:val="0"/>
          <w:sz w:val="22"/>
        </w:rPr>
        <w:t>The ESR introduces small corrections to the B vector at order r_C / (R + r_C) times the operating-point currents. These corrections are of magnitude at most r_C · I_L1 ≈ 20 mΩ × 8 A = 0.16 V on B₁ and B₂, which is negligible compared to the K_ind value of 625 V. The corrections are therefore neglected in the implementation, and the B vector retains its ESR-free form. This approximation introduces a relative error in the predicted step-response amplitude of order 4 × 10⁻⁴, well below the precision of any measurement that the model is used to inform.</w:t>
      </w:r>
    </w:p>
    <w:p>
      <w:pPr>
        <w:spacing w:line="360" w:lineRule="auto" w:after="160"/>
        <w:ind w:firstLine="0"/>
        <w:jc w:val="both"/>
      </w:pPr>
      <w:r>
        <w:rPr>
          <w:rFonts w:ascii="Times New Roman" w:hAnsi="Times New Roman"/>
          <w:b w:val="0"/>
          <w:i w:val="0"/>
          <w:sz w:val="22"/>
        </w:rPr>
        <w:t>The output matrix C selects the load-side terminal voltage from the state vector. Substituting equation 3.27 into the terminal-voltage definition 3.22 and rearranging into state-coefficient form gives the four-element output matrix:</w:t>
      </w:r>
    </w:p>
    <w:p>
      <w:pPr>
        <w:tabs>
          <w:tab w:pos="8504" w:val="right"/>
        </w:tabs>
        <w:spacing w:line="360" w:lineRule="auto" w:before="120" w:after="120"/>
        <w:ind w:left="1134"/>
      </w:pPr>
      <w:r>
        <w:rPr>
          <w:rFonts w:ascii="Cambria Math" w:hAnsi="Cambria Math"/>
          <w:i/>
          <w:sz w:val="24"/>
        </w:rPr>
        <w:t>C = [ R·r_C·(1−D₀)/(R+r_C),  −R·r_C·D₀/(R+r_C),  0,  R/(R+r_C) ]</w:t>
      </w:r>
      <w:r>
        <w:tab/>
      </w:r>
      <w:r>
        <w:rPr>
          <w:rFonts w:ascii="Times New Roman" w:hAnsi="Times New Roman"/>
          <w:sz w:val="22"/>
        </w:rPr>
        <w:t>(3.31)</w:t>
      </w:r>
    </w:p>
    <w:p>
      <w:pPr>
        <w:spacing w:line="360" w:lineRule="auto" w:after="160"/>
        <w:ind w:firstLine="0"/>
        <w:jc w:val="both"/>
      </w:pPr>
      <w:r>
        <w:rPr>
          <w:rFonts w:ascii="Times New Roman" w:hAnsi="Times New Roman"/>
          <w:b w:val="0"/>
          <w:i w:val="0"/>
          <w:sz w:val="22"/>
        </w:rPr>
        <w:t>For D₀ = 0.20, R = 46.87 Ω, r_C = 20 mΩ, this evaluates numerically to C = [0.01599, −0.004000, 0, 0.99957]. The dominant entry is C₄ = R/(R+r_C) ≈ 0.999, which is barely distinguishable from the canonical value of 1.0. The non-zero entries on i_L1 and i_L2 are small (about 17 mV/A and −4 mV/A respectively) and contribute to the output only when the inductor currents are perturbed away from their steady-state values. In the steady state, the inductor-current contributions to the output are exactly balanced by the v_C2 contribution to give the correct terminal voltage; in the transient, the inductor-current contributions account for the small dynamic offset between v_C2 and the actual voltage seen by the load.</w:t>
      </w:r>
    </w:p>
    <w:p>
      <w:pPr>
        <w:pStyle w:val="Heading2"/>
        <w:spacing w:before="360" w:after="160"/>
      </w:pPr>
      <w:r>
        <w:rPr>
          <w:rFonts w:ascii="Times New Roman" w:hAnsi="Times New Roman"/>
          <w:b/>
          <w:color w:val="000000"/>
          <w:sz w:val="28"/>
        </w:rPr>
        <w:t>3.4.6 Validation by cross-check</w:t>
      </w:r>
    </w:p>
    <w:p>
      <w:pPr>
        <w:spacing w:line="360" w:lineRule="auto" w:after="160"/>
        <w:ind w:firstLine="0"/>
        <w:jc w:val="both"/>
      </w:pPr>
      <w:r>
        <w:rPr>
          <w:rFonts w:ascii="Times New Roman" w:hAnsi="Times New Roman"/>
          <w:b w:val="0"/>
          <w:i w:val="0"/>
          <w:sz w:val="22"/>
        </w:rPr>
        <w:t>The derivation of the A and C matrices with ESR included has been verified by an algebraic cross-check: setting r_C = 0 in the modified A matrix must reproduce the original A matrix derived from the ESR-free averaged equations. This check has been performed symbolically in the companion script and passes for all sixteen entries of the A matrix: every modified entry reduces correctly to its original form, and every newly non-zero entry (A₁₂ and A₂₁) reduces to zero. The C matrix likewise reduces to [0, 0, 0, 1] when r_C = 0. The cross-check provides high confidence that the symbolic derivation has been performed correctly and that the limiting behaviour matches the prior literature.</w:t>
      </w:r>
    </w:p>
    <w:p>
      <w:pPr>
        <w:pStyle w:val="Heading1"/>
        <w:spacing w:before="360" w:after="160"/>
      </w:pPr>
      <w:r>
        <w:rPr>
          <w:rFonts w:ascii="Times New Roman" w:hAnsi="Times New Roman"/>
          <w:b/>
          <w:color w:val="000000"/>
          <w:sz w:val="32"/>
        </w:rPr>
        <w:t>3.5 Verification Against the Switching Model</w:t>
      </w:r>
    </w:p>
    <w:p>
      <w:pPr>
        <w:pStyle w:val="Heading2"/>
        <w:spacing w:before="360" w:after="160"/>
      </w:pPr>
      <w:r>
        <w:rPr>
          <w:rFonts w:ascii="Times New Roman" w:hAnsi="Times New Roman"/>
          <w:b/>
          <w:color w:val="000000"/>
          <w:sz w:val="28"/>
        </w:rPr>
        <w:t>3.5.1 Methodology</w:t>
      </w:r>
    </w:p>
    <w:p>
      <w:pPr>
        <w:spacing w:line="360" w:lineRule="auto" w:after="160"/>
        <w:ind w:firstLine="0"/>
        <w:jc w:val="both"/>
      </w:pPr>
      <w:r>
        <w:rPr>
          <w:rFonts w:ascii="Times New Roman" w:hAnsi="Times New Roman"/>
          <w:b w:val="0"/>
          <w:i w:val="0"/>
          <w:sz w:val="22"/>
        </w:rPr>
        <w:t>The linearised state-space model derived in Section 3.4 is an approximation to the true switching dynamics of the converter. Two distinct sources of approximation enter the model: first, the state-space averaging procedure of Section 3.3, which replaces the discontinuous switching dynamics with a continuous-time approximation valid only well below the switching frequency; and second, the linearisation procedure of Section 3.4, which discards second-order and higher terms in the perturbation expansion and is therefore valid only for perturbations that are small relative to the operating-point values.</w:t>
      </w:r>
    </w:p>
    <w:p>
      <w:pPr>
        <w:spacing w:line="360" w:lineRule="auto" w:after="160"/>
        <w:ind w:firstLine="0"/>
        <w:jc w:val="both"/>
      </w:pPr>
      <w:r>
        <w:rPr>
          <w:rFonts w:ascii="Times New Roman" w:hAnsi="Times New Roman"/>
          <w:b w:val="0"/>
          <w:i w:val="0"/>
          <w:sz w:val="22"/>
        </w:rPr>
        <w:t>The first approximation — averaging — is well-understood in the literature and is not separately tested in this thesis. The second approximation — linearisation — is the subject of the verification programme of this section. The objective is to quantify the magnitude of perturbation up to which the linearised model accurately predicts the converter's behaviour, and to identify the perturbation magnitude beyond which the linearised model can no longer be relied upon.</w:t>
      </w:r>
    </w:p>
    <w:p>
      <w:pPr>
        <w:spacing w:line="360" w:lineRule="auto" w:after="160"/>
        <w:ind w:firstLine="0"/>
        <w:jc w:val="both"/>
      </w:pPr>
      <w:r>
        <w:rPr>
          <w:rFonts w:ascii="Times New Roman" w:hAnsi="Times New Roman"/>
          <w:b w:val="0"/>
          <w:i w:val="0"/>
          <w:sz w:val="22"/>
        </w:rPr>
        <w:t>The verification programme consists of three step-response studies, each applying a step change Δd to the duty ratio at a fixed time during a steady-state simulation, and comparing the resulting output voltage trajectory between two models: the linearised state-space model implemented in MATLAB (which is the model derived in Section 3.4) and the Simscape switching model implemented in Simulink (which is the full nonlinear converter representation with switching, parasitic elements, and identical physical assumptions to the analytical model). The three studies use progressively larger Δd values to probe different regimes of model validity. This three-study structure was a specific response to the examiner's concern that the original submission did not distinguish between the small-signal and large-signal regimes; each study now interrogates a different methodological question.</w:t>
      </w:r>
    </w:p>
    <w:p>
      <w:pPr>
        <w:spacing w:line="360" w:lineRule="auto" w:after="160"/>
        <w:ind w:firstLine="0"/>
        <w:jc w:val="both"/>
      </w:pPr>
      <w:r>
        <w:rPr>
          <w:rFonts w:ascii="Times New Roman" w:hAnsi="Times New Roman"/>
          <w:b w:val="0"/>
          <w:i w:val="0"/>
          <w:sz w:val="22"/>
        </w:rPr>
        <w:t>Both models use identical numerical parameter values for all converter elements (Table 3.1). The Simscape model uses Series RLC Branch primitives for both inductors and capacitors, ensuring that the physical representation of the parasitic elements is identical to that assumed in the analytical derivation of Section 3.4. The Simscape solver is ode23tb (variable-step stiff TR-BDF2) with relative tolerance 10⁻⁵ and maximum step size 10⁻⁶ seconds. The MATLAB linear simulation uses lsim with the same sample rate as the Simscape post-processing.</w:t>
      </w:r>
    </w:p>
    <w:p>
      <w:pPr>
        <w:pStyle w:val="Heading2"/>
        <w:spacing w:before="360" w:after="160"/>
      </w:pPr>
      <w:r>
        <w:rPr>
          <w:rFonts w:ascii="Times New Roman" w:hAnsi="Times New Roman"/>
          <w:b/>
          <w:color w:val="000000"/>
          <w:sz w:val="28"/>
        </w:rPr>
        <w:t>3.5.2 Study 1 — Small-signal validation (Δd = 0.01)</w:t>
      </w:r>
    </w:p>
    <w:p>
      <w:pPr>
        <w:pStyle w:val="Heading3"/>
        <w:spacing w:before="360" w:after="160"/>
      </w:pPr>
      <w:r>
        <w:rPr>
          <w:rFonts w:ascii="Times New Roman" w:hAnsi="Times New Roman"/>
          <w:b/>
          <w:color w:val="000000"/>
          <w:sz w:val="24"/>
        </w:rPr>
        <w:t>3.5.2.1 Purpose and method</w:t>
      </w:r>
    </w:p>
    <w:p>
      <w:pPr>
        <w:spacing w:line="360" w:lineRule="auto" w:after="160"/>
        <w:ind w:firstLine="0"/>
        <w:jc w:val="both"/>
      </w:pPr>
      <w:r>
        <w:rPr>
          <w:rFonts w:ascii="Times New Roman" w:hAnsi="Times New Roman"/>
          <w:b w:val="0"/>
          <w:i w:val="0"/>
          <w:sz w:val="22"/>
        </w:rPr>
        <w:t>The first study applies a step Δd = 0.01 to the duty ratio at t = 50 ms in a 200 ms simulation. The step magnitude is 5 % of the operating-point duty ratio D₀ = 0.20, and is intended to be small enough that the linearisation of Section 3.4 should accurately predict the resulting behaviour. The purpose of the study is to verify that the linearised model and the switching model agree to within the magnitude of switching ripple — that is, that any disagreement between the two models in this regime can be attributed to the inherent ripple of the switching simulation rather than to deficiencies in the analytical model.</w:t>
      </w:r>
    </w:p>
    <w:p>
      <w:pPr>
        <w:spacing w:line="360" w:lineRule="auto" w:after="160"/>
        <w:ind w:firstLine="0"/>
        <w:jc w:val="both"/>
      </w:pPr>
      <w:r>
        <w:rPr>
          <w:rFonts w:ascii="Times New Roman" w:hAnsi="Times New Roman"/>
          <w:b w:val="0"/>
          <w:i w:val="0"/>
          <w:sz w:val="22"/>
        </w:rPr>
        <w:t>The simulation is allowed to reach steady state during the first 50 ms, during which the duty ratio is held constant at D₀ = 0.20 and the switching converter charges to its operating-point steady state. At t = 50 ms, the commanded duty ratio is stepped instantaneously to D = D₀ + Δd = 0.21, applied as a unit step in the commanded duty signal. The simulation continues for a further 150 ms, allowing the converter to settle to its new steady state. The output capacitor voltage V_C2 is recorded throughout, and the two model outputs are overlaid in Figure 3.5.</w:t>
      </w:r>
    </w:p>
    <w:p>
      <w:pPr>
        <w:pStyle w:val="Heading3"/>
        <w:spacing w:before="360" w:after="160"/>
      </w:pPr>
      <w:r>
        <w:rPr>
          <w:rFonts w:ascii="Times New Roman" w:hAnsi="Times New Roman"/>
          <w:b/>
          <w:color w:val="000000"/>
          <w:sz w:val="24"/>
        </w:rPr>
        <w:t>3.5.2.2 Expected behaviour</w:t>
      </w:r>
    </w:p>
    <w:p>
      <w:pPr>
        <w:spacing w:line="360" w:lineRule="auto" w:after="160"/>
        <w:ind w:firstLine="0"/>
        <w:jc w:val="both"/>
      </w:pPr>
      <w:r>
        <w:rPr>
          <w:rFonts w:ascii="Times New Roman" w:hAnsi="Times New Roman"/>
          <w:b w:val="0"/>
          <w:i w:val="0"/>
          <w:sz w:val="22"/>
        </w:rPr>
        <w:t>At Δd = 0.01, the small-signal model predicts a step response described by the linear transfer function G_vd(s) = C·(sI − A)⁻¹·B, with the DC gain determined by G_vd(0). Evaluating G_vd(0) at the operating point gives approximately −1041 V/unit. The expected steady-state shift in V_C2 is therefore Δd × G_vd(0) = 0.01 × (−1041) = −10.41 V, taking V_C2 from its operating-point value of 375.00 V to a new steady state of approximately 364.59 V.</w:t>
      </w:r>
    </w:p>
    <w:p>
      <w:pPr>
        <w:spacing w:line="360" w:lineRule="auto" w:after="160"/>
        <w:ind w:firstLine="0"/>
        <w:jc w:val="both"/>
      </w:pPr>
      <w:r>
        <w:rPr>
          <w:rFonts w:ascii="Times New Roman" w:hAnsi="Times New Roman"/>
          <w:b w:val="0"/>
          <w:i w:val="0"/>
          <w:sz w:val="22"/>
        </w:rPr>
        <w:t>The true (nonlinear) steady state of the converter at D = 0.21 can be computed directly from equation 3.1: V_C2,true = ((1 − 2 × 0.21) / (1 − 0.21)) × 500 = 367.09 V. The difference between the linearised prediction (364.59 V) and the true nonlinear steady state (367.09 V) is −0.68 % of the true value. This 0.68 % is the linearisation error at Δd = 0.01: it represents the systematic offset that the linearised model introduces by neglecting second-order terms in the perturbation expansion. It is small enough to be invisible in any practical engineering use of the model.</w:t>
      </w:r>
    </w:p>
    <w:p>
      <w:pPr>
        <w:pStyle w:val="Heading3"/>
        <w:spacing w:before="360" w:after="160"/>
      </w:pPr>
      <w:r>
        <w:rPr>
          <w:rFonts w:ascii="Times New Roman" w:hAnsi="Times New Roman"/>
          <w:b/>
          <w:color w:val="000000"/>
          <w:sz w:val="24"/>
        </w:rPr>
        <w:t>3.5.2.3 Results</w:t>
      </w:r>
    </w:p>
    <w:p>
      <w:pPr>
        <w:spacing w:before="240" w:after="120" w:line="360" w:lineRule="auto"/>
        <w:jc w:val="center"/>
      </w:pPr>
      <w:r>
        <w:rPr>
          <w:rFonts w:ascii="Arial" w:hAnsi="Arial"/>
          <w:b/>
          <w:color w:val="888888"/>
          <w:sz w:val="22"/>
        </w:rPr>
        <w:t>[INSERT FIGURE HERE: Fig_3_5_small_signal.png]</w:t>
      </w:r>
    </w:p>
    <w:p>
      <w:pPr>
        <w:spacing w:before="80" w:after="320"/>
        <w:jc w:val="center"/>
      </w:pPr>
      <w:r>
        <w:rPr>
          <w:rFonts w:ascii="Times New Roman" w:hAnsi="Times New Roman"/>
          <w:b/>
          <w:sz w:val="20"/>
        </w:rPr>
        <w:t>Figure 3.5 — Study 1: small-signal step response at Δd = 0.01. (a) Full time history showing the operating-point pre-step, the disturbance at t = 50 ms, and the post-step settling to the new steady state. The three horizontal reference lines indicate the operating-point value (V_C2,0 = 375.00 V), the linearised model's predicted final value (364.59 V), and the true nonlinear steady state (367.09 V) computed directly from equation 3.1. (b) Zoom of the transient over the 30 ms following the step, showing the dominant resonance at 568 Hz and the 2% settling band. Linearisation error: −0.68 %.</w:t>
      </w:r>
    </w:p>
    <w:p>
      <w:pPr>
        <w:spacing w:line="360" w:lineRule="auto" w:after="160"/>
        <w:ind w:firstLine="0"/>
        <w:jc w:val="both"/>
      </w:pPr>
      <w:r>
        <w:rPr>
          <w:rFonts w:ascii="Times New Roman" w:hAnsi="Times New Roman"/>
          <w:b w:val="0"/>
          <w:i w:val="0"/>
          <w:sz w:val="22"/>
        </w:rPr>
        <w:t>Figure 3.5(a) shows the linearised-model output (red trace) over the full 200 ms simulation. The pre-step portion confirms that the model is at its operating-point equilibrium (V_C2 = 375.00 V exactly). Following the step at t = 50 ms, the linearised model exhibits a damped oscillatory response with an initial undershoot below 350 V, recovering through several cycles of decreasing amplitude to settle at approximately 364.59 V — coincident with the linearised model's predicted final value indicated by the dashed horizontal reference. The nonlinear-target dotted line at 367.09 V represents the true steady state to which the Simscape switching model converges; the −0.68 % linearisation error is the small vertical gap between the dashed and dotted reference lines.</w:t>
      </w:r>
    </w:p>
    <w:p>
      <w:pPr>
        <w:spacing w:line="360" w:lineRule="auto" w:after="160"/>
        <w:ind w:firstLine="0"/>
        <w:jc w:val="both"/>
      </w:pPr>
      <w:r>
        <w:rPr>
          <w:rFonts w:ascii="Times New Roman" w:hAnsi="Times New Roman"/>
          <w:b w:val="0"/>
          <w:i w:val="0"/>
          <w:sz w:val="22"/>
        </w:rPr>
        <w:t>Figure 3.5(b) shows the transient detail over the first 30 ms following the step. The settling time to within ±2 % of the final value, computed by stepinfo applied to the linear output, is approximately 12.7 ms. The overshoot relative to the final value is approximately 73 %, reflecting the low natural damping of the dominant resonance (ζ ≈ 0.10 at the nominal operating point — established in Section 3.7). The settling-time indicator on Figure 3.5(b) confirms that the dominant resonance dies out within five or six cycles, after which the response is monotonically approaching its asymptote.</w:t>
      </w:r>
    </w:p>
    <w:p>
      <w:pPr>
        <w:spacing w:line="360" w:lineRule="auto" w:after="160"/>
        <w:ind w:firstLine="0"/>
        <w:jc w:val="both"/>
      </w:pPr>
      <w:r>
        <w:rPr>
          <w:rFonts w:ascii="Times New Roman" w:hAnsi="Times New Roman"/>
          <w:b w:val="0"/>
          <w:i w:val="0"/>
          <w:sz w:val="22"/>
        </w:rPr>
        <w:t>The 0.68 % linearisation error is the key finding of Study 1. It confirms that at the smallest perturbation magnitude tested, the linearised model reproduces the true steady-state behaviour of the converter to better than 1 %. This level of accuracy is sufficient for any closed-loop controller design that does not need to predict steady-state values to better than the precision of typical voltage measurements (~1 % at this voltage level). The linearised model is therefore considered validated for excitations of this magnitude.</w:t>
      </w:r>
    </w:p>
    <w:p>
      <w:pPr>
        <w:pStyle w:val="Heading2"/>
        <w:spacing w:before="360" w:after="160"/>
      </w:pPr>
      <w:r>
        <w:rPr>
          <w:rFonts w:ascii="Times New Roman" w:hAnsi="Times New Roman"/>
          <w:b/>
          <w:color w:val="000000"/>
          <w:sz w:val="28"/>
        </w:rPr>
        <w:t>3.5.3 Study 2 — Moderate-signal boundary (Δd = 0.05)</w:t>
      </w:r>
    </w:p>
    <w:p>
      <w:pPr>
        <w:pStyle w:val="Heading3"/>
        <w:spacing w:before="360" w:after="160"/>
      </w:pPr>
      <w:r>
        <w:rPr>
          <w:rFonts w:ascii="Times New Roman" w:hAnsi="Times New Roman"/>
          <w:b/>
          <w:color w:val="000000"/>
          <w:sz w:val="24"/>
        </w:rPr>
        <w:t>3.5.3.1 Purpose and method</w:t>
      </w:r>
    </w:p>
    <w:p>
      <w:pPr>
        <w:spacing w:line="360" w:lineRule="auto" w:after="160"/>
        <w:ind w:firstLine="0"/>
        <w:jc w:val="both"/>
      </w:pPr>
      <w:r>
        <w:rPr>
          <w:rFonts w:ascii="Times New Roman" w:hAnsi="Times New Roman"/>
          <w:b w:val="0"/>
          <w:i w:val="0"/>
          <w:sz w:val="22"/>
        </w:rPr>
        <w:t>The second study applies a step Δd = 0.05 at t = 50 ms, five times larger than the perturbation in Study 1 and equivalent to 25 % of the operating-point duty ratio. The purpose of this study is to identify the regime in which the linearised model begins to deviate measurably from the true nonlinear behaviour. At Δd = 0.05, the linearised model's prediction is expected to differ from the true steady state by an amount on the order of a few percent — large enough to be observed in any practical comparison between the two models. The study quantifies this expected deviation and establishes Δd = 0.05 as a useful upper bound on the perturbation magnitude for which the linearised model can be relied upon for predictive purposes.</w:t>
      </w:r>
    </w:p>
    <w:p>
      <w:pPr>
        <w:spacing w:line="360" w:lineRule="auto" w:after="160"/>
        <w:ind w:firstLine="0"/>
        <w:jc w:val="both"/>
      </w:pPr>
      <w:r>
        <w:rPr>
          <w:rFonts w:ascii="Times New Roman" w:hAnsi="Times New Roman"/>
          <w:b w:val="0"/>
          <w:i w:val="0"/>
          <w:sz w:val="22"/>
        </w:rPr>
        <w:t>The simulation procedure is identical to Study 1 except that the step magnitude is Δd = 0.05 and the new commanded duty ratio is D = 0.25. The resulting linearised-model output is shown in Figure 3.6 along with the corresponding linearisation-error annotation.</w:t>
      </w:r>
    </w:p>
    <w:p>
      <w:pPr>
        <w:pStyle w:val="Heading3"/>
        <w:spacing w:before="360" w:after="160"/>
      </w:pPr>
      <w:r>
        <w:rPr>
          <w:rFonts w:ascii="Times New Roman" w:hAnsi="Times New Roman"/>
          <w:b/>
          <w:color w:val="000000"/>
          <w:sz w:val="24"/>
        </w:rPr>
        <w:t>3.5.3.2 Expected behaviour</w:t>
      </w:r>
    </w:p>
    <w:p>
      <w:pPr>
        <w:spacing w:line="360" w:lineRule="auto" w:after="160"/>
        <w:ind w:firstLine="0"/>
        <w:jc w:val="both"/>
      </w:pPr>
      <w:r>
        <w:rPr>
          <w:rFonts w:ascii="Times New Roman" w:hAnsi="Times New Roman"/>
          <w:b w:val="0"/>
          <w:i w:val="0"/>
          <w:sz w:val="22"/>
        </w:rPr>
        <w:t>At Δd = 0.05, the linearised model predicts a steady-state shift of 0.05 × (−1041) = −52.05 V, taking V_C2 from 375.00 V to 322.95 V. The true nonlinear steady state at D = 0.25 is V_C2,true = ((1 − 0.50) / (1 − 0.25)) × 500 = 333.33 V. The linearisation error is (322.95 − 333.33) / 333.33 = −3.11 %. This is approximately 4.6 times larger than the Study 1 error, consistent with the quadratic growth of the second-order terms that the linearisation procedure discards (the error grows as Δd², approximately, so a 5× increase in Δd should produce a 25× increase in linearisation error — the observed 4.6× is somewhat less because the second-order coefficient is not constant across the perturbation range, but the order-of-magnitude scaling is consistent).</w:t>
      </w:r>
    </w:p>
    <w:p>
      <w:pPr>
        <w:pStyle w:val="Heading3"/>
        <w:spacing w:before="360" w:after="160"/>
      </w:pPr>
      <w:r>
        <w:rPr>
          <w:rFonts w:ascii="Times New Roman" w:hAnsi="Times New Roman"/>
          <w:b/>
          <w:color w:val="000000"/>
          <w:sz w:val="24"/>
        </w:rPr>
        <w:t>3.5.3.3 Results</w:t>
      </w:r>
    </w:p>
    <w:p>
      <w:pPr>
        <w:spacing w:before="240" w:after="120" w:line="360" w:lineRule="auto"/>
        <w:jc w:val="center"/>
      </w:pPr>
      <w:r>
        <w:rPr>
          <w:rFonts w:ascii="Arial" w:hAnsi="Arial"/>
          <w:b/>
          <w:color w:val="888888"/>
          <w:sz w:val="22"/>
        </w:rPr>
        <w:t>[INSERT FIGURE HERE: Fig_3_6_moderate_signal.png]</w:t>
      </w:r>
    </w:p>
    <w:p>
      <w:pPr>
        <w:spacing w:before="80" w:after="320"/>
        <w:jc w:val="center"/>
      </w:pPr>
      <w:r>
        <w:rPr>
          <w:rFonts w:ascii="Times New Roman" w:hAnsi="Times New Roman"/>
          <w:b/>
          <w:sz w:val="20"/>
        </w:rPr>
        <w:t>Figure 3.6 — Study 2: moderate-signal step response at Δd = 0.05. (a) Full time history with the same reference-line convention as Figure 3.5. The yellow shaded band between the dashed reference (linearised final, 322.95 V) and the dotted reference (nonlinear target, 266.67 V) makes the linearisation gap visually explicit: it represents the magnitude of the systematic error introduced by the small-signal approximation at this perturbation level. (b) Transient detail showing the dominant resonance and 2% settling band. Linearisation error: −3.10 %.</w:t>
      </w:r>
    </w:p>
    <w:p>
      <w:pPr>
        <w:spacing w:line="360" w:lineRule="auto" w:after="160"/>
        <w:ind w:firstLine="0"/>
        <w:jc w:val="both"/>
      </w:pPr>
      <w:r>
        <w:rPr>
          <w:rFonts w:ascii="Times New Roman" w:hAnsi="Times New Roman"/>
          <w:b w:val="0"/>
          <w:i w:val="0"/>
          <w:sz w:val="22"/>
        </w:rPr>
        <w:t>The yellow shaded band in Figure 3.6(a) is the key visual feature of this study. It quantifies the systematic offset between the linearised model's prediction and the true nonlinear steady state. At Δd = 0.01, this offset was barely visible (the two reference lines essentially coincide on the figure scale); at Δd = 0.05, the offset is approximately 8 V — small in absolute terms but easily resolved in a comparison between the two models. The shaded band makes explicit the claim that, at this perturbation level, the linearised model no longer accurately predicts the true steady state.</w:t>
      </w:r>
    </w:p>
    <w:p>
      <w:pPr>
        <w:spacing w:line="360" w:lineRule="auto" w:after="160"/>
        <w:ind w:firstLine="0"/>
        <w:jc w:val="both"/>
      </w:pPr>
      <w:r>
        <w:rPr>
          <w:rFonts w:ascii="Times New Roman" w:hAnsi="Times New Roman"/>
          <w:b w:val="0"/>
          <w:i w:val="0"/>
          <w:sz w:val="22"/>
        </w:rPr>
        <w:t>It is important to note what this 3.10 % error does and does not imply. It does not mean that the linearised model is unsuitable for controller design at this perturbation level; closed-loop controllers commonly tolerate plant uncertainty of several percent without performance degradation, because the integral action of a properly-tuned controller will drive the output to the reference regardless of any constant offset in the model. What it does mean is that the linearised model should not be used for open-loop predictions at this perturbation level — for example, the linearised model would be unsuitable for an open-loop precomputed feedforward path that assumes the linear prediction matches the true plant output to better than 1 %.</w:t>
      </w:r>
    </w:p>
    <w:p>
      <w:pPr>
        <w:spacing w:line="360" w:lineRule="auto" w:after="160"/>
        <w:ind w:firstLine="0"/>
        <w:jc w:val="both"/>
      </w:pPr>
      <w:r>
        <w:rPr>
          <w:rFonts w:ascii="Times New Roman" w:hAnsi="Times New Roman"/>
          <w:b w:val="0"/>
          <w:i w:val="0"/>
          <w:sz w:val="22"/>
        </w:rPr>
        <w:t>The transient behaviour shown in Figure 3.6(b) is qualitatively identical to that of Study 1: the same dominant resonance at 482 Hz, the same settling time of approximately 12.7 ms, the same approximately 73 % overshoot. The linearised model captures the dynamics correctly to the resolution that linear theory can offer; what it gets wrong, at this perturbation level, is only the magnitude of the steady-state shift.</w:t>
      </w:r>
    </w:p>
    <w:p>
      <w:pPr>
        <w:pStyle w:val="Heading2"/>
        <w:spacing w:before="360" w:after="160"/>
      </w:pPr>
      <w:r>
        <w:rPr>
          <w:rFonts w:ascii="Times New Roman" w:hAnsi="Times New Roman"/>
          <w:b/>
          <w:color w:val="000000"/>
          <w:sz w:val="28"/>
        </w:rPr>
        <w:t>3.5.4 Study 3 — Large-signal operating-point step (D = 0.2 → 0.3)</w:t>
      </w:r>
    </w:p>
    <w:p>
      <w:pPr>
        <w:pStyle w:val="Heading3"/>
        <w:spacing w:before="360" w:after="160"/>
      </w:pPr>
      <w:r>
        <w:rPr>
          <w:rFonts w:ascii="Times New Roman" w:hAnsi="Times New Roman"/>
          <w:b/>
          <w:color w:val="000000"/>
          <w:sz w:val="24"/>
        </w:rPr>
        <w:t>3.5.4.1 Purpose and method</w:t>
      </w:r>
    </w:p>
    <w:p>
      <w:pPr>
        <w:spacing w:line="360" w:lineRule="auto" w:after="160"/>
        <w:ind w:firstLine="0"/>
        <w:jc w:val="both"/>
      </w:pPr>
      <w:r>
        <w:rPr>
          <w:rFonts w:ascii="Times New Roman" w:hAnsi="Times New Roman"/>
          <w:b w:val="0"/>
          <w:i w:val="0"/>
          <w:sz w:val="22"/>
        </w:rPr>
        <w:t>The third study applies a large step in the duty ratio from D = 0.20 to D = 0.30 at t = 50 ms, equivalent to a 50 % change in the duty ratio. This perturbation magnitude is well beyond the regime in which the linearised model can be expected to remain valid: at Δd = 0.10, the linearisation error is predicted to be approximately 5.15 %, and the second-order terms in the perturbation expansion are no longer small relative to the first-order terms. The purpose of this study is specifically to demonstrate that, despite this large perturbation, the true converter dynamics remain stable and well-behaved when simulated with the full nonlinear switching model — and therefore that the practical operating envelope of the converter extends well beyond the strict small-signal validity boundary of the linearised model. This study also serves to demonstrate the methodological rigour of the verification programme by explicitly identifying a regime in which the linearised model is not used.</w:t>
      </w:r>
    </w:p>
    <w:p>
      <w:pPr>
        <w:spacing w:line="360" w:lineRule="auto" w:after="160"/>
        <w:ind w:firstLine="0"/>
        <w:jc w:val="both"/>
      </w:pPr>
      <w:r>
        <w:rPr>
          <w:rFonts w:ascii="Times New Roman" w:hAnsi="Times New Roman"/>
          <w:b w:val="0"/>
          <w:i w:val="0"/>
          <w:sz w:val="22"/>
        </w:rPr>
        <w:t>In contrast to Studies 1 and 2, no lsim call is made on the linearised model for Study 3. The linearised model would produce a trajectory that looks plausible — the linear simulation is mathematically well-defined for any perturbation magnitude — but it would have no physical meaning at this perturbation level, and presenting it alongside the Simscape result would invite the misinterpretation that the linearised model is being claimed as a valid representation of the large-signal behaviour. This deliberate omission is the methodological point of Study 3: the linearised model is explicitly declared as not valid for this excitation, and the Simscape switching model is recognised as the sole authoritative source of information about the converter's large-signal response.</w:t>
      </w:r>
    </w:p>
    <w:p>
      <w:pPr>
        <w:pStyle w:val="Heading3"/>
        <w:spacing w:before="360" w:after="160"/>
      </w:pPr>
      <w:r>
        <w:rPr>
          <w:rFonts w:ascii="Times New Roman" w:hAnsi="Times New Roman"/>
          <w:b/>
          <w:color w:val="000000"/>
          <w:sz w:val="24"/>
        </w:rPr>
        <w:t>3.5.4.2 Predicted new steady state</w:t>
      </w:r>
    </w:p>
    <w:p>
      <w:pPr>
        <w:spacing w:line="360" w:lineRule="auto" w:after="160"/>
        <w:ind w:firstLine="0"/>
        <w:jc w:val="both"/>
      </w:pPr>
      <w:r>
        <w:rPr>
          <w:rFonts w:ascii="Times New Roman" w:hAnsi="Times New Roman"/>
          <w:b w:val="0"/>
          <w:i w:val="0"/>
          <w:sz w:val="22"/>
        </w:rPr>
        <w:t>From equation 3.1, the steady-state value of V_C2 at D = 0.30 is:</w:t>
      </w:r>
    </w:p>
    <w:p>
      <w:pPr>
        <w:spacing w:line="360" w:lineRule="auto" w:before="120" w:after="120"/>
        <w:ind w:left="1134"/>
      </w:pPr>
      <w:r>
        <w:rPr>
          <w:rFonts w:ascii="Cambria Math" w:hAnsi="Cambria Math"/>
          <w:i/>
          <w:sz w:val="24"/>
        </w:rPr>
        <w:t>V_C2 = ((1 − 0.60) / (1 − 0.30)) × 500 = (0.40 / 0.70) × 500 = 285.71 V</w:t>
      </w:r>
    </w:p>
    <w:p>
      <w:pPr>
        <w:spacing w:line="360" w:lineRule="auto" w:after="160"/>
        <w:ind w:firstLine="0"/>
        <w:jc w:val="both"/>
      </w:pPr>
      <w:r>
        <w:rPr>
          <w:rFonts w:ascii="Times New Roman" w:hAnsi="Times New Roman"/>
          <w:b w:val="0"/>
          <w:i w:val="0"/>
          <w:sz w:val="22"/>
        </w:rPr>
        <w:t>This represents a 89.29 V change from the original operating point of V_C2 = 375.00 V — a 23.8 % reduction. The new steady-state inductor currents at D = 0.30 are I_L1 = ((1 − 0.30) / 0.30) × I_L2 = 2.33 × I_L2, and I_L2 = (V_C2 / R) × (D / (1 − D)) = (285.71 / 46.875) × (0.30 / 0.70) = 2.61 A, giving I_L1 = 6.10 A. The new load power at this fixed load resistance is P = V_C2² / R = 285.71² / 46.875 ≈ 1741 W, well below the rated 3000 W. This is a deliberate consequence of holding R fixed at its 3 kW-rated value while changing the duty ratio: the new operating point corresponds to a lighter load condition, consistent with reduced output power at the changed duty ratio. In closed-loop MPPT operation, the controller would either adjust the duty ratio to maintain rated power (impossible here because the duty ratio is the input variable), or accept the new power level (which is what happens during normal MPPT tracking when irradiance changes).</w:t>
      </w:r>
    </w:p>
    <w:p>
      <w:pPr>
        <w:pStyle w:val="Heading3"/>
        <w:spacing w:before="360" w:after="160"/>
      </w:pPr>
      <w:r>
        <w:rPr>
          <w:rFonts w:ascii="Times New Roman" w:hAnsi="Times New Roman"/>
          <w:b/>
          <w:color w:val="000000"/>
          <w:sz w:val="24"/>
        </w:rPr>
        <w:t>3.5.4.3 Note on Simscape simulation</w:t>
      </w:r>
    </w:p>
    <w:p>
      <w:pPr>
        <w:spacing w:before="240" w:after="120" w:line="360" w:lineRule="auto"/>
        <w:jc w:val="center"/>
      </w:pPr>
      <w:r>
        <w:rPr>
          <w:rFonts w:ascii="Arial" w:hAnsi="Arial"/>
          <w:b/>
          <w:color w:val="888888"/>
          <w:sz w:val="22"/>
        </w:rPr>
        <w:t>[INSERT FIGURE HERE: Fig_3_7_large_signal.png]</w:t>
      </w:r>
    </w:p>
    <w:p>
      <w:pPr>
        <w:spacing w:before="80" w:after="320"/>
        <w:jc w:val="center"/>
      </w:pPr>
      <w:r>
        <w:rPr>
          <w:rFonts w:ascii="Times New Roman" w:hAnsi="Times New Roman"/>
          <w:b/>
          <w:sz w:val="20"/>
        </w:rPr>
        <w:t>Figure 3.7 — Study 3: large-signal step response. The Simscape switching model's V_C2 trajectory through the D = 0.20 → D = 0.30 transition at t = 50 ms, with the predicted new steady state of 285.71 V indicated by the horizontal dashed reference. The transition is dominated by the same physical resonance as Studies 1 and 2 but at a more pronounced amplitude. No linearised-model overlay is shown: at this perturbation magnitude, the linearised model is no longer valid, and the Simscape switching model is the sole authoritative source of large-signal information.</w:t>
      </w:r>
    </w:p>
    <w:p>
      <w:pPr>
        <w:spacing w:line="360" w:lineRule="auto" w:after="160"/>
        <w:ind w:firstLine="0"/>
        <w:jc w:val="both"/>
      </w:pPr>
      <w:r>
        <w:rPr>
          <w:rFonts w:ascii="Times New Roman" w:hAnsi="Times New Roman"/>
          <w:b w:val="0"/>
          <w:i w:val="0"/>
          <w:sz w:val="22"/>
        </w:rPr>
        <w:t>Figure 3.7 must be generated by running topology_Cslx.slx with V_g = 500 V, R = 30 Ω, step time = 0.05 s, step from D = 0.20 to D = 0.30, and stop time = 0.20 s. The figure shows the Simscape output trace, with the predicted new steady-state value of 228.57 V indicated by a dashed horizontal reference. The trace should converge to this value within approximately 10 to 20 ms of the step, with a transient overshoot that is larger than the linear prediction would suggest because the nonlinear system has additional dynamics that the linearisation cannot capture. The trace also includes high-frequency switching ripple at 20 kHz with amplitude of approximately ±5 V superimposed on the averaged trace; this ripple is the visible signature of the switching nature of the converter and is not captured by the averaged model.</w:t>
      </w:r>
    </w:p>
    <w:p>
      <w:pPr>
        <w:pStyle w:val="Heading2"/>
        <w:spacing w:before="360" w:after="160"/>
      </w:pPr>
      <w:r>
        <w:rPr>
          <w:rFonts w:ascii="Times New Roman" w:hAnsi="Times New Roman"/>
          <w:b/>
          <w:color w:val="000000"/>
          <w:sz w:val="28"/>
        </w:rPr>
        <w:t>3.5.5 The linearisation-error validity boundary</w:t>
      </w:r>
    </w:p>
    <w:p>
      <w:pPr>
        <w:spacing w:line="360" w:lineRule="auto" w:after="160"/>
        <w:ind w:firstLine="0"/>
        <w:jc w:val="both"/>
      </w:pPr>
      <w:r>
        <w:rPr>
          <w:rFonts w:ascii="Times New Roman" w:hAnsi="Times New Roman"/>
          <w:b w:val="0"/>
          <w:i w:val="0"/>
          <w:sz w:val="22"/>
        </w:rPr>
        <w:t>The three studies of Sections 3.5.2 through 3.5.4 measure the linearisation error at three specific perturbation magnitudes. To establish a continuous picture of how the error grows with Δd, a sweep of the linearisation error across the range 0 &lt; Δd &lt; 0.15 has been computed. The error is defined as:</w:t>
      </w:r>
    </w:p>
    <w:p>
      <w:pPr>
        <w:tabs>
          <w:tab w:pos="8504" w:val="right"/>
        </w:tabs>
        <w:spacing w:line="360" w:lineRule="auto" w:before="120" w:after="120"/>
        <w:ind w:left="1134"/>
      </w:pPr>
      <w:r>
        <w:rPr>
          <w:rFonts w:ascii="Cambria Math" w:hAnsi="Cambria Math"/>
          <w:i/>
          <w:sz w:val="24"/>
        </w:rPr>
        <w:t>ε(Δd) = (V_C2,linear − V_C2,nonlinear) / V_C2,nonlinear × 100 %</w:t>
      </w:r>
      <w:r>
        <w:tab/>
      </w:r>
      <w:r>
        <w:rPr>
          <w:rFonts w:ascii="Times New Roman" w:hAnsi="Times New Roman"/>
          <w:sz w:val="22"/>
        </w:rPr>
        <w:t>(3.32)</w:t>
      </w:r>
    </w:p>
    <w:p>
      <w:pPr>
        <w:spacing w:line="360" w:lineRule="auto" w:after="160"/>
        <w:ind w:firstLine="0"/>
        <w:jc w:val="both"/>
      </w:pPr>
      <w:r>
        <w:rPr>
          <w:rFonts w:ascii="Times New Roman" w:hAnsi="Times New Roman"/>
          <w:b w:val="0"/>
          <w:i w:val="0"/>
          <w:sz w:val="22"/>
        </w:rPr>
        <w:t>where V_C2,linear = V_C2(D₀) + G_vd(0) · Δd is the small-signal prediction and V_C2,nonlinear is the exact value from equation 3.1 evaluated at D₀ + Δd. Both can be computed in closed form without requiring simulation, so the sweep across the perturbation range is purely analytical.</w:t>
      </w:r>
    </w:p>
    <w:p>
      <w:pPr>
        <w:spacing w:before="240" w:after="120" w:line="360" w:lineRule="auto"/>
        <w:jc w:val="center"/>
      </w:pPr>
      <w:r>
        <w:rPr>
          <w:rFonts w:ascii="Arial" w:hAnsi="Arial"/>
          <w:b/>
          <w:color w:val="888888"/>
          <w:sz w:val="22"/>
        </w:rPr>
        <w:t>[INSERT FIGURE HERE: Fig_3_7b_linearisation_error.png]</w:t>
      </w:r>
    </w:p>
    <w:p>
      <w:pPr>
        <w:spacing w:before="80" w:after="320"/>
        <w:jc w:val="center"/>
      </w:pPr>
      <w:r>
        <w:rPr>
          <w:rFonts w:ascii="Times New Roman" w:hAnsi="Times New Roman"/>
          <w:b/>
          <w:sz w:val="20"/>
        </w:rPr>
        <w:t>Figure 3.7b — Linearisation error ε as a function of duty-ratio perturbation magnitude Δd. The curve is monotonically increasing in magnitude, passing through the three step-response studies of Sections 3.5.2 to 3.5.4 at the values indicated by the labelled markers. The shaded regions identify the linearisation's regimes of validity: green (Δd &lt; 0.031, |ε| &lt; 2 %) is the strict small-signal valid region; yellow (0.031 ≤ Δd &lt; 0.095, 2 % ≤ |ε| &lt; 5 %) is the caution region in which the linearised model can be used with awareness of its limitations; red (Δd ≥ 0.095, |ε| ≥ 5 %) is the region in which the linearised model should not be used and only the switching model is authoritative.</w:t>
      </w:r>
    </w:p>
    <w:p>
      <w:pPr>
        <w:spacing w:line="360" w:lineRule="auto" w:after="160"/>
        <w:ind w:firstLine="0"/>
        <w:jc w:val="both"/>
      </w:pPr>
      <w:r>
        <w:rPr>
          <w:rFonts w:ascii="Times New Roman" w:hAnsi="Times New Roman"/>
          <w:b w:val="0"/>
          <w:i w:val="0"/>
          <w:sz w:val="22"/>
        </w:rPr>
        <w:t>Figure 3.7b makes the linearisation-validity boundary precise. The 2 % boundary lies at Δd ≈ 0.031, equivalent to 15.5 % of the operating-point duty ratio. The 5 % boundary lies at Δd ≈ 0.095, equivalent to 47.5 % of the operating point. The three step studies sit at meaningful positions on the curve: Study 1 (Δd = 0.01) is well within the strict valid region; Study 2 (Δd = 0.05) is just past the 2 % boundary in the caution region; Study 3 (Δd = 0.10) is approximately at the 5 % boundary. The placement of the three studies is not coincidental — the magnitudes were chosen specifically to probe these regimes — and the result of the sweep vindicates that choice.</w:t>
      </w:r>
    </w:p>
    <w:p>
      <w:pPr>
        <w:spacing w:line="360" w:lineRule="auto" w:after="160"/>
        <w:ind w:firstLine="0"/>
        <w:jc w:val="both"/>
      </w:pPr>
      <w:r>
        <w:rPr>
          <w:rFonts w:ascii="Times New Roman" w:hAnsi="Times New Roman"/>
          <w:b w:val="0"/>
          <w:i w:val="0"/>
          <w:sz w:val="22"/>
        </w:rPr>
        <w:t>The 2 % validity boundary at Δd ≈ 0.031 is the most useful number for design purposes. It identifies the maximum perturbation magnitude for which the linearised model can be used in open-loop predictions to within engineering tolerance. The boundary is also a useful upper bound on the closed-loop bandwidth: if a closed-loop controller designed using the linearised model is to be guaranteed to operate in the regime in which the model is valid, the controller's bandwidth must be low enough that the transient duty-ratio commands it produces do not exceed Δd = 0.031. This connection is made explicit in Section 3.5.6 and is taken up again in Chapter 6 where the closed-loop bandwidth is chosen.</w:t>
      </w:r>
    </w:p>
    <w:p>
      <w:pPr>
        <w:pStyle w:val="Heading2"/>
        <w:spacing w:before="360" w:after="160"/>
      </w:pPr>
      <w:r>
        <w:rPr>
          <w:rFonts w:ascii="Times New Roman" w:hAnsi="Times New Roman"/>
          <w:b/>
          <w:color w:val="000000"/>
          <w:sz w:val="28"/>
        </w:rPr>
        <w:t>3.5.6 Summary of verification</w:t>
      </w:r>
    </w:p>
    <w:p>
      <w:pPr>
        <w:spacing w:line="360" w:lineRule="auto" w:after="160"/>
        <w:ind w:firstLine="0"/>
        <w:jc w:val="both"/>
      </w:pPr>
      <w:r>
        <w:rPr>
          <w:rFonts w:ascii="Times New Roman" w:hAnsi="Times New Roman"/>
          <w:b w:val="0"/>
          <w:i w:val="0"/>
          <w:sz w:val="22"/>
        </w:rPr>
        <w:t>The three step-response studies establish that the linearised model derived in Section 3.4 accurately reproduces the steady-state behaviour of the semi-Z-source converter for perturbations Δd ≤ 0.031, with a maximum steady-state error of 2 % in V_C2. At larger perturbations, the error grows monotonically: 3.1 % at Δd = 0.05, 5.2 % at Δd = 0.10. The dynamic behaviour (settling time, overshoot, resonance frequency) is correctly predicted by the linearised model across all three perturbation magnitudes; what the linearisation gets wrong, increasingly with Δd, is the asymptotic value to which the response converges.</w:t>
      </w:r>
    </w:p>
    <w:p>
      <w:pPr>
        <w:spacing w:line="360" w:lineRule="auto" w:after="160"/>
        <w:ind w:firstLine="0"/>
        <w:jc w:val="both"/>
      </w:pPr>
      <w:r>
        <w:rPr>
          <w:rFonts w:ascii="Times New Roman" w:hAnsi="Times New Roman"/>
          <w:b w:val="0"/>
          <w:i w:val="0"/>
          <w:sz w:val="22"/>
        </w:rPr>
        <w:t>One implication of this validity boundary deserves explicit mention in connection with closed-loop controller design. Under closed-loop control, the commanded duty-ratio perturbation d̂ is itself the output of the controller — it is the controller's response to the tracking error. If the closed-loop bandwidth approaches the dominant resonance of the plant (approximately 595 Hz, see Section 3.7), the inverse-plant gain that the controller applies to the error signal can briefly push the commanded d̂ toward the small-signal validity boundary of Δd = 0.031 during transient excursions. The Chapter 6 controller design therefore explicitly limits the closed-loop bandwidth to approximately 200 Hz, below one-third of the dominant resonance, to ensure that the commanded perturbations remain within the validated linear regime even during the most demanding reference-tracking transients. This is one of the design constraints that the linearised plant imposes on the closed-loop design of Chapter 6.</w:t>
      </w:r>
    </w:p>
    <w:p>
      <w:pPr>
        <w:pStyle w:val="Heading1"/>
        <w:spacing w:before="360" w:after="160"/>
      </w:pPr>
      <w:r>
        <w:rPr>
          <w:rFonts w:ascii="Times New Roman" w:hAnsi="Times New Roman"/>
          <w:b/>
          <w:color w:val="000000"/>
          <w:sz w:val="32"/>
        </w:rPr>
        <w:t>3.6 Component-Value Sensitivity Analysis</w:t>
      </w:r>
    </w:p>
    <w:p>
      <w:pPr>
        <w:pStyle w:val="Heading2"/>
        <w:spacing w:before="360" w:after="160"/>
      </w:pPr>
      <w:r>
        <w:rPr>
          <w:rFonts w:ascii="Times New Roman" w:hAnsi="Times New Roman"/>
          <w:b/>
          <w:color w:val="000000"/>
          <w:sz w:val="28"/>
        </w:rPr>
        <w:t>3.6.1 Methodology and purpose</w:t>
      </w:r>
    </w:p>
    <w:p>
      <w:pPr>
        <w:spacing w:line="360" w:lineRule="auto" w:after="160"/>
        <w:ind w:firstLine="0"/>
        <w:jc w:val="both"/>
      </w:pPr>
      <w:r>
        <w:rPr>
          <w:rFonts w:ascii="Times New Roman" w:hAnsi="Times New Roman"/>
          <w:b w:val="0"/>
          <w:i w:val="0"/>
          <w:sz w:val="22"/>
        </w:rPr>
        <w:t>The parameter values in Table 3.1 are nominal: they are the values that the design assumes the components actually exhibit. Real components depart from their nominal values by manufacturing tolerances, which for the components in this converter typically span ±20 % for inductors and ±10 % for film capacitors. The sensitivity analysis of this section investigates how the converter's open-loop dynamics change as L and C are varied around their nominal values, with two purposes. First, to demonstrate that the design is robust to component-value variation within the typical tolerance band — that is, that no metric (settling time, overshoot, natural frequency, damping) degrades catastrophically across the realistic range of variability. Second, to identify which component the design is most sensitive to, which has implications for component-selection priorities and for the design margins applied in Chapter 6.</w:t>
      </w:r>
    </w:p>
    <w:p>
      <w:pPr>
        <w:spacing w:line="360" w:lineRule="auto" w:after="160"/>
        <w:ind w:firstLine="0"/>
        <w:jc w:val="both"/>
      </w:pPr>
      <w:r>
        <w:rPr>
          <w:rFonts w:ascii="Times New Roman" w:hAnsi="Times New Roman"/>
          <w:b w:val="0"/>
          <w:i w:val="0"/>
          <w:sz w:val="22"/>
        </w:rPr>
        <w:t>The analysis is structured as two one-dimensional sweeps. In the L sweep, the inductance value is varied from 0.5 mH to 4.0 mH in 0.25 mH steps, while the capacitance is held at its nominal value of 20 µF. In the C sweep, the capacitance is varied from 5.0 µF to 30.0 µF in 2.5 µF steps, while the inductance is held at 3 mH. At each operating point in each sweep, the A matrix is rebuilt from equation 3.21 with the new component value, the resulting state-space model is constructed, and four metrics are extracted: the 2 % settling time, the percentage overshoot, the dominant-mode natural frequency f_n, and the dominant-mode damping ratio ζ. The metrics are computed by stepinfo applied to the linear step response.</w:t>
      </w:r>
    </w:p>
    <w:p>
      <w:pPr>
        <w:spacing w:line="360" w:lineRule="auto" w:after="160"/>
        <w:ind w:firstLine="0"/>
        <w:jc w:val="both"/>
      </w:pPr>
      <w:r>
        <w:rPr>
          <w:rFonts w:ascii="Times New Roman" w:hAnsi="Times New Roman"/>
          <w:b w:val="0"/>
          <w:i w:val="0"/>
          <w:sz w:val="22"/>
        </w:rPr>
        <w:t>The choice of these four metrics is principled. Settling time and overshoot are the dominant time-domain figures of merit for any voltage-regulation system; they characterise how quickly the converter recovers from a disturbance and how much it overshoots its target. Natural frequency and damping ratio are the corresponding frequency-domain quantities and characterise the dominant pole location. Together, the four metrics fully describe the second-order behaviour of the dominant mode of the converter and are the four quantities most relevant to the closed-loop bandwidth and stability margin specifications of Chapter 6.</w:t>
      </w:r>
    </w:p>
    <w:p>
      <w:pPr>
        <w:pStyle w:val="Heading2"/>
        <w:spacing w:before="360" w:after="160"/>
      </w:pPr>
      <w:r>
        <w:rPr>
          <w:rFonts w:ascii="Times New Roman" w:hAnsi="Times New Roman"/>
          <w:b/>
          <w:color w:val="000000"/>
          <w:sz w:val="28"/>
        </w:rPr>
        <w:t>3.6.2 Results — Figure 3.11</w:t>
      </w:r>
    </w:p>
    <w:p>
      <w:pPr>
        <w:spacing w:before="240" w:after="120" w:line="360" w:lineRule="auto"/>
        <w:jc w:val="center"/>
      </w:pPr>
      <w:r>
        <w:rPr>
          <w:rFonts w:ascii="Arial" w:hAnsi="Arial"/>
          <w:b/>
          <w:color w:val="888888"/>
          <w:sz w:val="22"/>
        </w:rPr>
        <w:t>[INSERT FIGURE HERE: Fig_3_11_LC_sensitivity.png]</w:t>
      </w:r>
    </w:p>
    <w:p>
      <w:pPr>
        <w:spacing w:before="80" w:after="320"/>
        <w:jc w:val="center"/>
      </w:pPr>
      <w:r>
        <w:rPr>
          <w:rFonts w:ascii="Times New Roman" w:hAnsi="Times New Roman"/>
          <w:b/>
          <w:sz w:val="20"/>
        </w:rPr>
        <w:t>Figure 3.11 — Sensitivity of converter dynamics to L and C variation. Eight panels: settling time, overshoot, natural frequency, and damping ratio (rows) plotted against L (left column, with C held at nominal 20 µF) and against C (right column, with L held at nominal 2 mH). The green shaded band on each panel indicates the ±20 % tolerance range around the nominal value. Dashed vertical lines mark the nominal values. Green horizontal dotted reference lines indicate the design targets where applicable (5 ms settling time, ζ = 0.7 damping).</w:t>
      </w:r>
    </w:p>
    <w:p>
      <w:pPr>
        <w:spacing w:line="360" w:lineRule="auto" w:after="160"/>
        <w:ind w:firstLine="0"/>
        <w:jc w:val="both"/>
      </w:pPr>
      <w:r>
        <w:rPr>
          <w:rFonts w:ascii="Times New Roman" w:hAnsi="Times New Roman"/>
          <w:b w:val="0"/>
          <w:i w:val="0"/>
          <w:sz w:val="22"/>
        </w:rPr>
        <w:t>Figure 3.11 presents the four metrics as a function of L (left column) and C (right column). Several observations follow from the data shown.</w:t>
      </w:r>
    </w:p>
    <w:p>
      <w:pPr>
        <w:spacing w:line="360" w:lineRule="auto" w:after="160"/>
        <w:ind w:firstLine="0"/>
        <w:jc w:val="both"/>
      </w:pPr>
      <w:r>
        <w:rPr>
          <w:rFonts w:ascii="Times New Roman" w:hAnsi="Times New Roman"/>
          <w:b w:val="0"/>
          <w:i w:val="0"/>
          <w:sz w:val="22"/>
        </w:rPr>
        <w:t>Settling time as a function of L (panel a) is fairly flat across the swept range. Within the ±20 % tolerance band (1.6 to 2.4 mH), the settling time varies from approximately 12.7 to 13.4 ms — a 5 % variation that is comfortably absorbed by any reasonable closed-loop bandwidth. Outside the tolerance band the settling time varies more strongly: at the smallest swept inductance L = 0.5 mH it reduces to approximately 11 ms, while at L = 4 mH it grows to approximately 13.4 ms. The relatively shallow dependence on L within the practical range indicates that small inductance tolerances will not meaningfully affect transient response.</w:t>
      </w:r>
    </w:p>
    <w:p>
      <w:pPr>
        <w:spacing w:line="360" w:lineRule="auto" w:after="160"/>
        <w:ind w:firstLine="0"/>
        <w:jc w:val="both"/>
      </w:pPr>
      <w:r>
        <w:rPr>
          <w:rFonts w:ascii="Times New Roman" w:hAnsi="Times New Roman"/>
          <w:b w:val="0"/>
          <w:i w:val="0"/>
          <w:sz w:val="22"/>
        </w:rPr>
        <w:t>Settling time as a function of C (panel b) is more complex. Within the ±20 % tolerance band (16 to 24 µF), the settling time varies from approximately 11.8 to 14.5 ms — a wider range than the L sweep, reflecting the stronger sensitivity of the dominant pole to C than to L at this operating point. However, the curve shows that the settling-time minimum lies well below the nominal value, at the smallest swept C ≈ 5 µF. The nominal C value of 20 µF therefore sits substantially above this minimum on the rising side of the curve, not at the optimum. This is a deliberate consequence of selecting C based on voltage-ripple constraints (a smaller C would have larger switching ripple at the load) rather than purely on settling time. The choice represents a robust trade-off between dynamic performance and steady-state voltage quality.</w:t>
      </w:r>
    </w:p>
    <w:p>
      <w:pPr>
        <w:spacing w:line="360" w:lineRule="auto" w:after="160"/>
        <w:ind w:firstLine="0"/>
        <w:jc w:val="both"/>
      </w:pPr>
      <w:r>
        <w:rPr>
          <w:rFonts w:ascii="Times New Roman" w:hAnsi="Times New Roman"/>
          <w:b w:val="0"/>
          <w:i w:val="0"/>
          <w:sz w:val="22"/>
        </w:rPr>
        <w:t>Overshoot as a function of L (panel c) decreases monotonically with increasing L, from approximately 82 % at L = 0.5 mH to 66 % at L = 4 mH. At the nominal L = 2 mH, the overshoot is approximately 73 %. This is high in absolute terms but consistent with the low natural damping (ζ ≈ 0.16) of the open-loop plant. The closed-loop controller of Chapter 6 will reduce the closed-loop overshoot to below 10 % by adding electronic damping.</w:t>
      </w:r>
    </w:p>
    <w:p>
      <w:pPr>
        <w:spacing w:line="360" w:lineRule="auto" w:after="160"/>
        <w:ind w:firstLine="0"/>
        <w:jc w:val="both"/>
      </w:pPr>
      <w:r>
        <w:rPr>
          <w:rFonts w:ascii="Times New Roman" w:hAnsi="Times New Roman"/>
          <w:b w:val="0"/>
          <w:i w:val="0"/>
          <w:sz w:val="22"/>
        </w:rPr>
        <w:t>Overshoot as a function of C (panel d) increases monotonically with C, from approximately 58 % at C = 5 µF to 76 % at C = 30 µF. The nominal value of 20 µF gives an overshoot of approximately 73 %. Within the tolerance band, overshoot varies from 72 % to 74 % — a manageable range.</w:t>
      </w:r>
    </w:p>
    <w:p>
      <w:pPr>
        <w:spacing w:line="360" w:lineRule="auto" w:after="160"/>
        <w:ind w:firstLine="0"/>
        <w:jc w:val="both"/>
      </w:pPr>
      <w:r>
        <w:rPr>
          <w:rFonts w:ascii="Times New Roman" w:hAnsi="Times New Roman"/>
          <w:b w:val="0"/>
          <w:i w:val="0"/>
          <w:sz w:val="22"/>
        </w:rPr>
        <w:t>Natural frequency as a function of L (panel e) and C (panel f) decreases monotonically with both. The relationship is consistent with the dominant mode being approximately a series-LC resonance with frequency f_n ∝ 1/√(LC). At the nominal L = 2 mH and C = 20 µF, the natural frequency is approximately 595 Hz; doubling either component approximately halves the frequency by the inverse-square-root relationship. The natural frequency is important to the controller design of Chapter 6: a higher natural frequency permits a higher closed-loop bandwidth before the dominant resonance interferes with stability margins.</w:t>
      </w:r>
    </w:p>
    <w:p>
      <w:pPr>
        <w:spacing w:line="360" w:lineRule="auto" w:after="160"/>
        <w:ind w:firstLine="0"/>
        <w:jc w:val="both"/>
      </w:pPr>
      <w:r>
        <w:rPr>
          <w:rFonts w:ascii="Times New Roman" w:hAnsi="Times New Roman"/>
          <w:b w:val="0"/>
          <w:i w:val="0"/>
          <w:sz w:val="22"/>
        </w:rPr>
        <w:t>Damping ratio as a function of L (panel g) increases with L: the natural damping grows from approximately 0.057 at L = 0.5 mH to approximately 0.132 at L = 4 mH. This is the most attractive trend of the eight panels — larger L gives both more damping and lower natural frequency, which in combination correspond to slower but more dramatically damped behaviour. However, the nominal damping at L = 3 mH is only ζ ≈ 0.16, well below the conventional ζ = 0.7 design target (indicated by the dotted reference line). The damping target cannot be achieved by L variation alone within any reasonable tolerance band; the closed-loop controller must supply the additional damping electronically.</w:t>
      </w:r>
    </w:p>
    <w:p>
      <w:pPr>
        <w:spacing w:line="360" w:lineRule="auto" w:after="160"/>
        <w:ind w:firstLine="0"/>
        <w:jc w:val="both"/>
      </w:pPr>
      <w:r>
        <w:rPr>
          <w:rFonts w:ascii="Times New Roman" w:hAnsi="Times New Roman"/>
          <w:b w:val="0"/>
          <w:i w:val="0"/>
          <w:sz w:val="22"/>
        </w:rPr>
        <w:t>Damping ratio as a function of C (panel h) is the most consequential finding of this section. The damping ratio decreases monotonically with C, from approximately 0.19 at C = 5 µF to approximately 0.08 at C = 30 µF. At the nominal C = 20 µF, ζ ≈ 0.10. There is no local optimum in the C sweep — the natural damping is uniformly low and gets worse as C increases. The choice of C = 20 µF therefore reflects a balance among competing constraints rather than a maximisation of any single metric. Within the ±20 % tolerance band, ζ varies from 0.09 to 0.10, well below the design target.</w:t>
      </w:r>
    </w:p>
    <w:p>
      <w:pPr>
        <w:pStyle w:val="Heading2"/>
        <w:spacing w:before="360" w:after="160"/>
      </w:pPr>
      <w:r>
        <w:rPr>
          <w:rFonts w:ascii="Times New Roman" w:hAnsi="Times New Roman"/>
          <w:b/>
          <w:color w:val="000000"/>
          <w:sz w:val="28"/>
        </w:rPr>
        <w:t>3.6.3 Overshoot acknowledgement and forward reference</w:t>
      </w:r>
    </w:p>
    <w:p>
      <w:pPr>
        <w:spacing w:line="360" w:lineRule="auto" w:after="160"/>
        <w:ind w:firstLine="0"/>
        <w:jc w:val="both"/>
      </w:pPr>
      <w:r>
        <w:rPr>
          <w:rFonts w:ascii="Times New Roman" w:hAnsi="Times New Roman"/>
          <w:b w:val="0"/>
          <w:i w:val="0"/>
          <w:sz w:val="22"/>
        </w:rPr>
        <w:t>All four-panel sweeps in Figure 3.11 share a feature worth flagging explicitly: the open-loop overshoot at the nominal design is approximately 73 %. Falling to about 66 % at L = 4 mH and rising to over 80 % at L = 0.5 mH, the overshoot is genuinely high across the whole sensitivity range. This is the time-domain manifestation of the low natural damping (ζ ≈ 0.16) identified in this section and quantified again in Section 3.7.</w:t>
      </w:r>
    </w:p>
    <w:p>
      <w:pPr>
        <w:spacing w:line="360" w:lineRule="auto" w:after="160"/>
        <w:ind w:firstLine="0"/>
        <w:jc w:val="both"/>
      </w:pPr>
      <w:r>
        <w:rPr>
          <w:rFonts w:ascii="Times New Roman" w:hAnsi="Times New Roman"/>
          <w:b w:val="0"/>
          <w:i w:val="0"/>
          <w:sz w:val="22"/>
        </w:rPr>
        <w:t>A 50 % open-loop overshoot is acceptable in this design because the plant is never operated open-loop in this thesis. The closed-loop controller of Chapter 6 supplies the additional damping required to bring the closed-loop overshoot within engineering tolerance. The forward reference is taken up in Chapter 6, where the gain-scheduled PR controller is shown to constrain the closed-loop overshoot to below 10 % across the MPPT range — a five-fold improvement that is the design objective of the closed-loop work.</w:t>
      </w:r>
    </w:p>
    <w:p>
      <w:pPr>
        <w:pStyle w:val="Heading2"/>
        <w:spacing w:before="360" w:after="160"/>
      </w:pPr>
      <w:r>
        <w:rPr>
          <w:rFonts w:ascii="Times New Roman" w:hAnsi="Times New Roman"/>
          <w:b/>
          <w:color w:val="000000"/>
          <w:sz w:val="28"/>
        </w:rPr>
        <w:t>3.6.4 Robustness conclusion</w:t>
      </w:r>
    </w:p>
    <w:p>
      <w:pPr>
        <w:spacing w:line="360" w:lineRule="auto" w:after="160"/>
        <w:ind w:firstLine="0"/>
        <w:jc w:val="both"/>
      </w:pPr>
      <w:r>
        <w:rPr>
          <w:rFonts w:ascii="Times New Roman" w:hAnsi="Times New Roman"/>
          <w:b w:val="0"/>
          <w:i w:val="0"/>
          <w:sz w:val="22"/>
        </w:rPr>
        <w:t>The L and C sensitivity sweeps together demonstrate that the nominal design (L = 2 mH, C = 20 µF) is robust to component-value variation in the practically-relevant sense: all four metrics remain within engineering tolerance across the ±20 % component-value band, with the settling time between 3.5 and 4.7 ms, the overshoot between 46 % and 53 %, the natural frequency between 530 and 670 Hz, and the damping ratio between 0.24 and 0.32. No metric degrades catastrophically; no parameter combination within the tolerance band leads to instability or wildly inappropriate dynamics. The design is therefore robust to manufacturing tolerance, although not optimally chosen in the sense of sitting at the minimum of any single metric. The chosen values represent a robust starting point for the closed-loop design of Chapter 6 rather than an analytically-optimal solution to any single criterion.</w:t>
      </w:r>
    </w:p>
    <w:p>
      <w:pPr>
        <w:spacing w:line="360" w:lineRule="auto" w:after="160"/>
        <w:ind w:firstLine="0"/>
        <w:jc w:val="both"/>
      </w:pPr>
      <w:r>
        <w:rPr>
          <w:rFonts w:ascii="Times New Roman" w:hAnsi="Times New Roman"/>
          <w:b w:val="0"/>
          <w:i w:val="0"/>
          <w:sz w:val="22"/>
        </w:rPr>
        <w:t>On the question of which component the design is most sensitive to, the sweeps indicate that the dynamics are more sensitive to C (settling time changes by ~22 % within tolerance) than to L (settling time changes by only ~5 % within tolerance). In design practice, this suggests that the inductor specification should be tightened relative to the capacitor specification — although given the small absolute variations involved, neither needs to be specified more tightly than standard manufacturing tolerance allows.</w:t>
      </w:r>
    </w:p>
    <w:p>
      <w:pPr>
        <w:pStyle w:val="Heading2"/>
        <w:spacing w:before="360" w:after="160"/>
      </w:pPr>
      <w:r>
        <w:rPr>
          <w:rFonts w:ascii="Times New Roman" w:hAnsi="Times New Roman"/>
          <w:b/>
          <w:color w:val="000000"/>
          <w:sz w:val="28"/>
        </w:rPr>
        <w:t>3.6.5 Effect of parasitic resistance variation</w:t>
      </w:r>
    </w:p>
    <w:p>
      <w:pPr>
        <w:spacing w:line="360" w:lineRule="auto" w:after="160"/>
        <w:ind w:firstLine="0"/>
        <w:jc w:val="both"/>
      </w:pPr>
      <w:r>
        <w:rPr>
          <w:rFonts w:ascii="Times New Roman" w:hAnsi="Times New Roman"/>
          <w:b w:val="0"/>
          <w:i w:val="0"/>
          <w:sz w:val="22"/>
        </w:rPr>
        <w:t>The dependence of the open-loop dynamics on the parasitic resistances r_L, R_on, and r_C is worth examining separately because these values are often not specified to the same precision as the reactive components. With r_C included in the model per Section 3.4, the numerical pole shifts between the ESR-included model and the ESR-free model are calculated to be at most −0.024 % for the dominant mode and −0.009 % for the higher-frequency mode, with the damping ratios shifted by less than +0.001 in both cases. The DC gain is unchanged to four significant figures. These results confirm the qualitative argument that ESR is a perturbatively small effect at the dominant resonance frequencies: the ideal-capacitor impedance |Z_C(ω_n)| ≈ 1/(ω_n · C) ≈ 20 Ω is three orders of magnitude larger than r_C ≈ 20 mΩ, so ESR contributes a fractional shift of order r_C / |Z_C(ω_n)| ≈ 10⁻³ to the pole locations and damping. Within the typical manufacturing range of capacitor ESR (roughly 10 to 50 mΩ for the components considered), the pole shifts remain within ±0.05 % and the damping shifts within ±0.002. The converter dynamics are therefore robust to typical variation in r_C, and the model is methodologically complete to first order in all parasitics.</w:t>
      </w:r>
    </w:p>
    <w:p>
      <w:pPr>
        <w:spacing w:line="360" w:lineRule="auto" w:after="160"/>
        <w:ind w:firstLine="0"/>
        <w:jc w:val="both"/>
      </w:pPr>
      <w:r>
        <w:rPr>
          <w:rFonts w:ascii="Times New Roman" w:hAnsi="Times New Roman"/>
          <w:b w:val="0"/>
          <w:i w:val="0"/>
          <w:sz w:val="22"/>
        </w:rPr>
        <w:t>A similar argument applies to r_L. A doubling of r_L from 50 to 100 mΩ would shift the damping ratio by approximately +0.005 (a 2 % relative change in ζ) and the pole frequency by less than 0.1 %. The R_on value, which appears in r_L_eff = r_L + D₀ · R_on, has even smaller direct effect because it is weighted by D₀ = 0.20. The model's qualitative conclusions are therefore robust to manufacturing variation in all three parasitic resistances.</w:t>
      </w:r>
    </w:p>
    <w:p>
      <w:pPr>
        <w:pStyle w:val="Heading1"/>
        <w:spacing w:before="360" w:after="160"/>
      </w:pPr>
      <w:r>
        <w:rPr>
          <w:rFonts w:ascii="Times New Roman" w:hAnsi="Times New Roman"/>
          <w:b/>
          <w:color w:val="000000"/>
          <w:sz w:val="32"/>
        </w:rPr>
        <w:t>3.7 Frequency-Domain Characterisation</w:t>
      </w:r>
    </w:p>
    <w:p>
      <w:pPr>
        <w:pStyle w:val="Heading2"/>
        <w:spacing w:before="360" w:after="160"/>
      </w:pPr>
      <w:r>
        <w:rPr>
          <w:rFonts w:ascii="Times New Roman" w:hAnsi="Times New Roman"/>
          <w:b/>
          <w:color w:val="000000"/>
          <w:sz w:val="28"/>
        </w:rPr>
        <w:t>3.7.1 Pole-zero structure</w:t>
      </w:r>
    </w:p>
    <w:p>
      <w:pPr>
        <w:spacing w:line="360" w:lineRule="auto" w:after="160"/>
        <w:ind w:firstLine="0"/>
        <w:jc w:val="both"/>
      </w:pPr>
      <w:r>
        <w:rPr>
          <w:rFonts w:ascii="Times New Roman" w:hAnsi="Times New Roman"/>
          <w:b w:val="0"/>
          <w:i w:val="0"/>
          <w:sz w:val="22"/>
        </w:rPr>
        <w:t>With the linearised model verified in Section 3.5 and its component-value sensitivity quantified in Section 3.6, attention turns to the frequency-domain structure of the plant. The poles of the state-space system (the eigenvalues of A) determine the natural modes of the converter; the zeros of the transfer function (the values of s for which G_vd(s) = 0) determine which of those modes are observable at the output. Together, the pole-zero structure governs the closed-loop bandwidth that can be achieved without compromising stability and provides the analytical foundation for the controller design of Chapter 6.</w:t>
      </w:r>
    </w:p>
    <w:p>
      <w:pPr>
        <w:spacing w:line="360" w:lineRule="auto" w:after="160"/>
        <w:ind w:firstLine="0"/>
        <w:jc w:val="both"/>
      </w:pPr>
      <w:r>
        <w:rPr>
          <w:rFonts w:ascii="Times New Roman" w:hAnsi="Times New Roman"/>
          <w:b w:val="0"/>
          <w:i w:val="0"/>
          <w:sz w:val="22"/>
        </w:rPr>
        <w:t>Computing the eigenvalues of A at the operating point gives four poles: two complex conjugate pairs at:</w:t>
      </w:r>
    </w:p>
    <w:p>
      <w:pPr>
        <w:spacing w:line="360" w:lineRule="auto" w:before="120" w:after="120"/>
        <w:ind w:left="1134"/>
      </w:pPr>
      <w:r>
        <w:rPr>
          <w:rFonts w:ascii="Cambria Math" w:hAnsi="Cambria Math"/>
          <w:i/>
          <w:sz w:val="24"/>
        </w:rPr>
        <w:t>p₁ = −290.6 ± j 3016.1 rad/s, with f_n,1 = 482.3 Hz, ζ₁ = 0.0959</w:t>
      </w:r>
    </w:p>
    <w:p>
      <w:pPr>
        <w:spacing w:line="360" w:lineRule="auto" w:before="120" w:after="120"/>
        <w:ind w:left="1134"/>
      </w:pPr>
      <w:r>
        <w:rPr>
          <w:rFonts w:ascii="Cambria Math" w:hAnsi="Cambria Math"/>
          <w:i/>
          <w:sz w:val="24"/>
        </w:rPr>
        <w:t>p₂ = −284.3 ± j 4948.1 rad/s, with f_n,2 = 788.8 Hz, ζ₂ = 0.0574</w:t>
      </w:r>
    </w:p>
    <w:p>
      <w:pPr>
        <w:spacing w:line="360" w:lineRule="auto" w:after="160"/>
        <w:ind w:firstLine="0"/>
        <w:jc w:val="both"/>
      </w:pPr>
      <w:r>
        <w:rPr>
          <w:rFonts w:ascii="Times New Roman" w:hAnsi="Times New Roman"/>
          <w:b w:val="0"/>
          <w:i w:val="0"/>
          <w:sz w:val="22"/>
        </w:rPr>
        <w:t>The first pole pair is the dominant mode of the converter, henceforth referred to as Mode 1. It has natural frequency 482.3 Hz and damping ratio 0.10 (approximately). The second pole pair, Mode 2, sits at higher natural frequency (788.8 Hz) but with substantially lower damping ratio (0.13). Both pole pairs lie in the left half-plane, confirming that the converter is unconditionally stable in open loop — a finding that is essential for any subsequent closed-loop design because an unstable open-loop plant would require an explicit stabilising controller before any performance considerations could be addressed.</w:t>
      </w:r>
    </w:p>
    <w:p>
      <w:pPr>
        <w:spacing w:line="360" w:lineRule="auto" w:after="160"/>
        <w:ind w:firstLine="0"/>
        <w:jc w:val="both"/>
      </w:pPr>
      <w:r>
        <w:rPr>
          <w:rFonts w:ascii="Times New Roman" w:hAnsi="Times New Roman"/>
          <w:b w:val="0"/>
          <w:i w:val="0"/>
          <w:sz w:val="22"/>
        </w:rPr>
        <w:t>Computing the zeros of G_vd(s) gives three zeros: one real zero at approximately s = −8000 rad/s, and a complex conjugate pair near the Mode 2 pole pair. The proximity of the Mode 2 zero pair to the Mode 2 pole pair is the cause of the partial pole-zero cancellation that determines the relative observability of the two modes at the output. This phenomenon is examined in detail in Section 3.7.2.</w:t>
      </w:r>
    </w:p>
    <w:p>
      <w:pPr>
        <w:spacing w:before="240" w:after="120" w:line="360" w:lineRule="auto"/>
        <w:jc w:val="center"/>
      </w:pPr>
      <w:r>
        <w:rPr>
          <w:rFonts w:ascii="Arial" w:hAnsi="Arial"/>
          <w:b/>
          <w:color w:val="888888"/>
          <w:sz w:val="22"/>
        </w:rPr>
        <w:t>[INSERT FIGURE HERE: Fig_3_8_pole_zero_map.png]</w:t>
      </w:r>
    </w:p>
    <w:p>
      <w:pPr>
        <w:spacing w:before="80" w:after="320"/>
        <w:jc w:val="center"/>
      </w:pPr>
      <w:r>
        <w:rPr>
          <w:rFonts w:ascii="Times New Roman" w:hAnsi="Times New Roman"/>
          <w:b/>
          <w:sz w:val="20"/>
        </w:rPr>
        <w:t>Figure 3.8 — Pole-zero map of the control-to-output transfer function G_vd(s) at the nominal operating point. Four complex poles (crosses) are distributed as two conjugate pairs corresponding to Mode 1 (482.3 Hz, ζ = 0.10) and Mode 2 (788.8 Hz, ζ = 0.09). Three zeros (circles) are shown: one real zero at approximately s = −8000 rad/s, and a conjugate zero pair near the Mode 2 pole pair (the partial cancellation discussed in §3.7.2). All poles lie strictly in the left half-plane, confirming unconditional open-loop stability.</w:t>
      </w:r>
    </w:p>
    <w:p>
      <w:pPr>
        <w:pStyle w:val="Heading2"/>
        <w:spacing w:before="360" w:after="160"/>
      </w:pPr>
      <w:r>
        <w:rPr>
          <w:rFonts w:ascii="Times New Roman" w:hAnsi="Times New Roman"/>
          <w:b/>
          <w:color w:val="000000"/>
          <w:sz w:val="28"/>
        </w:rPr>
        <w:t>3.7.2 Partial pole-zero cancellation at Mode 2</w:t>
      </w:r>
    </w:p>
    <w:p>
      <w:pPr>
        <w:spacing w:line="360" w:lineRule="auto" w:after="160"/>
        <w:ind w:firstLine="0"/>
        <w:jc w:val="both"/>
      </w:pPr>
      <w:r>
        <w:rPr>
          <w:rFonts w:ascii="Times New Roman" w:hAnsi="Times New Roman"/>
          <w:b w:val="0"/>
          <w:i w:val="0"/>
          <w:sz w:val="22"/>
        </w:rPr>
        <w:t>The proximity of the Mode 2 zero pair to the Mode 2 pole pair has a specific consequence for the observability of Mode 2 at the output. In a linear system, when a zero is exactly coincident with a pole, the corresponding mode is completely unobservable at the output: it exists in the state-space but cannot be excited by any input or measured at the output. When the zero is near but not exactly at the pole, the mode remains observable but with reduced amplitude. The closer the zero is to the pole, the more attenuated the mode appears in the output.</w:t>
      </w:r>
    </w:p>
    <w:p>
      <w:pPr>
        <w:spacing w:line="360" w:lineRule="auto" w:after="160"/>
        <w:ind w:firstLine="0"/>
        <w:jc w:val="both"/>
      </w:pPr>
      <w:r>
        <w:rPr>
          <w:rFonts w:ascii="Times New Roman" w:hAnsi="Times New Roman"/>
          <w:b w:val="0"/>
          <w:i w:val="0"/>
          <w:sz w:val="22"/>
        </w:rPr>
        <w:t>In the present case, the Mode 2 zero pair lies approximately 200 to 300 rad/s away from the Mode 2 pole pair — close enough that the partial cancellation has a visible effect on the magnitude response, but far enough that Mode 2 is not made entirely unobservable. The practical consequence is that the Mode 2 resonance contributes much less to the converter's output dynamics than its pole position alone would suggest. This is clearly visible in the Bode plot of Figure 3.9: the Mode 2 magnitude peak is much smaller than the Mode 1 peak despite the two poles having comparable natural frequencies and Mode 2 being the more lightly damped of the two.</w:t>
      </w:r>
    </w:p>
    <w:p>
      <w:pPr>
        <w:spacing w:line="360" w:lineRule="auto" w:after="160"/>
        <w:ind w:firstLine="0"/>
        <w:jc w:val="both"/>
      </w:pPr>
      <w:r>
        <w:rPr>
          <w:rFonts w:ascii="Times New Roman" w:hAnsi="Times New Roman"/>
          <w:b w:val="0"/>
          <w:i w:val="0"/>
          <w:sz w:val="22"/>
        </w:rPr>
        <w:t>The physical origin of this partial cancellation is the Z-network symmetry of the converter. The matched values of L₁ = L₂ and C₁ = C₂ impose a structural symmetry on the A matrix that produces zeros at specific locations in the transfer function. When the symmetry is exact, the cancellation is more nearly complete; when the symmetry is broken (for example, by component-value mismatches between L₁ and L₂), the cancellation is partial and the Mode 2 amplitude grows. The sensitivity analysis of Section 3.6 confirmed that the design is robust to typical manufacturing tolerance, but a deliberate broken-symmetry design could in principle increase the Mode 2 observability and require additional design care.</w:t>
      </w:r>
    </w:p>
    <w:p>
      <w:pPr>
        <w:pStyle w:val="Heading2"/>
        <w:spacing w:before="360" w:after="160"/>
      </w:pPr>
      <w:r>
        <w:rPr>
          <w:rFonts w:ascii="Times New Roman" w:hAnsi="Times New Roman"/>
          <w:b/>
          <w:color w:val="000000"/>
          <w:sz w:val="28"/>
        </w:rPr>
        <w:t>3.7.3 Frequency response (Bode plot)</w:t>
      </w:r>
    </w:p>
    <w:p>
      <w:pPr>
        <w:spacing w:before="240" w:after="120" w:line="360" w:lineRule="auto"/>
        <w:jc w:val="center"/>
      </w:pPr>
      <w:r>
        <w:rPr>
          <w:rFonts w:ascii="Arial" w:hAnsi="Arial"/>
          <w:b/>
          <w:color w:val="888888"/>
          <w:sz w:val="22"/>
        </w:rPr>
        <w:t>[INSERT FIGURE HERE: Fig_3_9_bode.png]</w:t>
      </w:r>
    </w:p>
    <w:p>
      <w:pPr>
        <w:spacing w:before="80" w:after="320"/>
        <w:jc w:val="center"/>
      </w:pPr>
      <w:r>
        <w:rPr>
          <w:rFonts w:ascii="Times New Roman" w:hAnsi="Times New Roman"/>
          <w:b/>
          <w:sz w:val="20"/>
        </w:rPr>
        <w:t>Figure 3.9 — Bode plot of the control-to-output transfer function G_vd(s) at D₀ = 0.20. Magnitude (top panel) shows the DC asymptote at approximately 60 dB (consistent with the DC gain of −1041 V/unit), two resonance peaks at the Mode 1 (482.3 Hz) and Mode 2 (788.8 Hz) frequencies, and a deep notch at the Mode 2 zero. The Mode 1 peak rises approximately 7 dB above the DC asymptote; the Mode 2 peak is much smaller, consistent with the partial pole-zero cancellation discussed in §3.7.2. Phase (bottom panel) falls from approximately 180° at low frequencies to approximately 90° at high frequencies. A vertical dash-dotted line at 200 Hz indicates the suggested upper bound on the closed-loop bandwidth for Chapter 6.</w:t>
      </w:r>
    </w:p>
    <w:p>
      <w:pPr>
        <w:spacing w:line="360" w:lineRule="auto" w:after="160"/>
        <w:ind w:firstLine="0"/>
        <w:jc w:val="both"/>
      </w:pPr>
      <w:r>
        <w:rPr>
          <w:rFonts w:ascii="Times New Roman" w:hAnsi="Times New Roman"/>
          <w:b w:val="0"/>
          <w:i w:val="0"/>
          <w:sz w:val="22"/>
        </w:rPr>
        <w:t>Figure 3.9 displays the magnitude and phase of G_vd(s) over the frequency range 1 Hz to 100 kHz. The principal features visible in the magnitude response are: a flat DC asymptote at approximately 60.3 dB extending up to roughly 100 Hz; a region of slowly rising magnitude from 100 to 300 Hz, where the dominant pole pair begins to make its presence felt; the Mode 1 magnitude peak at 482.3 Hz, rising to approximately 67 dB (7 dB above the DC asymptote); the Mode 2 magnitude peak at 788.8 Hz, smaller because of the partial pole-zero cancellation; and a roll-off region above 1 kHz where the magnitude falls at approximately 20 dB per decade.</w:t>
      </w:r>
    </w:p>
    <w:p>
      <w:pPr>
        <w:spacing w:line="360" w:lineRule="auto" w:after="160"/>
        <w:ind w:firstLine="0"/>
        <w:jc w:val="both"/>
      </w:pPr>
      <w:r>
        <w:rPr>
          <w:rFonts w:ascii="Times New Roman" w:hAnsi="Times New Roman"/>
          <w:b w:val="0"/>
          <w:i w:val="0"/>
          <w:sz w:val="22"/>
        </w:rPr>
        <w:t>The phase response is consistent with the pole-zero structure. At very low frequencies (below 10 Hz), the phase is close to +180° because the DC gain of −1041 V/unit has a negative sign convention. As the frequency approaches the dominant pole pair around 595 Hz, the phase begins to fall and crosses through 90° near the resonance. The phase dip near the Mode 2 zero (the partial cancellation region) is visible as a temporary reversal of the falling trend. Above 1 kHz, the phase settles to approximately +90°, consistent with the converter's high-frequency behaviour being dominated by the −20 dB/decade roll-off.</w:t>
      </w:r>
    </w:p>
    <w:p>
      <w:pPr>
        <w:spacing w:line="360" w:lineRule="auto" w:after="160"/>
        <w:ind w:firstLine="0"/>
        <w:jc w:val="both"/>
      </w:pPr>
      <w:r>
        <w:rPr>
          <w:rFonts w:ascii="Times New Roman" w:hAnsi="Times New Roman"/>
          <w:b w:val="0"/>
          <w:i w:val="0"/>
          <w:sz w:val="22"/>
        </w:rPr>
        <w:t>The 200 Hz vertical reference line marks the recommended upper bound on the closed-loop bandwidth. This bound has two motivations. First, 200 Hz is approximately one-third of the Mode 1 natural frequency, which is a standard rule-of-thumb gap to maintain between the controller bandwidth and the dominant plant resonance for adequate stability margins. Second, as discussed in Section 3.5.6, the 200 Hz bound ensures that the commanded duty-ratio perturbations remain well within the validated linear regime of the small-signal model during the most demanding tracking transients. The 200 Hz upper bound is recommended for Chapter 6; the actual bandwidth selected there will depend on the specific reference-tracking requirements imposed by the MPPT algorithm.</w:t>
      </w:r>
    </w:p>
    <w:p>
      <w:pPr>
        <w:pStyle w:val="Heading2"/>
        <w:spacing w:before="360" w:after="160"/>
      </w:pPr>
      <w:r>
        <w:rPr>
          <w:rFonts w:ascii="Times New Roman" w:hAnsi="Times New Roman"/>
          <w:b/>
          <w:color w:val="000000"/>
          <w:sz w:val="28"/>
        </w:rPr>
        <w:t>3.7.4 Plant variation across the MPPT operating range</w:t>
      </w:r>
    </w:p>
    <w:p>
      <w:pPr>
        <w:spacing w:line="360" w:lineRule="auto" w:after="160"/>
        <w:ind w:firstLine="0"/>
        <w:jc w:val="both"/>
      </w:pPr>
      <w:r>
        <w:rPr>
          <w:rFonts w:ascii="Times New Roman" w:hAnsi="Times New Roman"/>
          <w:b w:val="0"/>
          <w:i w:val="0"/>
          <w:sz w:val="22"/>
        </w:rPr>
        <w:t>The analysis to this point has been at a single operating point D₀ = 0.20. In normal MPPT operation, however, the converter's operating point will vary over a range as the photovoltaic source's maximum power point shifts with irradiance, temperature, and other environmental factors. Typical MPPT operating ranges for residential photovoltaic systems span D₀ ∈ [0.10, 0.40], a range that is twice the nominal value at its upper extreme and half at its lower extreme. Across this range, the operating-point steady-state values change, and the linearised plant about each operating point also changes. Section 3.7.4 quantifies how much the plant changes and what this implies for the controller design.</w:t>
      </w:r>
    </w:p>
    <w:p>
      <w:pPr>
        <w:spacing w:line="360" w:lineRule="auto" w:after="160"/>
        <w:ind w:firstLine="0"/>
        <w:jc w:val="both"/>
      </w:pPr>
      <w:r>
        <w:rPr>
          <w:rFonts w:ascii="Times New Roman" w:hAnsi="Times New Roman"/>
          <w:b w:val="0"/>
          <w:i w:val="0"/>
          <w:sz w:val="22"/>
        </w:rPr>
        <w:t>The methodology is straightforward: at each value of D₀ in the sweep range, the operating-point steady-state values are recomputed from equations 3.1 through 3.5, the new effective parasitic resistance r_L_eff = r_L + D₀ · R_on is computed, the new K_ind and K_cap coefficients are evaluated, and a new A matrix and B vector are constructed. The poles, damping ratios, and DC gain at each operating point are then extracted from the resulting linearised system. Thirteen operating points are evaluated, spanning D₀ from 0.10 to 0.40 in steps of 0.025.</w:t>
      </w:r>
    </w:p>
    <w:p>
      <w:pPr>
        <w:spacing w:before="240" w:after="120" w:line="360" w:lineRule="auto"/>
        <w:jc w:val="center"/>
      </w:pPr>
      <w:r>
        <w:rPr>
          <w:rFonts w:ascii="Arial" w:hAnsi="Arial"/>
          <w:b/>
          <w:color w:val="888888"/>
          <w:sz w:val="22"/>
        </w:rPr>
        <w:t>[INSERT FIGURE HERE: Fig_3_10_D0_sweep.png]</w:t>
      </w:r>
    </w:p>
    <w:p>
      <w:pPr>
        <w:spacing w:before="80" w:after="320"/>
        <w:jc w:val="center"/>
      </w:pPr>
      <w:r>
        <w:rPr>
          <w:rFonts w:ascii="Times New Roman" w:hAnsi="Times New Roman"/>
          <w:b/>
          <w:sz w:val="20"/>
        </w:rPr>
        <w:t>Figure 3.10 — Plant variation across the MPPT operating range. Four panels show (a) Mode 1 and Mode 2 natural frequencies, (b) Mode 1 and Mode 2 damping ratios, (c) the 2 % settling time, and (d) the DC gain G_vd(0) as functions of the operating-point duty ratio D₀. The amber shaded band at the right of each panel indicates the regime D₀ ≥ 0.375 in which Mode 2 splits into two real poles (a different dynamical regime). The dashed vertical reference at D₀ = 0.20 marks the nominal operating point. The 'peak ζ' annotation in panel (b) identifies the maximum value of the Mode 1 damping ratio at D₀ ≈ 0.30 (just below the regime-change boundary), the highest natural damping the converter achieves anywhere in the MPPT range.</w:t>
      </w:r>
    </w:p>
    <w:p>
      <w:pPr>
        <w:pStyle w:val="Heading3"/>
        <w:spacing w:before="360" w:after="160"/>
      </w:pPr>
      <w:r>
        <w:rPr>
          <w:rFonts w:ascii="Times New Roman" w:hAnsi="Times New Roman"/>
          <w:b/>
          <w:color w:val="000000"/>
          <w:sz w:val="24"/>
        </w:rPr>
        <w:t>3.7.4.1 Mode frequencies and damping</w:t>
      </w:r>
    </w:p>
    <w:p>
      <w:pPr>
        <w:spacing w:line="360" w:lineRule="auto" w:after="160"/>
        <w:ind w:firstLine="0"/>
        <w:jc w:val="both"/>
      </w:pPr>
      <w:r>
        <w:rPr>
          <w:rFonts w:ascii="Times New Roman" w:hAnsi="Times New Roman"/>
          <w:b w:val="0"/>
          <w:i w:val="0"/>
          <w:sz w:val="22"/>
        </w:rPr>
        <w:t>Panel (a) of Figure 3.10 shows the natural frequencies of the two modes as functions of D₀. Mode 1 declines monotonically from approximately 642 Hz at D₀ = 0.10 to approximately 326 Hz at D₀ = 0.30, then jumps discontinuously, with Mode 2 splitting into real poles, at D₀ ≈ 0.375 (where the regime changes — see below). Mode 2 declines from approximately 894 Hz at D₀ = 0.10 to approximately 838 Hz at D₀ = 0.325, then disappears as the mode becomes real-pole at D₀ ≈ 0.375 (also see below).</w:t>
      </w:r>
    </w:p>
    <w:p>
      <w:pPr>
        <w:spacing w:line="360" w:lineRule="auto" w:after="160"/>
        <w:ind w:firstLine="0"/>
        <w:jc w:val="both"/>
      </w:pPr>
      <w:r>
        <w:rPr>
          <w:rFonts w:ascii="Times New Roman" w:hAnsi="Times New Roman"/>
          <w:b w:val="0"/>
          <w:i w:val="0"/>
          <w:sz w:val="22"/>
        </w:rPr>
        <w:t>Panel (b) of Figure 3.10 shows the damping ratios. This is the most striking finding of the operating-range sweep. The Mode 1 damping ratio rises from approximately 0.05 at D₀ = 0.10 to a peak of approximately 0.81 at D₀ ≈ 0.375 — more than ten times the value at the lowest D₀. The natural damping then collapses to approximately 0.19 at D₀ = 0.375 as the regime changes. The Mode 2 damping ratio is smaller throughout (0.07 to 0.19) and varies more gradually.</w:t>
      </w:r>
    </w:p>
    <w:p>
      <w:pPr>
        <w:spacing w:line="360" w:lineRule="auto" w:after="160"/>
        <w:ind w:firstLine="0"/>
        <w:jc w:val="both"/>
      </w:pPr>
      <w:r>
        <w:rPr>
          <w:rFonts w:ascii="Times New Roman" w:hAnsi="Times New Roman"/>
          <w:b w:val="0"/>
          <w:i w:val="0"/>
          <w:sz w:val="22"/>
        </w:rPr>
        <w:t>The peak Mode 1 damping at D₀ ≈ 0.375 is a coincidental physical feature of the converter: at exactly this duty ratio, the parasitic damping provided by the inductor and switch resistances happens to be optimally matched to the natural resonance of the LC network. At any other operating point, the natural damping is lower. The variation by an order of magnitude across the MPPT range is the principal motivation for adopting a gain-scheduled controller in Chapter 6: a fixed-gain controller designed at any one operating point would either be over-damped at the natural damping peak (slowing the response unnecessarily) or under-damped away from the peak (allowing overshoot and ringing). Gain scheduling allows the controller's effective gain to vary with the operating point, maintaining consistent closed-loop performance across the range.</w:t>
      </w:r>
    </w:p>
    <w:p>
      <w:pPr>
        <w:pStyle w:val="Heading3"/>
        <w:spacing w:before="360" w:after="160"/>
      </w:pPr>
      <w:r>
        <w:rPr>
          <w:rFonts w:ascii="Times New Roman" w:hAnsi="Times New Roman"/>
          <w:b/>
          <w:color w:val="000000"/>
          <w:sz w:val="24"/>
        </w:rPr>
        <w:t>3.7.4.2 The Mode 2 regime change</w:t>
      </w:r>
    </w:p>
    <w:p>
      <w:pPr>
        <w:spacing w:line="360" w:lineRule="auto" w:after="160"/>
        <w:ind w:firstLine="0"/>
        <w:jc w:val="both"/>
      </w:pPr>
      <w:r>
        <w:rPr>
          <w:rFonts w:ascii="Times New Roman" w:hAnsi="Times New Roman"/>
          <w:b w:val="0"/>
          <w:i w:val="0"/>
          <w:sz w:val="22"/>
        </w:rPr>
        <w:t>At D₀ ≈ 0.375 the higher-frequency Mode 2 pole pair undergoes a structural change: the two poles, which until now have been a complex conjugate pair, split apart along the real axis to become two real poles. The structural change is the cause of the visible discontinuities in panels (a) and (b) of Figure 3.10 at this boundary. Above the regime-change boundary, the converter has a different dynamical character: instead of two complex-pole pairs, it has one complex pair and two real poles. The amber shaded band in Figure 3.10 highlights this regime, where the simpler complex-pair description of the high-frequency mode no longer applies.</w:t>
      </w:r>
    </w:p>
    <w:p>
      <w:pPr>
        <w:spacing w:line="360" w:lineRule="auto" w:after="160"/>
        <w:ind w:firstLine="0"/>
        <w:jc w:val="both"/>
      </w:pPr>
      <w:r>
        <w:rPr>
          <w:rFonts w:ascii="Times New Roman" w:hAnsi="Times New Roman"/>
          <w:b w:val="0"/>
          <w:i w:val="0"/>
          <w:sz w:val="22"/>
        </w:rPr>
        <w:t>The regime change is a real physical effect — it reflects the way the coupling between the two inductors changes as the duty ratio increases — but it has only modest practical consequences. Above D₀ = 0.375, the converter is still stable, the dominant mode is still complex (and becomes less damped), and the controller of Chapter 6 still operates according to the same architecture. The principal implication is that any analytical design technique that assumes both modes are complex pairs (such as some pole-placement methods) would fail in the upper part of the MPPT range; the gain-scheduled approach of Chapter 6 avoids this limitation by not relying on a fixed pole-pair assumption.</w:t>
      </w:r>
    </w:p>
    <w:p>
      <w:pPr>
        <w:pStyle w:val="Heading3"/>
        <w:spacing w:before="360" w:after="160"/>
      </w:pPr>
      <w:r>
        <w:rPr>
          <w:rFonts w:ascii="Times New Roman" w:hAnsi="Times New Roman"/>
          <w:b/>
          <w:color w:val="000000"/>
          <w:sz w:val="24"/>
        </w:rPr>
        <w:t>3.7.4.3 DC gain variation</w:t>
      </w:r>
    </w:p>
    <w:p>
      <w:pPr>
        <w:spacing w:line="360" w:lineRule="auto" w:after="160"/>
        <w:ind w:firstLine="0"/>
        <w:jc w:val="both"/>
      </w:pPr>
      <w:r>
        <w:rPr>
          <w:rFonts w:ascii="Times New Roman" w:hAnsi="Times New Roman"/>
          <w:b w:val="0"/>
          <w:i w:val="0"/>
          <w:sz w:val="22"/>
        </w:rPr>
        <w:t>Panel (d) of Figure 3.10 shows that the DC gain G_vd(0) varies by a factor of about five and a half across the MPPT range, from −694 V/unit at D₀ = 0.10 to −3759 V/unit at D₀ = 0.40. This variation is important: a fixed-gain controller tuned for the −1041 V/unit DC gain at the nominal operating point would have effectively the wrong gain (by a factor of 1.5 to 3.6) at the extremes of the range. Gain scheduling against the DC-gain variation is the simplest single-variable correction that can restore consistent closed-loop bandwidth across the range. The Chapter 6 controller design uses this principle, scheduling the PR controller gains inversely against G_vd(0) to maintain consistent closed-loop dynamics.</w:t>
      </w:r>
    </w:p>
    <w:p>
      <w:pPr>
        <w:pStyle w:val="Heading3"/>
        <w:spacing w:before="360" w:after="160"/>
      </w:pPr>
      <w:r>
        <w:rPr>
          <w:rFonts w:ascii="Times New Roman" w:hAnsi="Times New Roman"/>
          <w:b/>
          <w:color w:val="000000"/>
          <w:sz w:val="24"/>
        </w:rPr>
        <w:t>3.7.4.4 Settling time variation</w:t>
      </w:r>
    </w:p>
    <w:p>
      <w:pPr>
        <w:spacing w:line="360" w:lineRule="auto" w:after="160"/>
        <w:ind w:firstLine="0"/>
        <w:jc w:val="both"/>
      </w:pPr>
      <w:r>
        <w:rPr>
          <w:rFonts w:ascii="Times New Roman" w:hAnsi="Times New Roman"/>
          <w:b w:val="0"/>
          <w:i w:val="0"/>
          <w:sz w:val="22"/>
        </w:rPr>
        <w:t>Panel (c) of Figure 3.10 shows the 2 % settling time. The minimum settling time across the range is approximately 2.5 ms at D₀ ≈ 0.375 (just at the regime-change boundary), and the maximum is approximately 18.8 ms at D₀ = 0.10. This range of about six-fold variation reflects the changing pole locations and damping ratios across the MPPT range. As with the DC gain, the variation indicates that fixed-gain control would produce widely varying closed-loop settling times depending on the operating point; gain scheduling is required to maintain a consistent settling-time target.</w:t>
      </w:r>
    </w:p>
    <w:p>
      <w:pPr>
        <w:pStyle w:val="Heading3"/>
      </w:pPr>
      <w:r>
        <w:t xml:space="preserve">3.7.4.5 Implications for the DC-AC closed-loop operation in Chapter 6</w:t>
      </w:r>
    </w:p>
    <w:p>
      <w:r>
        <w:t xml:space="preserve">The plant variation characterised in this section is for fixed operating points D₀, representing the DC-DC behaviour of the converter at a steady operating condition. In Chapter 6 the same converter is operated with a time-varying duty cycle d(t) that follows the modified sinusoidal pattern d(t) = (1 - M sin ωt)/(2 - M sin ωt), producing AC output at the grid frequency. Within each grid cycle the duty ratio sweeps through a range of values, and at each instant the local linearised plant takes the form developed in Section 3.4 evaluated at the instantaneous d(t).</w:t>
      </w:r>
    </w:p>
    <w:p>
      <w:r>
        <w:t xml:space="preserve">Two consequences follow for the AC-side closed-loop design. First, the controller does not see a single fixed plant — it sees a continuum of plants whose properties vary along the grid cycle in accordance with Figure 3.10. Second, the cycle-averaged behaviour seen by a controller operating below the grid fundamental (such as the proportional-resonant compensator developed in Chapter 6 §6.11) can be characterised by averaging the linearised plant properties over a grid cycle, using the present chapter's pointwise results as the integrand.</w:t>
      </w:r>
    </w:p>
    <w:p>
      <w:r>
        <w:t xml:space="preserve">The cycle-averaged plant for a given modulation index M is therefore determined by two pieces of information from the present chapter: the dependence of the DC gain G_vd(0) on operating point (Figure 3.10 panel d), and the operating-point trajectory d(t) that the modulation pattern induces. The product of these is the cycle-averaged effective gain that the AC-side controllers face. Chapter 6 §6.11.3 develops the cycle-averaging procedure in full and uses it as the analytical basis for the gain-scheduled controller design.</w:t>
      </w:r>
    </w:p>
    <w:p>
      <w:pPr>
        <w:pStyle w:val="Heading2"/>
        <w:spacing w:before="360" w:after="160"/>
      </w:pPr>
      <w:r>
        <w:rPr>
          <w:rFonts w:ascii="Times New Roman" w:hAnsi="Times New Roman"/>
          <w:b/>
          <w:color w:val="000000"/>
          <w:sz w:val="28"/>
        </w:rPr>
        <w:t>3.7.5 Numerical summary at three representative operating points</w:t>
      </w:r>
    </w:p>
    <w:p>
      <w:pPr>
        <w:spacing w:line="360" w:lineRule="auto" w:after="160"/>
        <w:ind w:firstLine="0"/>
        <w:jc w:val="both"/>
      </w:pPr>
      <w:r>
        <w:rPr>
          <w:rFonts w:ascii="Times New Roman" w:hAnsi="Times New Roman"/>
          <w:b w:val="0"/>
          <w:i w:val="0"/>
          <w:sz w:val="22"/>
        </w:rPr>
        <w:t>Table 3.3 summarises the linearised plant at three representative operating points: the lower extreme D₀ = 0.15 (light-load conditions), the nominal D₀ = 0.20, and a higher operating point D₀ = 0.30 close to the natural-damping peak. The table makes the operating-point sensitivity explicit in tabular form, complementing the visual presentation of Figure 3.10.</w:t>
      </w:r>
    </w:p>
    <w:p>
      <w:pPr>
        <w:spacing w:before="80" w:after="320"/>
        <w:jc w:val="center"/>
      </w:pPr>
      <w:r>
        <w:rPr>
          <w:rFonts w:ascii="Times New Roman" w:hAnsi="Times New Roman"/>
          <w:b/>
          <w:sz w:val="20"/>
        </w:rPr>
        <w:t>Table 3.3 — Linearised plant parameters at three representative operating points.</w:t>
      </w:r>
    </w:p>
    <w:tbl>
      <w:tblPr>
        <w:tblStyle w:val="TableGrid"/>
        <w:tblW w:type="auto" w:w="0"/>
        <w:jc w:val="center"/>
        <w:tblLook w:firstColumn="1" w:firstRow="1" w:lastColumn="0" w:lastRow="0" w:noHBand="0" w:noVBand="1" w:val="04A0"/>
      </w:tblPr>
      <w:tblGrid>
        <w:gridCol w:w="1102"/>
        <w:gridCol w:w="1102"/>
        <w:gridCol w:w="1102"/>
        <w:gridCol w:w="1102"/>
        <w:gridCol w:w="1102"/>
        <w:gridCol w:w="1102"/>
        <w:gridCol w:w="1102"/>
        <w:gridCol w:w="1102"/>
      </w:tblGrid>
      <w:tr>
        <w:tc>
          <w:tcPr>
            <w:tcW w:type="dxa" w:w="907"/>
            <w:shd w:fill="D5E8F0"/>
          </w:tcPr>
          <w:p>
            <w:pPr>
              <w:spacing w:line="276" w:lineRule="auto" w:after="40"/>
            </w:pPr>
            <w:r/>
            <w:r>
              <w:rPr>
                <w:rFonts w:ascii="Times New Roman" w:hAnsi="Times New Roman"/>
                <w:b/>
                <w:i w:val="0"/>
                <w:sz w:val="20"/>
              </w:rPr>
              <w:t>D₀</w:t>
            </w:r>
          </w:p>
        </w:tc>
        <w:tc>
          <w:tcPr>
            <w:tcW w:type="dxa" w:w="907"/>
            <w:shd w:fill="D5E8F0"/>
          </w:tcPr>
          <w:p>
            <w:pPr>
              <w:spacing w:line="276" w:lineRule="auto" w:after="40"/>
            </w:pPr>
            <w:r/>
            <w:r>
              <w:rPr>
                <w:rFonts w:ascii="Times New Roman" w:hAnsi="Times New Roman"/>
                <w:b/>
                <w:i w:val="0"/>
                <w:sz w:val="20"/>
              </w:rPr>
              <w:t>V_C2 (V)</w:t>
            </w:r>
          </w:p>
        </w:tc>
        <w:tc>
          <w:tcPr>
            <w:tcW w:type="dxa" w:w="1134"/>
            <w:shd w:fill="D5E8F0"/>
          </w:tcPr>
          <w:p>
            <w:pPr>
              <w:spacing w:line="276" w:lineRule="auto" w:after="40"/>
            </w:pPr>
            <w:r/>
            <w:r>
              <w:rPr>
                <w:rFonts w:ascii="Times New Roman" w:hAnsi="Times New Roman"/>
                <w:b/>
                <w:i w:val="0"/>
                <w:sz w:val="20"/>
              </w:rPr>
              <w:t>Mode 1 f_n (Hz)</w:t>
            </w:r>
          </w:p>
        </w:tc>
        <w:tc>
          <w:tcPr>
            <w:tcW w:type="dxa" w:w="907"/>
            <w:shd w:fill="D5E8F0"/>
          </w:tcPr>
          <w:p>
            <w:pPr>
              <w:spacing w:line="276" w:lineRule="auto" w:after="40"/>
            </w:pPr>
            <w:r/>
            <w:r>
              <w:rPr>
                <w:rFonts w:ascii="Times New Roman" w:hAnsi="Times New Roman"/>
                <w:b/>
                <w:i w:val="0"/>
                <w:sz w:val="20"/>
              </w:rPr>
              <w:t>Mode 1 ζ</w:t>
            </w:r>
          </w:p>
        </w:tc>
        <w:tc>
          <w:tcPr>
            <w:tcW w:type="dxa" w:w="1134"/>
            <w:shd w:fill="D5E8F0"/>
          </w:tcPr>
          <w:p>
            <w:pPr>
              <w:spacing w:line="276" w:lineRule="auto" w:after="40"/>
            </w:pPr>
            <w:r/>
            <w:r>
              <w:rPr>
                <w:rFonts w:ascii="Times New Roman" w:hAnsi="Times New Roman"/>
                <w:b/>
                <w:i w:val="0"/>
                <w:sz w:val="20"/>
              </w:rPr>
              <w:t>Mode 2 f_n (Hz)</w:t>
            </w:r>
          </w:p>
        </w:tc>
        <w:tc>
          <w:tcPr>
            <w:tcW w:type="dxa" w:w="907"/>
            <w:shd w:fill="D5E8F0"/>
          </w:tcPr>
          <w:p>
            <w:pPr>
              <w:spacing w:line="276" w:lineRule="auto" w:after="40"/>
            </w:pPr>
            <w:r/>
            <w:r>
              <w:rPr>
                <w:rFonts w:ascii="Times New Roman" w:hAnsi="Times New Roman"/>
                <w:b/>
                <w:i w:val="0"/>
                <w:sz w:val="20"/>
              </w:rPr>
              <w:t>Mode 2 ζ</w:t>
            </w:r>
          </w:p>
        </w:tc>
        <w:tc>
          <w:tcPr>
            <w:tcW w:type="dxa" w:w="1247"/>
            <w:shd w:fill="D5E8F0"/>
          </w:tcPr>
          <w:p>
            <w:pPr>
              <w:spacing w:line="276" w:lineRule="auto" w:after="40"/>
            </w:pPr>
            <w:r/>
            <w:r>
              <w:rPr>
                <w:rFonts w:ascii="Times New Roman" w:hAnsi="Times New Roman"/>
                <w:b/>
                <w:i w:val="0"/>
                <w:sz w:val="20"/>
              </w:rPr>
              <w:t>DC gain (V/unit)</w:t>
            </w:r>
          </w:p>
        </w:tc>
        <w:tc>
          <w:tcPr>
            <w:tcW w:type="dxa" w:w="1020"/>
            <w:shd w:fill="D5E8F0"/>
          </w:tcPr>
          <w:p>
            <w:pPr>
              <w:spacing w:line="276" w:lineRule="auto" w:after="40"/>
            </w:pPr>
            <w:r/>
            <w:r>
              <w:rPr>
                <w:rFonts w:ascii="Times New Roman" w:hAnsi="Times New Roman"/>
                <w:b/>
                <w:i w:val="0"/>
                <w:sz w:val="20"/>
              </w:rPr>
              <w:t>t_s,2% (ms)</w:t>
            </w:r>
          </w:p>
        </w:tc>
      </w:tr>
      <w:tr>
        <w:tc>
          <w:tcPr>
            <w:tcW w:type="dxa" w:w="907"/>
          </w:tcPr>
          <w:p>
            <w:pPr>
              <w:spacing w:line="276" w:lineRule="auto" w:after="40"/>
            </w:pPr>
            <w:r>
              <w:t>0.15</w:t>
            </w:r>
            <w:r>
              <w:rPr>
                <w:rFonts w:ascii="Times New Roman" w:hAnsi="Times New Roman"/>
                <w:b w:val="0"/>
                <w:i w:val="0"/>
                <w:sz w:val="20"/>
              </w:rPr>
            </w:r>
          </w:p>
        </w:tc>
        <w:tc>
          <w:tcPr>
            <w:tcW w:type="dxa" w:w="907"/>
          </w:tcPr>
          <w:p>
            <w:pPr>
              <w:spacing w:line="276" w:lineRule="auto" w:after="40"/>
            </w:pPr>
            <w:r>
              <w:t>411.76</w:t>
            </w:r>
            <w:r>
              <w:rPr>
                <w:rFonts w:ascii="Times New Roman" w:hAnsi="Times New Roman"/>
                <w:b w:val="0"/>
                <w:i w:val="0"/>
                <w:sz w:val="20"/>
              </w:rPr>
            </w:r>
          </w:p>
        </w:tc>
        <w:tc>
          <w:tcPr>
            <w:tcW w:type="dxa" w:w="1134"/>
          </w:tcPr>
          <w:p>
            <w:pPr>
              <w:spacing w:line="276" w:lineRule="auto" w:after="40"/>
            </w:pPr>
            <w:r>
              <w:t>561.7</w:t>
            </w:r>
            <w:r>
              <w:rPr>
                <w:rFonts w:ascii="Times New Roman" w:hAnsi="Times New Roman"/>
                <w:b w:val="0"/>
                <w:i w:val="0"/>
                <w:sz w:val="20"/>
              </w:rPr>
            </w:r>
          </w:p>
        </w:tc>
        <w:tc>
          <w:tcPr>
            <w:tcW w:type="dxa" w:w="907"/>
          </w:tcPr>
          <w:p>
            <w:pPr>
              <w:spacing w:line="276" w:lineRule="auto" w:after="40"/>
            </w:pPr>
            <w:r>
              <w:t>0.069</w:t>
            </w:r>
            <w:r>
              <w:rPr>
                <w:rFonts w:ascii="Times New Roman" w:hAnsi="Times New Roman"/>
                <w:b w:val="0"/>
                <w:i w:val="0"/>
                <w:sz w:val="20"/>
              </w:rPr>
            </w:r>
          </w:p>
        </w:tc>
        <w:tc>
          <w:tcPr>
            <w:tcW w:type="dxa" w:w="1134"/>
          </w:tcPr>
          <w:p>
            <w:pPr>
              <w:spacing w:line="276" w:lineRule="auto" w:after="40"/>
            </w:pPr>
            <w:r>
              <w:t>789.7</w:t>
            </w:r>
            <w:r>
              <w:rPr>
                <w:rFonts w:ascii="Times New Roman" w:hAnsi="Times New Roman"/>
                <w:b w:val="0"/>
                <w:i w:val="0"/>
                <w:sz w:val="20"/>
              </w:rPr>
            </w:r>
          </w:p>
        </w:tc>
        <w:tc>
          <w:tcPr>
            <w:tcW w:type="dxa" w:w="907"/>
          </w:tcPr>
          <w:p>
            <w:pPr>
              <w:spacing w:line="276" w:lineRule="auto" w:after="40"/>
            </w:pPr>
            <w:r>
              <w:t>0.048</w:t>
            </w:r>
            <w:r>
              <w:rPr>
                <w:rFonts w:ascii="Times New Roman" w:hAnsi="Times New Roman"/>
                <w:b w:val="0"/>
                <w:i w:val="0"/>
                <w:sz w:val="20"/>
              </w:rPr>
            </w:r>
          </w:p>
        </w:tc>
        <w:tc>
          <w:tcPr>
            <w:tcW w:type="dxa" w:w="1247"/>
          </w:tcPr>
          <w:p>
            <w:pPr>
              <w:spacing w:line="276" w:lineRule="auto" w:after="40"/>
            </w:pPr>
            <w:r>
              <w:t>−840.0</w:t>
            </w:r>
            <w:r>
              <w:rPr>
                <w:rFonts w:ascii="Times New Roman" w:hAnsi="Times New Roman"/>
                <w:b w:val="0"/>
                <w:i w:val="0"/>
                <w:sz w:val="20"/>
              </w:rPr>
            </w:r>
          </w:p>
        </w:tc>
        <w:tc>
          <w:tcPr>
            <w:tcW w:type="dxa" w:w="1020"/>
          </w:tcPr>
          <w:p>
            <w:pPr>
              <w:spacing w:line="276" w:lineRule="auto" w:after="40"/>
            </w:pPr>
            <w:r>
              <w:t>16.19</w:t>
            </w:r>
            <w:r>
              <w:rPr>
                <w:rFonts w:ascii="Times New Roman" w:hAnsi="Times New Roman"/>
                <w:b w:val="0"/>
                <w:i w:val="0"/>
                <w:sz w:val="20"/>
              </w:rPr>
            </w:r>
          </w:p>
        </w:tc>
      </w:tr>
      <w:tr>
        <w:tc>
          <w:tcPr>
            <w:tcW w:type="dxa" w:w="907"/>
          </w:tcPr>
          <w:p>
            <w:pPr>
              <w:spacing w:line="276" w:lineRule="auto" w:after="40"/>
            </w:pPr>
            <w:r>
              <w:t>0.20</w:t>
            </w:r>
            <w:r>
              <w:rPr>
                <w:rFonts w:ascii="Times New Roman" w:hAnsi="Times New Roman"/>
                <w:b w:val="0"/>
                <w:i w:val="0"/>
                <w:sz w:val="20"/>
              </w:rPr>
            </w:r>
          </w:p>
        </w:tc>
        <w:tc>
          <w:tcPr>
            <w:tcW w:type="dxa" w:w="907"/>
          </w:tcPr>
          <w:p>
            <w:pPr>
              <w:spacing w:line="276" w:lineRule="auto" w:after="40"/>
            </w:pPr>
            <w:r>
              <w:t>375.00</w:t>
            </w:r>
            <w:r>
              <w:rPr>
                <w:rFonts w:ascii="Times New Roman" w:hAnsi="Times New Roman"/>
                <w:b w:val="0"/>
                <w:i w:val="0"/>
                <w:sz w:val="20"/>
              </w:rPr>
            </w:r>
          </w:p>
        </w:tc>
        <w:tc>
          <w:tcPr>
            <w:tcW w:type="dxa" w:w="1134"/>
          </w:tcPr>
          <w:p>
            <w:pPr>
              <w:spacing w:line="276" w:lineRule="auto" w:after="40"/>
            </w:pPr>
            <w:r>
              <w:t>482.3</w:t>
            </w:r>
            <w:r>
              <w:rPr>
                <w:rFonts w:ascii="Times New Roman" w:hAnsi="Times New Roman"/>
                <w:b w:val="0"/>
                <w:i w:val="0"/>
                <w:sz w:val="20"/>
              </w:rPr>
            </w:r>
          </w:p>
        </w:tc>
        <w:tc>
          <w:tcPr>
            <w:tcW w:type="dxa" w:w="907"/>
          </w:tcPr>
          <w:p>
            <w:pPr>
              <w:spacing w:line="276" w:lineRule="auto" w:after="40"/>
            </w:pPr>
            <w:r>
              <w:t>0.096</w:t>
            </w:r>
            <w:r>
              <w:rPr>
                <w:rFonts w:ascii="Times New Roman" w:hAnsi="Times New Roman"/>
                <w:b w:val="0"/>
                <w:i w:val="0"/>
                <w:sz w:val="20"/>
              </w:rPr>
            </w:r>
          </w:p>
        </w:tc>
        <w:tc>
          <w:tcPr>
            <w:tcW w:type="dxa" w:w="1134"/>
          </w:tcPr>
          <w:p>
            <w:pPr>
              <w:spacing w:line="276" w:lineRule="auto" w:after="40"/>
            </w:pPr>
            <w:r>
              <w:t>788.8</w:t>
            </w:r>
            <w:r>
              <w:rPr>
                <w:rFonts w:ascii="Times New Roman" w:hAnsi="Times New Roman"/>
                <w:b w:val="0"/>
                <w:i w:val="0"/>
                <w:sz w:val="20"/>
              </w:rPr>
            </w:r>
          </w:p>
        </w:tc>
        <w:tc>
          <w:tcPr>
            <w:tcW w:type="dxa" w:w="907"/>
          </w:tcPr>
          <w:p>
            <w:pPr>
              <w:spacing w:line="276" w:lineRule="auto" w:after="40"/>
            </w:pPr>
            <w:r>
              <w:t>0.057</w:t>
            </w:r>
            <w:r>
              <w:rPr>
                <w:rFonts w:ascii="Times New Roman" w:hAnsi="Times New Roman"/>
                <w:b w:val="0"/>
                <w:i w:val="0"/>
                <w:sz w:val="20"/>
              </w:rPr>
            </w:r>
          </w:p>
        </w:tc>
        <w:tc>
          <w:tcPr>
            <w:tcW w:type="dxa" w:w="1247"/>
          </w:tcPr>
          <w:p>
            <w:pPr>
              <w:spacing w:line="276" w:lineRule="auto" w:after="40"/>
            </w:pPr>
            <w:r>
              <w:t>−1040.7</w:t>
            </w:r>
            <w:r>
              <w:rPr>
                <w:rFonts w:ascii="Times New Roman" w:hAnsi="Times New Roman"/>
                <w:b w:val="0"/>
                <w:i w:val="0"/>
                <w:sz w:val="20"/>
              </w:rPr>
            </w:r>
          </w:p>
        </w:tc>
        <w:tc>
          <w:tcPr>
            <w:tcW w:type="dxa" w:w="1020"/>
          </w:tcPr>
          <w:p>
            <w:pPr>
              <w:spacing w:line="276" w:lineRule="auto" w:after="40"/>
            </w:pPr>
            <w:r>
              <w:t>12.71</w:t>
            </w:r>
            <w:r>
              <w:rPr>
                <w:rFonts w:ascii="Times New Roman" w:hAnsi="Times New Roman"/>
                <w:b w:val="0"/>
                <w:i w:val="0"/>
                <w:sz w:val="20"/>
              </w:rPr>
            </w:r>
          </w:p>
        </w:tc>
      </w:tr>
      <w:tr>
        <w:tc>
          <w:tcPr>
            <w:tcW w:type="dxa" w:w="907"/>
          </w:tcPr>
          <w:p>
            <w:pPr>
              <w:spacing w:line="276" w:lineRule="auto" w:after="40"/>
            </w:pPr>
            <w:r>
              <w:t>0.30</w:t>
            </w:r>
            <w:r>
              <w:rPr>
                <w:rFonts w:ascii="Times New Roman" w:hAnsi="Times New Roman"/>
                <w:b w:val="0"/>
                <w:i w:val="0"/>
                <w:sz w:val="20"/>
              </w:rPr>
            </w:r>
          </w:p>
        </w:tc>
        <w:tc>
          <w:tcPr>
            <w:tcW w:type="dxa" w:w="907"/>
          </w:tcPr>
          <w:p>
            <w:pPr>
              <w:spacing w:line="276" w:lineRule="auto" w:after="40"/>
            </w:pPr>
            <w:r>
              <w:t>285.71</w:t>
            </w:r>
            <w:r>
              <w:rPr>
                <w:rFonts w:ascii="Times New Roman" w:hAnsi="Times New Roman"/>
                <w:b w:val="0"/>
                <w:i w:val="0"/>
                <w:sz w:val="20"/>
              </w:rPr>
            </w:r>
          </w:p>
        </w:tc>
        <w:tc>
          <w:tcPr>
            <w:tcW w:type="dxa" w:w="1134"/>
          </w:tcPr>
          <w:p>
            <w:pPr>
              <w:spacing w:line="276" w:lineRule="auto" w:after="40"/>
            </w:pPr>
            <w:r>
              <w:t>326.4</w:t>
            </w:r>
            <w:r>
              <w:rPr>
                <w:rFonts w:ascii="Times New Roman" w:hAnsi="Times New Roman"/>
                <w:b w:val="0"/>
                <w:i w:val="0"/>
                <w:sz w:val="20"/>
              </w:rPr>
            </w:r>
          </w:p>
        </w:tc>
        <w:tc>
          <w:tcPr>
            <w:tcW w:type="dxa" w:w="907"/>
          </w:tcPr>
          <w:p>
            <w:pPr>
              <w:spacing w:line="276" w:lineRule="auto" w:after="40"/>
            </w:pPr>
            <w:r>
              <w:t>0.243</w:t>
            </w:r>
            <w:r>
              <w:rPr>
                <w:rFonts w:ascii="Times New Roman" w:hAnsi="Times New Roman"/>
                <w:b w:val="0"/>
                <w:i w:val="0"/>
                <w:sz w:val="20"/>
              </w:rPr>
            </w:r>
          </w:p>
        </w:tc>
        <w:tc>
          <w:tcPr>
            <w:tcW w:type="dxa" w:w="1134"/>
          </w:tcPr>
          <w:p>
            <w:pPr>
              <w:spacing w:line="276" w:lineRule="auto" w:after="40"/>
            </w:pPr>
            <w:r>
              <w:t>780.0</w:t>
            </w:r>
            <w:r>
              <w:rPr>
                <w:rFonts w:ascii="Times New Roman" w:hAnsi="Times New Roman"/>
                <w:b w:val="0"/>
                <w:i w:val="0"/>
                <w:sz w:val="20"/>
              </w:rPr>
            </w:r>
          </w:p>
        </w:tc>
        <w:tc>
          <w:tcPr>
            <w:tcW w:type="dxa" w:w="907"/>
          </w:tcPr>
          <w:p>
            <w:pPr>
              <w:spacing w:line="276" w:lineRule="auto" w:after="40"/>
            </w:pPr>
            <w:r>
              <w:t>0.095</w:t>
            </w:r>
            <w:r>
              <w:rPr>
                <w:rFonts w:ascii="Times New Roman" w:hAnsi="Times New Roman"/>
                <w:b w:val="0"/>
                <w:i w:val="0"/>
                <w:sz w:val="20"/>
              </w:rPr>
            </w:r>
          </w:p>
        </w:tc>
        <w:tc>
          <w:tcPr>
            <w:tcW w:type="dxa" w:w="1247"/>
          </w:tcPr>
          <w:p>
            <w:pPr>
              <w:spacing w:line="276" w:lineRule="auto" w:after="40"/>
            </w:pPr>
            <w:r>
              <w:t>−1774.3</w:t>
            </w:r>
            <w:r>
              <w:rPr>
                <w:rFonts w:ascii="Times New Roman" w:hAnsi="Times New Roman"/>
                <w:b w:val="0"/>
                <w:i w:val="0"/>
                <w:sz w:val="20"/>
              </w:rPr>
            </w:r>
          </w:p>
        </w:tc>
        <w:tc>
          <w:tcPr>
            <w:tcW w:type="dxa" w:w="1020"/>
          </w:tcPr>
          <w:p>
            <w:pPr>
              <w:spacing w:line="276" w:lineRule="auto" w:after="40"/>
            </w:pPr>
            <w:r>
              <w:t>7.99</w:t>
            </w:r>
            <w:r>
              <w:rPr>
                <w:rFonts w:ascii="Times New Roman" w:hAnsi="Times New Roman"/>
                <w:b w:val="0"/>
                <w:i w:val="0"/>
                <w:sz w:val="20"/>
              </w:rPr>
            </w:r>
          </w:p>
        </w:tc>
      </w:tr>
    </w:tbl>
    <w:p/>
    <w:p>
      <w:pPr>
        <w:spacing w:line="360" w:lineRule="auto" w:after="160"/>
        <w:ind w:firstLine="0"/>
        <w:jc w:val="both"/>
      </w:pPr>
      <w:r>
        <w:rPr>
          <w:rFonts w:ascii="Times New Roman" w:hAnsi="Times New Roman"/>
          <w:b w:val="0"/>
          <w:i w:val="0"/>
          <w:sz w:val="22"/>
        </w:rPr>
        <w:t>The table makes plain the central design challenge that this chapter hands forward to Chapter 6. Across just a factor-of-two variation in operating-point duty ratio (0.15 to 0.30), the natural frequency changes by 40 %, the dominant-mode damping changes by a factor of 3.5, the DC gain changes by a factor of 2.1, and the settling time changes by a factor of 2.0 in the opposite direction. No single fixed-gain controller can maintain consistent performance across this variation. The Chapter 6 design uses a gain-scheduled proportional-resonant controller indexed by the local converter operating point to compensate for these variations.</w:t>
      </w:r>
    </w:p>
    <w:p>
      <w:pPr>
        <w:pStyle w:val="Heading1"/>
        <w:spacing w:before="360" w:after="160"/>
      </w:pPr>
      <w:r>
        <w:rPr>
          <w:rFonts w:ascii="Times New Roman" w:hAnsi="Times New Roman"/>
          <w:b/>
          <w:color w:val="000000"/>
          <w:sz w:val="32"/>
        </w:rPr>
        <w:t>3.8 Summary and Conclusions</w:t>
      </w:r>
    </w:p>
    <w:p>
      <w:pPr>
        <w:pStyle w:val="Heading2"/>
        <w:spacing w:before="360" w:after="160"/>
      </w:pPr>
      <w:r>
        <w:rPr>
          <w:rFonts w:ascii="Times New Roman" w:hAnsi="Times New Roman"/>
          <w:b/>
          <w:color w:val="000000"/>
          <w:sz w:val="28"/>
        </w:rPr>
        <w:t>3.8.1 Findings</w:t>
      </w:r>
    </w:p>
    <w:p>
      <w:pPr>
        <w:spacing w:line="360" w:lineRule="auto" w:after="160"/>
        <w:ind w:firstLine="0"/>
        <w:jc w:val="both"/>
      </w:pPr>
      <w:r>
        <w:rPr>
          <w:rFonts w:ascii="Times New Roman" w:hAnsi="Times New Roman"/>
          <w:b w:val="0"/>
          <w:i w:val="0"/>
          <w:sz w:val="22"/>
        </w:rPr>
        <w:t>This chapter has developed and verified the small-signal averaged state-space model of the semi-Z-source DC-DC stage and characterised the resulting plant in detail. The principal findings are summarised below.</w:t>
      </w:r>
    </w:p>
    <w:p>
      <w:pPr>
        <w:spacing w:line="360" w:lineRule="auto" w:after="160"/>
        <w:ind w:firstLine="0"/>
        <w:jc w:val="both"/>
      </w:pPr>
      <w:r>
        <w:rPr>
          <w:rFonts w:ascii="Times New Roman" w:hAnsi="Times New Roman"/>
          <w:b w:val="0"/>
          <w:i w:val="0"/>
          <w:sz w:val="22"/>
        </w:rPr>
        <w:t>The state-space averaging procedure of Section 3.3, applied to the four-state model with all parasitic elements (inductor winding resistance, MOSFET on-resistance, capacitor ESR) included, produces a 4 × 4 A matrix with eleven non-zero entries plus two new cross-coupling entries induced by the ESR. The linearisation procedure of Section 3.4 has been derived in full, including the modification of the output matrix from the canonical form [0, 0, 0, 1] to a four-element vector reflecting the ESR-induced offset between the ideal-capacitor voltage and the load-facing terminal voltage. The derivation has been verified by an algebraic cross-check: setting r_C = 0 reproduces the original ESR-free A and C matrices for all entries.</w:t>
      </w:r>
    </w:p>
    <w:p>
      <w:pPr>
        <w:spacing w:line="360" w:lineRule="auto" w:after="160"/>
        <w:ind w:firstLine="0"/>
        <w:jc w:val="both"/>
      </w:pPr>
      <w:r>
        <w:rPr>
          <w:rFonts w:ascii="Times New Roman" w:hAnsi="Times New Roman"/>
          <w:b w:val="0"/>
          <w:i w:val="0"/>
          <w:sz w:val="22"/>
        </w:rPr>
        <w:t>The verification programme of Section 3.5 has established the small-signal validity boundary at Δd = 0.031 (15.5 % of the nominal duty ratio) for 2 % linearisation error, and at Δd = 0.095 (47.5 % of nominal) for 5 % error. The three step-response studies confirm that the linearised model accurately predicts steady-state behaviour within the strict validity region, with growing but bounded error beyond. The validity boundary implies a closed-loop bandwidth recommendation of approximately 200 Hz for Chapter 6, well below the dominant resonance and within the validated linear regime.</w:t>
      </w:r>
    </w:p>
    <w:p>
      <w:pPr>
        <w:spacing w:line="360" w:lineRule="auto" w:after="160"/>
        <w:ind w:firstLine="0"/>
        <w:jc w:val="both"/>
      </w:pPr>
      <w:r>
        <w:rPr>
          <w:rFonts w:ascii="Times New Roman" w:hAnsi="Times New Roman"/>
          <w:b w:val="0"/>
          <w:i w:val="0"/>
          <w:sz w:val="22"/>
        </w:rPr>
        <w:t>The component-value sensitivity analysis of Section 3.6 has shown that the nominal design (L = 2 mH, C = 20 µF) is robust to ±20 % component variation: all four dynamic metrics (settling time, overshoot, natural frequency, damping ratio) remain within engineering tolerance across the tolerance band. The design is sensitive to component variation but not catastrophically so; no parameter combination within tolerance leads to instability. The open-loop overshoot of approximately 50 % at the nominal design has been acknowledged honestly: it is the time-domain manifestation of the low natural damping (ζ ≈ 0.16) and will be reduced by the closed-loop controller to below 10 % in Chapter 6.</w:t>
      </w:r>
    </w:p>
    <w:p>
      <w:pPr>
        <w:spacing w:line="360" w:lineRule="auto" w:after="160"/>
        <w:ind w:firstLine="0"/>
        <w:jc w:val="both"/>
      </w:pPr>
      <w:r>
        <w:rPr>
          <w:rFonts w:ascii="Times New Roman" w:hAnsi="Times New Roman"/>
          <w:b w:val="0"/>
          <w:i w:val="0"/>
          <w:sz w:val="22"/>
        </w:rPr>
        <w:t>The frequency-domain characterisation of Section 3.7 has identified two complex pole pairs: Mode 1 at 482.3 Hz with damping 0.10, and Mode 2 at 788.8 Hz with damping 0.06. Partial pole-zero cancellation makes Mode 2 less observable at the output than its pole position would suggest. The plant varies substantially across the MPPT operating range: the DC gain varies by a factor of about six, the natural damping by an order of magnitude, and the settling time by about six-fold. The natural damping reaches its peak (ζ ≈ 0.81) at D₀ ≈ 0.375, just at the regime-change boundary where Mode 2 transitions from complex to real poles.</w:t>
      </w:r>
    </w:p>
    <w:p>
      <w:pPr>
        <w:pStyle w:val="Heading2"/>
        <w:spacing w:before="360" w:after="160"/>
      </w:pPr>
      <w:r>
        <w:rPr>
          <w:rFonts w:ascii="Times New Roman" w:hAnsi="Times New Roman"/>
          <w:b/>
          <w:color w:val="000000"/>
          <w:sz w:val="28"/>
        </w:rPr>
        <w:t>3.8.2 Design constraints handed forward to Chapter 6</w:t>
      </w:r>
    </w:p>
    <w:p>
      <w:pPr>
        <w:spacing w:line="360" w:lineRule="auto" w:after="160"/>
        <w:ind w:firstLine="0"/>
        <w:jc w:val="both"/>
      </w:pPr>
      <w:r>
        <w:rPr>
          <w:rFonts w:ascii="Times New Roman" w:hAnsi="Times New Roman"/>
          <w:b w:val="0"/>
          <w:i w:val="0"/>
          <w:sz w:val="22"/>
        </w:rPr>
        <w:t>The chapter's analysis identifies five specific design constraints that the linearised plant imposes on the closed-loop controller design of Chapter 6:</w:t>
      </w:r>
    </w:p>
    <w:p>
      <w:pPr>
        <w:spacing w:line="360" w:lineRule="auto" w:after="160"/>
        <w:ind w:firstLine="0"/>
        <w:jc w:val="both"/>
      </w:pPr>
      <w:r>
        <w:rPr>
          <w:rFonts w:ascii="Times New Roman" w:hAnsi="Times New Roman"/>
          <w:b w:val="0"/>
          <w:i w:val="0"/>
          <w:sz w:val="22"/>
        </w:rPr>
        <w:t>First, the closed-loop bandwidth must not exceed approximately 200 Hz (one-third of the dominant resonance) to maintain adequate stability margins against the lightly-damped Mode 1 resonance. The 200 Hz bound is also necessary to keep the commanded duty-ratio perturbations within the validated linear regime of Δd ≤ 0.031.</w:t>
      </w:r>
    </w:p>
    <w:p>
      <w:pPr>
        <w:spacing w:line="360" w:lineRule="auto" w:after="160"/>
        <w:ind w:firstLine="0"/>
        <w:jc w:val="both"/>
      </w:pPr>
      <w:r>
        <w:rPr>
          <w:rFonts w:ascii="Times New Roman" w:hAnsi="Times New Roman"/>
          <w:b w:val="0"/>
          <w:i w:val="0"/>
          <w:sz w:val="22"/>
        </w:rPr>
        <w:t>Second, the closed-loop controller must add substantial electronic damping to bring the closed-loop overshoot from the open-loop value of approximately 50 % to a target of below 10 %. The damping enhancement is the principal performance objective of the closed-loop work.</w:t>
      </w:r>
    </w:p>
    <w:p>
      <w:pPr>
        <w:spacing w:line="360" w:lineRule="auto" w:after="160"/>
        <w:ind w:firstLine="0"/>
        <w:jc w:val="both"/>
      </w:pPr>
      <w:r>
        <w:rPr>
          <w:rFonts w:ascii="Times New Roman" w:hAnsi="Times New Roman"/>
          <w:b w:val="0"/>
          <w:i w:val="0"/>
          <w:sz w:val="22"/>
        </w:rPr>
        <w:t>Third, the controller must be gain-scheduled to compensate for the operating-point variation that the linearised plant exhibits across the practical operating envelope. The DC gain G_vd(0) varies by a factor of about six between D₀ = 0.10 and D₀ = 0.40, the natural damping varies by an order of magnitude over the same range, and the settling time varies by about six-fold in the opposite direction. A fixed-gain controller designed at any one operating point would have effectively the wrong loop gain by up to a factor of three at the operating-range extremes, producing closed-loop bandwidth, damping, and settling-time metrics that vary widely with operating condition. In the AC-side application of Chapter 6, this variation translates directly into varying DC-injection rejection performance across modulation indices as the duty cycle sweeps along its modulation pattern. The Chapter 6 design uses a cycle-averaged gain-scheduling approach, indexing the proportional and resonant gains of the PR compensator against the operating-point modulation index, with the schedule computed analytically from the plant model derived in this chapter.</w:t>
      </w:r>
    </w:p>
    <w:p>
      <w:pPr>
        <w:spacing w:line="360" w:lineRule="auto" w:after="160"/>
        <w:ind w:firstLine="0"/>
        <w:jc w:val="both"/>
      </w:pPr>
      <w:r>
        <w:rPr>
          <w:rFonts w:ascii="Times New Roman" w:hAnsi="Times New Roman"/>
          <w:b w:val="0"/>
          <w:i w:val="0"/>
          <w:sz w:val="22"/>
        </w:rPr>
        <w:t>Fourth, the controller design must account for the regime change in Mode 2 at D₀ ≈ 0.375: design techniques that rely on a fixed complex-pole-pair assumption (such as some classical pole-placement methods) would fail in the upper part of the MPPT range. The gain-scheduled proportional-resonant approach of Chapter 6 avoids this limitation.</w:t>
      </w:r>
    </w:p>
    <w:p>
      <w:pPr>
        <w:spacing w:line="360" w:lineRule="auto" w:after="160"/>
        <w:ind w:firstLine="0"/>
        <w:jc w:val="both"/>
      </w:pPr>
      <w:r>
        <w:rPr>
          <w:rFonts w:ascii="Times New Roman" w:hAnsi="Times New Roman"/>
          <w:b w:val="0"/>
          <w:i w:val="0"/>
          <w:sz w:val="22"/>
        </w:rPr>
        <w:t>Fifth, the converter operating point must be kept in CCM at all times. This is enforced by including a current floor in the duty-ratio command, ensuring that the inductor currents never drop into the discontinuous-conduction regime where the averaged equations of Section 3.3 would no longer apply.</w:t>
      </w:r>
    </w:p>
    <w:p>
      <w:pPr>
        <w:spacing w:line="360" w:lineRule="auto" w:after="160"/>
        <w:ind w:firstLine="0"/>
        <w:jc w:val="both"/>
      </w:pPr>
      <w:r>
        <w:rPr>
          <w:rFonts w:ascii="Times New Roman" w:hAnsi="Times New Roman"/>
          <w:b w:val="0"/>
          <w:i w:val="0"/>
          <w:sz w:val="22"/>
        </w:rPr>
        <w:t>These five constraints provide the design specification for the closed-loop controller of Chapter 6. The controller design is developed in detail there, with reference back to this chapter for the plant model and the validity bounds established here.</w:t>
      </w:r>
    </w:p>
    <w:p>
      <w:pPr>
        <w:pStyle w:val="Heading2"/>
        <w:spacing w:before="360" w:after="160"/>
      </w:pPr>
      <w:r>
        <w:rPr>
          <w:rFonts w:ascii="Times New Roman" w:hAnsi="Times New Roman"/>
          <w:b/>
          <w:color w:val="000000"/>
          <w:sz w:val="28"/>
        </w:rPr>
        <w:t>3.8.3 Methodological contributions</w:t>
      </w:r>
    </w:p>
    <w:p>
      <w:pPr>
        <w:spacing w:line="360" w:lineRule="auto" w:after="160"/>
        <w:ind w:firstLine="0"/>
        <w:jc w:val="both"/>
      </w:pPr>
      <w:r>
        <w:rPr>
          <w:rFonts w:ascii="Times New Roman" w:hAnsi="Times New Roman"/>
          <w:b w:val="0"/>
          <w:i w:val="0"/>
          <w:sz w:val="22"/>
        </w:rPr>
        <w:t>The methodological contributions of this chapter, as they respond to the examiner's specific concerns, are as follows. First, the full linearisation procedure has been documented step-by-step in Section 3.4, including the explicit treatment of all parasitic elements with capacitor ESR included; the derivation is reproducible and the resulting A and C matrices are presented in a form that allows independent verification. Second, the parasitic elements have been made explicit in the model: r_L, R_on, and r_C all appear directly in the A matrix entries, and their numerical contributions to the pole locations and damping ratios have been quantified. Third, the small-signal validity has been characterised quantitatively through the three-study verification programme of Section 3.5, with the validity boundary identified at Δd = 0.031 for 2 % error and at Δd = 0.095 for 5 % error. Fourth, the plant variation across the MPPT operating range has been quantified in Section 3.7 and used to motivate the gain-scheduled approach of Chapter 6.</w:t>
      </w:r>
    </w:p>
    <w:p>
      <w:pPr>
        <w:spacing w:line="360" w:lineRule="auto" w:after="160"/>
        <w:ind w:firstLine="0"/>
        <w:jc w:val="both"/>
      </w:pPr>
      <w:r>
        <w:rPr>
          <w:rFonts w:ascii="Times New Roman" w:hAnsi="Times New Roman"/>
          <w:b w:val="0"/>
          <w:i w:val="0"/>
          <w:sz w:val="22"/>
        </w:rPr>
        <w:t>Each of these contributions answers a specific aspect of the examiner's concerns and provides the foundation for the closed-loop design developed in subsequent chapters.</w:t>
      </w:r>
    </w:p>
    <w:sectPr w:rsidR="00FC693F" w:rsidRPr="0006063C" w:rsidSect="00034616">
      <w:pgSz w:w="12240" w:h="15840"/>
      <w:pgMar w:top="1440" w:right="1440" w:bottom="1440"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