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F77" w:rsidRDefault="008C71FF">
      <w:bookmarkStart w:id="0" w:name="_GoBack"/>
      <w:r>
        <w:rPr>
          <w:noProof/>
        </w:rPr>
        <w:drawing>
          <wp:inline distT="0" distB="0" distL="0" distR="0" wp14:anchorId="153083F2" wp14:editId="01428E2B">
            <wp:extent cx="8458200" cy="5915025"/>
            <wp:effectExtent l="0" t="0" r="1905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0C0F77" w:rsidSect="004345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FF"/>
    <w:rsid w:val="000C0F77"/>
    <w:rsid w:val="00320F86"/>
    <w:rsid w:val="003E3B4C"/>
    <w:rsid w:val="004345A2"/>
    <w:rsid w:val="005D5352"/>
    <w:rsid w:val="007F2699"/>
    <w:rsid w:val="008C71FF"/>
    <w:rsid w:val="00AB13A2"/>
    <w:rsid w:val="00CF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1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 b="0"/>
              <a:t>Datos</a:t>
            </a:r>
            <a:r>
              <a:rPr lang="en-US" sz="1400" b="0" baseline="0"/>
              <a:t> sector agrario 2010 - 2011</a:t>
            </a:r>
            <a:endParaRPr lang="en-US" sz="1400" b="0"/>
          </a:p>
        </c:rich>
      </c:tx>
      <c:layout>
        <c:manualLayout>
          <c:xMode val="edge"/>
          <c:yMode val="edge"/>
          <c:x val="0.30910305482648004"/>
          <c:y val="2.3809523809523808E-2"/>
        </c:manualLayout>
      </c:layout>
      <c:overlay val="0"/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superficie (Ha) 2010</c:v>
                </c:pt>
              </c:strCache>
            </c:strRef>
          </c:tx>
          <c:cat>
            <c:strRef>
              <c:f>Hoja1!$A$2:$A$25</c:f>
              <c:strCache>
                <c:ptCount val="24"/>
                <c:pt idx="0">
                  <c:v>Cereales</c:v>
                </c:pt>
                <c:pt idx="1">
                  <c:v>Trigo</c:v>
                </c:pt>
                <c:pt idx="2">
                  <c:v>Cebada </c:v>
                </c:pt>
                <c:pt idx="3">
                  <c:v>Maiz</c:v>
                </c:pt>
                <c:pt idx="4">
                  <c:v>Leguminosas grano</c:v>
                </c:pt>
                <c:pt idx="5">
                  <c:v>Cultivos industriales</c:v>
                </c:pt>
                <c:pt idx="6">
                  <c:v>Remolacha</c:v>
                </c:pt>
                <c:pt idx="7">
                  <c:v>Patata</c:v>
                </c:pt>
                <c:pt idx="8">
                  <c:v>Cultivos forrajros </c:v>
                </c:pt>
                <c:pt idx="9">
                  <c:v>Hortalizas</c:v>
                </c:pt>
                <c:pt idx="10">
                  <c:v>Lechuga </c:v>
                </c:pt>
                <c:pt idx="11">
                  <c:v>tomate </c:v>
                </c:pt>
                <c:pt idx="12">
                  <c:v>Alcachofa</c:v>
                </c:pt>
                <c:pt idx="13">
                  <c:v>Coliflor</c:v>
                </c:pt>
                <c:pt idx="14">
                  <c:v>Judia verde</c:v>
                </c:pt>
                <c:pt idx="15">
                  <c:v>Guisante verde</c:v>
                </c:pt>
                <c:pt idx="16">
                  <c:v>Champiñon</c:v>
                </c:pt>
                <c:pt idx="17">
                  <c:v>Frutales</c:v>
                </c:pt>
                <c:pt idx="18">
                  <c:v>Manzano</c:v>
                </c:pt>
                <c:pt idx="19">
                  <c:v>Peral</c:v>
                </c:pt>
                <c:pt idx="20">
                  <c:v>Melocotonero</c:v>
                </c:pt>
                <c:pt idx="21">
                  <c:v>Almendro</c:v>
                </c:pt>
                <c:pt idx="22">
                  <c:v>Viñedo</c:v>
                </c:pt>
                <c:pt idx="23">
                  <c:v>Olivar</c:v>
                </c:pt>
              </c:strCache>
            </c:strRef>
          </c:cat>
          <c:val>
            <c:numRef>
              <c:f>Hoja1!$B$2:$B$25</c:f>
              <c:numCache>
                <c:formatCode>General</c:formatCode>
                <c:ptCount val="24"/>
                <c:pt idx="0">
                  <c:v>56385</c:v>
                </c:pt>
                <c:pt idx="1">
                  <c:v>34705</c:v>
                </c:pt>
                <c:pt idx="2">
                  <c:v>19718</c:v>
                </c:pt>
                <c:pt idx="3">
                  <c:v>1419</c:v>
                </c:pt>
                <c:pt idx="4">
                  <c:v>200</c:v>
                </c:pt>
                <c:pt idx="5">
                  <c:v>2152</c:v>
                </c:pt>
                <c:pt idx="6">
                  <c:v>1935</c:v>
                </c:pt>
                <c:pt idx="7">
                  <c:v>2947</c:v>
                </c:pt>
                <c:pt idx="8">
                  <c:v>2583</c:v>
                </c:pt>
                <c:pt idx="9">
                  <c:v>9655</c:v>
                </c:pt>
                <c:pt idx="10">
                  <c:v>324</c:v>
                </c:pt>
                <c:pt idx="11">
                  <c:v>382</c:v>
                </c:pt>
                <c:pt idx="12">
                  <c:v>1311</c:v>
                </c:pt>
                <c:pt idx="13">
                  <c:v>1994</c:v>
                </c:pt>
                <c:pt idx="14">
                  <c:v>2064</c:v>
                </c:pt>
                <c:pt idx="15">
                  <c:v>1843</c:v>
                </c:pt>
                <c:pt idx="16">
                  <c:v>74</c:v>
                </c:pt>
                <c:pt idx="17">
                  <c:v>15391</c:v>
                </c:pt>
                <c:pt idx="18">
                  <c:v>1051</c:v>
                </c:pt>
                <c:pt idx="19">
                  <c:v>2091</c:v>
                </c:pt>
                <c:pt idx="20">
                  <c:v>1120</c:v>
                </c:pt>
                <c:pt idx="21">
                  <c:v>9848</c:v>
                </c:pt>
                <c:pt idx="22">
                  <c:v>42855</c:v>
                </c:pt>
                <c:pt idx="23">
                  <c:v>3399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Diferencia  </c:v>
                </c:pt>
              </c:strCache>
            </c:strRef>
          </c:tx>
          <c:spPr>
            <a:ln w="25400">
              <a:noFill/>
            </a:ln>
          </c:spPr>
          <c:cat>
            <c:strRef>
              <c:f>Hoja1!$A$2:$A$25</c:f>
              <c:strCache>
                <c:ptCount val="24"/>
                <c:pt idx="0">
                  <c:v>Cereales</c:v>
                </c:pt>
                <c:pt idx="1">
                  <c:v>Trigo</c:v>
                </c:pt>
                <c:pt idx="2">
                  <c:v>Cebada </c:v>
                </c:pt>
                <c:pt idx="3">
                  <c:v>Maiz</c:v>
                </c:pt>
                <c:pt idx="4">
                  <c:v>Leguminosas grano</c:v>
                </c:pt>
                <c:pt idx="5">
                  <c:v>Cultivos industriales</c:v>
                </c:pt>
                <c:pt idx="6">
                  <c:v>Remolacha</c:v>
                </c:pt>
                <c:pt idx="7">
                  <c:v>Patata</c:v>
                </c:pt>
                <c:pt idx="8">
                  <c:v>Cultivos forrajros </c:v>
                </c:pt>
                <c:pt idx="9">
                  <c:v>Hortalizas</c:v>
                </c:pt>
                <c:pt idx="10">
                  <c:v>Lechuga </c:v>
                </c:pt>
                <c:pt idx="11">
                  <c:v>tomate </c:v>
                </c:pt>
                <c:pt idx="12">
                  <c:v>Alcachofa</c:v>
                </c:pt>
                <c:pt idx="13">
                  <c:v>Coliflor</c:v>
                </c:pt>
                <c:pt idx="14">
                  <c:v>Judia verde</c:v>
                </c:pt>
                <c:pt idx="15">
                  <c:v>Guisante verde</c:v>
                </c:pt>
                <c:pt idx="16">
                  <c:v>Champiñon</c:v>
                </c:pt>
                <c:pt idx="17">
                  <c:v>Frutales</c:v>
                </c:pt>
                <c:pt idx="18">
                  <c:v>Manzano</c:v>
                </c:pt>
                <c:pt idx="19">
                  <c:v>Peral</c:v>
                </c:pt>
                <c:pt idx="20">
                  <c:v>Melocotonero</c:v>
                </c:pt>
                <c:pt idx="21">
                  <c:v>Almendro</c:v>
                </c:pt>
                <c:pt idx="22">
                  <c:v>Viñedo</c:v>
                </c:pt>
                <c:pt idx="23">
                  <c:v>Olivar</c:v>
                </c:pt>
              </c:strCache>
            </c:strRef>
          </c:cat>
          <c:val>
            <c:numRef>
              <c:f>Hoja1!$D$2:$D$25</c:f>
              <c:numCache>
                <c:formatCode>General</c:formatCode>
                <c:ptCount val="24"/>
                <c:pt idx="0">
                  <c:v>-385</c:v>
                </c:pt>
                <c:pt idx="1">
                  <c:v>536</c:v>
                </c:pt>
                <c:pt idx="2">
                  <c:v>-718</c:v>
                </c:pt>
                <c:pt idx="3">
                  <c:v>581</c:v>
                </c:pt>
                <c:pt idx="4">
                  <c:v>-50</c:v>
                </c:pt>
                <c:pt idx="5">
                  <c:v>848</c:v>
                </c:pt>
                <c:pt idx="6">
                  <c:v>65</c:v>
                </c:pt>
                <c:pt idx="7">
                  <c:v>653</c:v>
                </c:pt>
                <c:pt idx="8">
                  <c:v>1917</c:v>
                </c:pt>
                <c:pt idx="9">
                  <c:v>-1655</c:v>
                </c:pt>
                <c:pt idx="10">
                  <c:v>0</c:v>
                </c:pt>
                <c:pt idx="11">
                  <c:v>-182</c:v>
                </c:pt>
                <c:pt idx="12">
                  <c:v>-1111</c:v>
                </c:pt>
                <c:pt idx="13">
                  <c:v>1006</c:v>
                </c:pt>
                <c:pt idx="14">
                  <c:v>66</c:v>
                </c:pt>
                <c:pt idx="15">
                  <c:v>57</c:v>
                </c:pt>
                <c:pt idx="16">
                  <c:v>1</c:v>
                </c:pt>
                <c:pt idx="17">
                  <c:v>1609</c:v>
                </c:pt>
                <c:pt idx="18">
                  <c:v>-151</c:v>
                </c:pt>
                <c:pt idx="19">
                  <c:v>-971</c:v>
                </c:pt>
                <c:pt idx="20">
                  <c:v>-220</c:v>
                </c:pt>
                <c:pt idx="21">
                  <c:v>-348</c:v>
                </c:pt>
                <c:pt idx="22">
                  <c:v>2145</c:v>
                </c:pt>
                <c:pt idx="23">
                  <c:v>601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551040"/>
        <c:axId val="132552960"/>
      </c:areaChart>
      <c:lineChart>
        <c:grouping val="standar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Superficie (Ha)2011</c:v>
                </c:pt>
              </c:strCache>
            </c:strRef>
          </c:tx>
          <c:marker>
            <c:symbol val="none"/>
          </c:marker>
          <c:cat>
            <c:strRef>
              <c:f>Hoja1!$A$2:$A$25</c:f>
              <c:strCache>
                <c:ptCount val="24"/>
                <c:pt idx="0">
                  <c:v>Cereales</c:v>
                </c:pt>
                <c:pt idx="1">
                  <c:v>Trigo</c:v>
                </c:pt>
                <c:pt idx="2">
                  <c:v>Cebada </c:v>
                </c:pt>
                <c:pt idx="3">
                  <c:v>Maiz</c:v>
                </c:pt>
                <c:pt idx="4">
                  <c:v>Leguminosas grano</c:v>
                </c:pt>
                <c:pt idx="5">
                  <c:v>Cultivos industriales</c:v>
                </c:pt>
                <c:pt idx="6">
                  <c:v>Remolacha</c:v>
                </c:pt>
                <c:pt idx="7">
                  <c:v>Patata</c:v>
                </c:pt>
                <c:pt idx="8">
                  <c:v>Cultivos forrajros </c:v>
                </c:pt>
                <c:pt idx="9">
                  <c:v>Hortalizas</c:v>
                </c:pt>
                <c:pt idx="10">
                  <c:v>Lechuga </c:v>
                </c:pt>
                <c:pt idx="11">
                  <c:v>tomate </c:v>
                </c:pt>
                <c:pt idx="12">
                  <c:v>Alcachofa</c:v>
                </c:pt>
                <c:pt idx="13">
                  <c:v>Coliflor</c:v>
                </c:pt>
                <c:pt idx="14">
                  <c:v>Judia verde</c:v>
                </c:pt>
                <c:pt idx="15">
                  <c:v>Guisante verde</c:v>
                </c:pt>
                <c:pt idx="16">
                  <c:v>Champiñon</c:v>
                </c:pt>
                <c:pt idx="17">
                  <c:v>Frutales</c:v>
                </c:pt>
                <c:pt idx="18">
                  <c:v>Manzano</c:v>
                </c:pt>
                <c:pt idx="19">
                  <c:v>Peral</c:v>
                </c:pt>
                <c:pt idx="20">
                  <c:v>Melocotonero</c:v>
                </c:pt>
                <c:pt idx="21">
                  <c:v>Almendro</c:v>
                </c:pt>
                <c:pt idx="22">
                  <c:v>Viñedo</c:v>
                </c:pt>
                <c:pt idx="23">
                  <c:v>Olivar</c:v>
                </c:pt>
              </c:strCache>
            </c:strRef>
          </c:cat>
          <c:val>
            <c:numRef>
              <c:f>Hoja1!$C$2:$C$25</c:f>
              <c:numCache>
                <c:formatCode>General</c:formatCode>
                <c:ptCount val="24"/>
                <c:pt idx="0">
                  <c:v>56000</c:v>
                </c:pt>
                <c:pt idx="1">
                  <c:v>35241</c:v>
                </c:pt>
                <c:pt idx="2">
                  <c:v>19000</c:v>
                </c:pt>
                <c:pt idx="3">
                  <c:v>2000</c:v>
                </c:pt>
                <c:pt idx="4">
                  <c:v>150</c:v>
                </c:pt>
                <c:pt idx="5">
                  <c:v>3000</c:v>
                </c:pt>
                <c:pt idx="6">
                  <c:v>2000</c:v>
                </c:pt>
                <c:pt idx="7">
                  <c:v>3600</c:v>
                </c:pt>
                <c:pt idx="8">
                  <c:v>4500</c:v>
                </c:pt>
                <c:pt idx="9">
                  <c:v>8000</c:v>
                </c:pt>
                <c:pt idx="10">
                  <c:v>324</c:v>
                </c:pt>
                <c:pt idx="11">
                  <c:v>200</c:v>
                </c:pt>
                <c:pt idx="12">
                  <c:v>200</c:v>
                </c:pt>
                <c:pt idx="13">
                  <c:v>3000</c:v>
                </c:pt>
                <c:pt idx="14">
                  <c:v>2130</c:v>
                </c:pt>
                <c:pt idx="15">
                  <c:v>1900</c:v>
                </c:pt>
                <c:pt idx="16">
                  <c:v>75</c:v>
                </c:pt>
                <c:pt idx="17">
                  <c:v>17000</c:v>
                </c:pt>
                <c:pt idx="18">
                  <c:v>900</c:v>
                </c:pt>
                <c:pt idx="19">
                  <c:v>1120</c:v>
                </c:pt>
                <c:pt idx="20">
                  <c:v>900</c:v>
                </c:pt>
                <c:pt idx="21">
                  <c:v>9500</c:v>
                </c:pt>
                <c:pt idx="22">
                  <c:v>45000</c:v>
                </c:pt>
                <c:pt idx="23">
                  <c:v>4000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551040"/>
        <c:axId val="132552960"/>
      </c:lineChart>
      <c:catAx>
        <c:axId val="132551040"/>
        <c:scaling>
          <c:orientation val="minMax"/>
        </c:scaling>
        <c:delete val="0"/>
        <c:axPos val="b"/>
        <c:majorGridlines>
          <c:spPr>
            <a:ln>
              <a:solidFill>
                <a:schemeClr val="accent1"/>
              </a:solidFill>
            </a:ln>
          </c:spPr>
        </c:majorGridlines>
        <c:title>
          <c:overlay val="0"/>
        </c:title>
        <c:numFmt formatCode="m/d/yyyy" sourceLinked="1"/>
        <c:majorTickMark val="out"/>
        <c:minorTickMark val="none"/>
        <c:tickLblPos val="nextTo"/>
        <c:crossAx val="132552960"/>
        <c:crosses val="autoZero"/>
        <c:auto val="1"/>
        <c:lblAlgn val="ctr"/>
        <c:lblOffset val="100"/>
        <c:noMultiLvlLbl val="0"/>
      </c:catAx>
      <c:valAx>
        <c:axId val="132552960"/>
        <c:scaling>
          <c:orientation val="minMax"/>
          <c:max val="120000"/>
          <c:min val="-20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2551040"/>
        <c:crosses val="autoZero"/>
        <c:crossBetween val="between"/>
        <c:majorUnit val="20000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nicol</cp:lastModifiedBy>
  <cp:revision>4</cp:revision>
  <dcterms:created xsi:type="dcterms:W3CDTF">2022-02-07T23:53:00Z</dcterms:created>
  <dcterms:modified xsi:type="dcterms:W3CDTF">2022-02-08T00:36:00Z</dcterms:modified>
</cp:coreProperties>
</file>