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260" w:after="100"/>
      </w:pPr>
      <w:r>
        <w:rPr>
          <w:rFonts w:ascii="Calibri" w:hAnsi="Calibri"/>
          <w:color w:val="202124"/>
        </w:rPr>
        <w:t>Sprint 5 - Pectoral preprocessing mismatch: bounded investigation and decision</w:t>
      </w:r>
    </w:p>
    <w:p>
      <w:pPr>
        <w:spacing w:after="140"/>
        <w:jc w:val="both"/>
      </w:pPr>
      <w:r>
        <w:rPr>
          <w:i w:val="0"/>
          <w:sz w:val="22"/>
        </w:rPr>
        <w:t>Sprint 4 left one hypothesis carrying most of the unexplained external gap: that our pipeline does not remove the pectoral muscle while the Mammo-Bench training images had it removed, and that this mismatch depresses performance most in dense breasts. The Sprint 5 plan listed implementing removal and re-running the external evaluation as the first item. Before committing that work, the hypothesis was tested in two bounded pilots. It was not confirmed, and the item has been deprioritised. This section records why, because the reasoning is the reusable part.</w:t>
      </w:r>
    </w:p>
    <w:p>
      <w:pPr>
        <w:pStyle w:val="Heading3"/>
        <w:spacing w:before="260" w:after="100"/>
      </w:pPr>
      <w:r>
        <w:rPr>
          <w:rFonts w:ascii="Calibri" w:hAnsi="Calibri"/>
          <w:color w:val="202124"/>
        </w:rPr>
        <w:t>Why the hypothesis was tested rather than implemented</w:t>
      </w:r>
    </w:p>
    <w:p>
      <w:pPr>
        <w:spacing w:after="140"/>
        <w:jc w:val="both"/>
      </w:pPr>
      <w:r>
        <w:rPr>
          <w:i w:val="0"/>
          <w:sz w:val="22"/>
        </w:rPr>
        <w:t>A literature check established a plausible mechanism but no expected magnitude. Pectoral muscle resembles both tumour tissue and dense parenchyma in intensity and texture, and its presence in MLO views is documented as raising false-positive rates in computer-aided detection. The same literature reports that the muscle boundary is hardest to separate precisely where tissue is dense. No study measures the effect of a train-test preprocessing mismatch of this kind, so the size of any gain was unknown, and published cross-dataset losses vary too widely to substitute for one.</w:t>
      </w:r>
    </w:p>
    <w:p>
      <w:pPr>
        <w:spacing w:after="140"/>
        <w:jc w:val="both"/>
      </w:pPr>
      <w:r>
        <w:rPr>
          <w:i w:val="0"/>
          <w:sz w:val="22"/>
        </w:rPr>
        <w:t>Committing a three-week sprint on a mechanism with no measured effect size would have repeated the error corrected in Sprint 4, where four hours of reading prevented a sprint spent chasing an unreachable target. The bounded pilot cost two short GPU runs.</w:t>
      </w:r>
    </w:p>
    <w:p>
      <w:pPr>
        <w:pStyle w:val="Heading3"/>
        <w:spacing w:before="260" w:after="100"/>
      </w:pPr>
      <w:r>
        <w:rPr>
          <w:rFonts w:ascii="Calibri" w:hAnsi="Calibri"/>
          <w:color w:val="202124"/>
        </w:rPr>
        <w:t>Pilot 1 - paired inference on a stratified sample</w:t>
      </w:r>
    </w:p>
    <w:p>
      <w:pPr>
        <w:spacing w:after="140"/>
        <w:jc w:val="both"/>
      </w:pPr>
      <w:r>
        <w:rPr>
          <w:i w:val="0"/>
          <w:sz w:val="22"/>
        </w:rPr>
        <w:t>Design: 900 RSNA images, 500 MLO and 400 CC, 450 cancers, sampled with negatives matched to positives on density and age band. Every image was scored twice by both ensemble members, changing only whether pectoral removal was applied. The CC set served two purposes: a view comparison under the original pipeline, and a specificity control, since an operation specific to the pectoral muscle should barely act on CC images. Masks were inspected before any inference, and a guard confirmed the two conditions produced different probabilities so that an ineffective change could not be misread as a null effect.</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3311"/>
        <w:gridCol w:w="3024"/>
        <w:gridCol w:w="3024"/>
      </w:tblGrid>
      <w:tr>
        <w:trPr>
          <w:tblHeader w:val="true"/>
        </w:trPr>
        <w:tc>
          <w:tcPr>
            <w:tcW w:type="dxa" w:w="3312"/>
            <w:shd w:val="clear" w:fill="EFF2F5"/>
          </w:tcPr>
          <w:p>
            <w:pPr>
              <w:spacing w:after="40"/>
            </w:pPr>
            <w:r/>
            <w:r>
              <w:rPr>
                <w:b/>
                <w:sz w:val="19"/>
              </w:rPr>
              <w:t>Measure</w:t>
            </w:r>
          </w:p>
        </w:tc>
        <w:tc>
          <w:tcPr>
            <w:tcW w:type="dxa" w:w="3024"/>
            <w:shd w:val="clear" w:fill="EFF2F5"/>
          </w:tcPr>
          <w:p>
            <w:pPr>
              <w:spacing w:after="40"/>
            </w:pPr>
            <w:r/>
            <w:r>
              <w:rPr>
                <w:b/>
                <w:sz w:val="19"/>
              </w:rPr>
              <w:t>v11 Group DRO</w:t>
            </w:r>
          </w:p>
        </w:tc>
        <w:tc>
          <w:tcPr>
            <w:tcW w:type="dxa" w:w="3024"/>
            <w:shd w:val="clear" w:fill="EFF2F5"/>
          </w:tcPr>
          <w:p>
            <w:pPr>
              <w:spacing w:after="40"/>
            </w:pPr>
            <w:r/>
            <w:r>
              <w:rPr>
                <w:b/>
                <w:sz w:val="19"/>
              </w:rPr>
              <w:t>v8 ResNet-101</w:t>
            </w:r>
          </w:p>
        </w:tc>
      </w:tr>
      <w:tr>
        <w:tc>
          <w:tcPr>
            <w:tcW w:type="dxa" w:w="3312"/>
            <w:shd w:val="clear" w:fill="F6F9FE"/>
          </w:tcPr>
          <w:p>
            <w:pPr>
              <w:spacing w:after="40"/>
            </w:pPr>
            <w:r/>
            <w:r>
              <w:rPr>
                <w:b/>
                <w:sz w:val="19"/>
              </w:rPr>
              <w:t>AUC change on MLO</w:t>
            </w:r>
          </w:p>
        </w:tc>
        <w:tc>
          <w:tcPr>
            <w:tcW w:type="dxa" w:w="3024"/>
            <w:shd w:val="clear" w:fill="F6F9FE"/>
          </w:tcPr>
          <w:p>
            <w:pPr>
              <w:spacing w:after="40"/>
            </w:pPr>
            <w:r/>
            <w:r>
              <w:rPr>
                <w:b/>
                <w:sz w:val="19"/>
              </w:rPr>
              <w:t>-0.0100  [-0.0343, +0.0148]</w:t>
            </w:r>
          </w:p>
        </w:tc>
        <w:tc>
          <w:tcPr>
            <w:tcW w:type="dxa" w:w="3024"/>
            <w:shd w:val="clear" w:fill="F6F9FE"/>
          </w:tcPr>
          <w:p>
            <w:pPr>
              <w:spacing w:after="40"/>
            </w:pPr>
            <w:r/>
            <w:r>
              <w:rPr>
                <w:b/>
                <w:sz w:val="19"/>
              </w:rPr>
              <w:t>+0.0005  [-0.0114, +0.0115]</w:t>
            </w:r>
          </w:p>
        </w:tc>
      </w:tr>
      <w:tr>
        <w:tc>
          <w:tcPr>
            <w:tcW w:type="dxa" w:w="3312"/>
            <w:shd w:val="clear" w:fill="F6F9FE"/>
          </w:tcPr>
          <w:p>
            <w:pPr>
              <w:spacing w:after="40"/>
            </w:pPr>
            <w:r/>
            <w:r>
              <w:rPr>
                <w:b/>
                <w:sz w:val="19"/>
              </w:rPr>
              <w:t>AUC change, density B</w:t>
            </w:r>
          </w:p>
        </w:tc>
        <w:tc>
          <w:tcPr>
            <w:tcW w:type="dxa" w:w="3024"/>
            <w:shd w:val="clear" w:fill="F6F9FE"/>
          </w:tcPr>
          <w:p>
            <w:pPr>
              <w:spacing w:after="40"/>
            </w:pPr>
            <w:r/>
            <w:r>
              <w:rPr>
                <w:b/>
                <w:sz w:val="19"/>
              </w:rPr>
              <w:t>-0.0503  [-0.0853, -0.0219]</w:t>
            </w:r>
          </w:p>
        </w:tc>
        <w:tc>
          <w:tcPr>
            <w:tcW w:type="dxa" w:w="3024"/>
            <w:shd w:val="clear" w:fill="F6F9FE"/>
          </w:tcPr>
          <w:p>
            <w:pPr>
              <w:spacing w:after="40"/>
            </w:pPr>
            <w:r/>
            <w:r>
              <w:rPr>
                <w:b/>
                <w:sz w:val="19"/>
              </w:rPr>
              <w:t>-0.0036  [-0.0110, +0.0021]</w:t>
            </w:r>
          </w:p>
        </w:tc>
      </w:tr>
      <w:tr>
        <w:tc>
          <w:tcPr>
            <w:tcW w:type="dxa" w:w="3312"/>
          </w:tcPr>
          <w:p>
            <w:pPr>
              <w:spacing w:after="40"/>
            </w:pPr>
            <w:r/>
            <w:r>
              <w:rPr>
                <w:sz w:val="19"/>
              </w:rPr>
              <w:t>Mean score change, cancers</w:t>
            </w:r>
          </w:p>
        </w:tc>
        <w:tc>
          <w:tcPr>
            <w:tcW w:type="dxa" w:w="3024"/>
          </w:tcPr>
          <w:p>
            <w:pPr>
              <w:spacing w:after="40"/>
            </w:pPr>
            <w:r/>
            <w:r>
              <w:rPr>
                <w:sz w:val="19"/>
              </w:rPr>
              <w:t>+0.0176</w:t>
            </w:r>
          </w:p>
        </w:tc>
        <w:tc>
          <w:tcPr>
            <w:tcW w:type="dxa" w:w="3024"/>
          </w:tcPr>
          <w:p>
            <w:pPr>
              <w:spacing w:after="40"/>
            </w:pPr>
            <w:r/>
            <w:r>
              <w:rPr>
                <w:sz w:val="19"/>
              </w:rPr>
              <w:t>+0.0175</w:t>
            </w:r>
          </w:p>
        </w:tc>
      </w:tr>
      <w:tr>
        <w:tc>
          <w:tcPr>
            <w:tcW w:type="dxa" w:w="3312"/>
          </w:tcPr>
          <w:p>
            <w:pPr>
              <w:spacing w:after="40"/>
            </w:pPr>
            <w:r/>
            <w:r>
              <w:rPr>
                <w:sz w:val="19"/>
              </w:rPr>
              <w:t>Mean score change, negatives</w:t>
            </w:r>
          </w:p>
        </w:tc>
        <w:tc>
          <w:tcPr>
            <w:tcW w:type="dxa" w:w="3024"/>
          </w:tcPr>
          <w:p>
            <w:pPr>
              <w:spacing w:after="40"/>
            </w:pPr>
            <w:r/>
            <w:r>
              <w:rPr>
                <w:sz w:val="19"/>
              </w:rPr>
              <w:t>+0.0256</w:t>
            </w:r>
          </w:p>
        </w:tc>
        <w:tc>
          <w:tcPr>
            <w:tcW w:type="dxa" w:w="3024"/>
          </w:tcPr>
          <w:p>
            <w:pPr>
              <w:spacing w:after="40"/>
            </w:pPr>
            <w:r/>
            <w:r>
              <w:rPr>
                <w:sz w:val="19"/>
              </w:rPr>
              <w:t>+0.0173</w:t>
            </w:r>
          </w:p>
        </w:tc>
      </w:tr>
      <w:tr>
        <w:tc>
          <w:tcPr>
            <w:tcW w:type="dxa" w:w="3312"/>
          </w:tcPr>
          <w:p>
            <w:pPr>
              <w:spacing w:after="40"/>
            </w:pPr>
            <w:r/>
            <w:r>
              <w:rPr>
                <w:sz w:val="19"/>
              </w:rPr>
              <w:t>Mean absolute change, CC control</w:t>
            </w:r>
          </w:p>
        </w:tc>
        <w:tc>
          <w:tcPr>
            <w:tcW w:type="dxa" w:w="3024"/>
          </w:tcPr>
          <w:p>
            <w:pPr>
              <w:spacing w:after="40"/>
            </w:pPr>
            <w:r/>
            <w:r>
              <w:rPr>
                <w:sz w:val="19"/>
              </w:rPr>
              <w:t>0.0018</w:t>
            </w:r>
          </w:p>
        </w:tc>
        <w:tc>
          <w:tcPr>
            <w:tcW w:type="dxa" w:w="3024"/>
          </w:tcPr>
          <w:p>
            <w:pPr>
              <w:spacing w:after="40"/>
            </w:pPr>
            <w:r/>
            <w:r>
              <w:rPr>
                <w:sz w:val="19"/>
              </w:rPr>
              <w:t>0.0016</w:t>
            </w:r>
          </w:p>
        </w:tc>
      </w:tr>
      <w:tr>
        <w:tc>
          <w:tcPr>
            <w:tcW w:type="dxa" w:w="3312"/>
          </w:tcPr>
          <w:p>
            <w:pPr>
              <w:spacing w:after="40"/>
            </w:pPr>
            <w:r/>
            <w:r>
              <w:rPr>
                <w:sz w:val="19"/>
              </w:rPr>
              <w:t>Mean absolute change, MLO</w:t>
            </w:r>
          </w:p>
        </w:tc>
        <w:tc>
          <w:tcPr>
            <w:tcW w:type="dxa" w:w="3024"/>
          </w:tcPr>
          <w:p>
            <w:pPr>
              <w:spacing w:after="40"/>
            </w:pPr>
            <w:r/>
            <w:r>
              <w:rPr>
                <w:sz w:val="19"/>
              </w:rPr>
              <w:t>0.0350</w:t>
            </w:r>
          </w:p>
        </w:tc>
        <w:tc>
          <w:tcPr>
            <w:tcW w:type="dxa" w:w="3024"/>
          </w:tcPr>
          <w:p>
            <w:pPr>
              <w:spacing w:after="40"/>
            </w:pPr>
            <w:r/>
            <w:r>
              <w:rPr>
                <w:sz w:val="19"/>
              </w:rPr>
              <w:t>0.0224</w:t>
            </w:r>
          </w:p>
        </w:tc>
      </w:tr>
    </w:tbl>
    <w:p>
      <w:pPr>
        <w:spacing w:after="240"/>
        <w:jc w:val="left"/>
      </w:pPr>
      <w:r>
        <w:rPr>
          <w:i/>
          <w:color w:val="5F6368"/>
          <w:sz w:val="18"/>
        </w:rPr>
        <w:t>Table 1. Paired effect of applying pectoral removal. No stratum improved with an interval excluding zero. Density B moved significantly worse for the Group DRO member. Cancer and negative scores both rose, which is a threshold shift rather than improved separation.</w:t>
      </w:r>
    </w:p>
    <w:p>
      <w:pPr>
        <w:spacing w:after="140"/>
        <w:jc w:val="both"/>
      </w:pPr>
      <w:r>
        <w:rPr>
          <w:i w:val="0"/>
          <w:sz w:val="22"/>
        </w:rPr>
        <w:t>The result that made the pilot uninterpretable was not in the metrics. The removal operation applied to only 29.4% of MLO images and to none of the density D images, which is the stratum the hypothesis is about. Twenty-four of thirty-four rejections reported no component touching the expected corner. The pilot therefore did not test the hypothesis; it tested an implementation that failed to act.</w:t>
      </w:r>
    </w:p>
    <w:p>
      <w:pPr>
        <w:pStyle w:val="Heading3"/>
        <w:spacing w:before="260" w:after="100"/>
      </w:pPr>
      <w:r>
        <w:rPr>
          <w:rFonts w:ascii="Calibri" w:hAnsi="Calibri"/>
          <w:color w:val="202124"/>
        </w:rPr>
        <w:t>Pilot 2 - diagnosing the failure</w:t>
      </w:r>
    </w:p>
    <w:p>
      <w:pPr>
        <w:spacing w:after="140"/>
        <w:jc w:val="both"/>
      </w:pPr>
      <w:r>
        <w:rPr>
          <w:i w:val="0"/>
          <w:sz w:val="22"/>
        </w:rPr>
        <w:t>The failure was traced before drawing any conclusion from Pilot 1. Applied rates split by site rather than by density, at 21.2% on site 1 against 65.0% on site 2, and were nearly equal by laterality at 40.0% and 46.2%, ruling out orientation as the main cause. Measuring the distance from the detected component to the image border showed a subset of images where the component sat well inside the frame, because removal was being applied to the raw image before the breast had been cropped from the background. Three variants were compared.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2951"/>
        <w:gridCol w:w="1655"/>
        <w:gridCol w:w="1152"/>
        <w:gridCol w:w="1152"/>
        <w:gridCol w:w="1152"/>
        <w:gridCol w:w="1152"/>
      </w:tblGrid>
      <w:tr>
        <w:trPr>
          <w:tblHeader w:val="true"/>
        </w:trPr>
        <w:tc>
          <w:tcPr>
            <w:tcW w:type="dxa" w:w="2952"/>
            <w:shd w:val="clear" w:fill="EFF2F5"/>
          </w:tcPr>
          <w:p>
            <w:pPr>
              <w:spacing w:after="40"/>
            </w:pPr>
            <w:r/>
            <w:r>
              <w:rPr>
                <w:b/>
                <w:sz w:val="19"/>
              </w:rPr>
              <w:t>Variant</w:t>
            </w:r>
          </w:p>
        </w:tc>
        <w:tc>
          <w:tcPr>
            <w:tcW w:type="dxa" w:w="1656"/>
            <w:shd w:val="clear" w:fill="EFF2F5"/>
          </w:tcPr>
          <w:p>
            <w:pPr>
              <w:spacing w:after="40"/>
            </w:pPr>
            <w:r/>
            <w:r>
              <w:rPr>
                <w:b/>
                <w:sz w:val="19"/>
              </w:rPr>
              <w:t>Applied, all MLO</w:t>
            </w:r>
          </w:p>
        </w:tc>
        <w:tc>
          <w:tcPr>
            <w:tcW w:type="dxa" w:w="1152"/>
            <w:shd w:val="clear" w:fill="EFF2F5"/>
          </w:tcPr>
          <w:p>
            <w:pPr>
              <w:spacing w:after="40"/>
            </w:pPr>
            <w:r/>
            <w:r>
              <w:rPr>
                <w:b/>
                <w:sz w:val="19"/>
              </w:rPr>
              <w:t>Density A</w:t>
            </w:r>
          </w:p>
        </w:tc>
        <w:tc>
          <w:tcPr>
            <w:tcW w:type="dxa" w:w="1152"/>
            <w:shd w:val="clear" w:fill="EFF2F5"/>
          </w:tcPr>
          <w:p>
            <w:pPr>
              <w:spacing w:after="40"/>
            </w:pPr>
            <w:r/>
            <w:r>
              <w:rPr>
                <w:b/>
                <w:sz w:val="19"/>
              </w:rPr>
              <w:t>Density B</w:t>
            </w:r>
          </w:p>
        </w:tc>
        <w:tc>
          <w:tcPr>
            <w:tcW w:type="dxa" w:w="1152"/>
            <w:shd w:val="clear" w:fill="EFF2F5"/>
          </w:tcPr>
          <w:p>
            <w:pPr>
              <w:spacing w:after="40"/>
            </w:pPr>
            <w:r/>
            <w:r>
              <w:rPr>
                <w:b/>
                <w:sz w:val="19"/>
              </w:rPr>
              <w:t>Density C</w:t>
            </w:r>
          </w:p>
        </w:tc>
        <w:tc>
          <w:tcPr>
            <w:tcW w:type="dxa" w:w="1152"/>
            <w:shd w:val="clear" w:fill="EFF2F5"/>
          </w:tcPr>
          <w:p>
            <w:pPr>
              <w:spacing w:after="40"/>
            </w:pPr>
            <w:r/>
            <w:r>
              <w:rPr>
                <w:b/>
                <w:sz w:val="19"/>
              </w:rPr>
              <w:t>Density D</w:t>
            </w:r>
          </w:p>
        </w:tc>
      </w:tr>
      <w:tr>
        <w:tc>
          <w:tcPr>
            <w:tcW w:type="dxa" w:w="2952"/>
          </w:tcPr>
          <w:p>
            <w:pPr>
              <w:spacing w:after="40"/>
            </w:pPr>
            <w:r/>
            <w:r>
              <w:rPr>
                <w:sz w:val="19"/>
              </w:rPr>
              <w:t>Original: raw image, strict edge test</w:t>
            </w:r>
          </w:p>
        </w:tc>
        <w:tc>
          <w:tcPr>
            <w:tcW w:type="dxa" w:w="1656"/>
          </w:tcPr>
          <w:p>
            <w:pPr>
              <w:spacing w:after="40"/>
            </w:pPr>
            <w:r/>
            <w:r>
              <w:rPr>
                <w:sz w:val="19"/>
              </w:rPr>
              <w:t>43.1%</w:t>
            </w:r>
          </w:p>
        </w:tc>
        <w:tc>
          <w:tcPr>
            <w:tcW w:type="dxa" w:w="1152"/>
          </w:tcPr>
          <w:p>
            <w:pPr>
              <w:spacing w:after="40"/>
            </w:pPr>
            <w:r/>
            <w:r>
              <w:rPr>
                <w:sz w:val="19"/>
              </w:rPr>
              <w:t>0%</w:t>
            </w:r>
          </w:p>
        </w:tc>
        <w:tc>
          <w:tcPr>
            <w:tcW w:type="dxa" w:w="1152"/>
          </w:tcPr>
          <w:p>
            <w:pPr>
              <w:spacing w:after="40"/>
            </w:pPr>
            <w:r/>
            <w:r>
              <w:rPr>
                <w:sz w:val="19"/>
              </w:rPr>
              <w:t>23.5%</w:t>
            </w:r>
          </w:p>
        </w:tc>
        <w:tc>
          <w:tcPr>
            <w:tcW w:type="dxa" w:w="1152"/>
          </w:tcPr>
          <w:p>
            <w:pPr>
              <w:spacing w:after="40"/>
            </w:pPr>
            <w:r/>
            <w:r>
              <w:rPr>
                <w:sz w:val="19"/>
              </w:rPr>
              <w:t>17.9%</w:t>
            </w:r>
          </w:p>
        </w:tc>
        <w:tc>
          <w:tcPr>
            <w:tcW w:type="dxa" w:w="1152"/>
          </w:tcPr>
          <w:p>
            <w:pPr>
              <w:spacing w:after="40"/>
            </w:pPr>
            <w:r/>
            <w:r>
              <w:rPr>
                <w:sz w:val="19"/>
              </w:rPr>
              <w:t>100%</w:t>
            </w:r>
          </w:p>
        </w:tc>
      </w:tr>
      <w:tr>
        <w:tc>
          <w:tcPr>
            <w:tcW w:type="dxa" w:w="2952"/>
          </w:tcPr>
          <w:p>
            <w:pPr>
              <w:spacing w:after="40"/>
            </w:pPr>
            <w:r/>
            <w:r>
              <w:rPr>
                <w:sz w:val="19"/>
              </w:rPr>
              <w:t>Crop first, then remove</w:t>
            </w:r>
          </w:p>
        </w:tc>
        <w:tc>
          <w:tcPr>
            <w:tcW w:type="dxa" w:w="1656"/>
          </w:tcPr>
          <w:p>
            <w:pPr>
              <w:spacing w:after="40"/>
            </w:pPr>
            <w:r/>
            <w:r>
              <w:rPr>
                <w:sz w:val="19"/>
              </w:rPr>
              <w:t>85.0%</w:t>
            </w:r>
          </w:p>
        </w:tc>
        <w:tc>
          <w:tcPr>
            <w:tcW w:type="dxa" w:w="1152"/>
          </w:tcPr>
          <w:p>
            <w:pPr>
              <w:spacing w:after="40"/>
            </w:pPr>
            <w:r/>
            <w:r>
              <w:rPr>
                <w:sz w:val="19"/>
              </w:rPr>
              <w:t>100%</w:t>
            </w:r>
          </w:p>
        </w:tc>
        <w:tc>
          <w:tcPr>
            <w:tcW w:type="dxa" w:w="1152"/>
          </w:tcPr>
          <w:p>
            <w:pPr>
              <w:spacing w:after="40"/>
            </w:pPr>
            <w:r/>
            <w:r>
              <w:rPr>
                <w:sz w:val="19"/>
              </w:rPr>
              <w:t>91.2%</w:t>
            </w:r>
          </w:p>
        </w:tc>
        <w:tc>
          <w:tcPr>
            <w:tcW w:type="dxa" w:w="1152"/>
          </w:tcPr>
          <w:p>
            <w:pPr>
              <w:spacing w:after="40"/>
            </w:pPr>
            <w:r/>
            <w:r>
              <w:rPr>
                <w:sz w:val="19"/>
              </w:rPr>
              <w:t>61.5%</w:t>
            </w:r>
          </w:p>
        </w:tc>
        <w:tc>
          <w:tcPr>
            <w:tcW w:type="dxa" w:w="1152"/>
          </w:tcPr>
          <w:p>
            <w:pPr>
              <w:spacing w:after="40"/>
            </w:pPr>
            <w:r/>
            <w:r>
              <w:rPr>
                <w:sz w:val="19"/>
              </w:rPr>
              <w:t>100%</w:t>
            </w:r>
          </w:p>
        </w:tc>
      </w:tr>
      <w:tr>
        <w:tc>
          <w:tcPr>
            <w:tcW w:type="dxa" w:w="2952"/>
            <w:shd w:val="clear" w:fill="F6F9FE"/>
          </w:tcPr>
          <w:p>
            <w:pPr>
              <w:spacing w:after="40"/>
            </w:pPr>
            <w:r/>
            <w:r>
              <w:rPr>
                <w:b/>
                <w:sz w:val="19"/>
              </w:rPr>
              <w:t>Raw image, tolerant edge test</w:t>
            </w:r>
          </w:p>
        </w:tc>
        <w:tc>
          <w:tcPr>
            <w:tcW w:type="dxa" w:w="1656"/>
            <w:shd w:val="clear" w:fill="F6F9FE"/>
          </w:tcPr>
          <w:p>
            <w:pPr>
              <w:spacing w:after="40"/>
            </w:pPr>
            <w:r/>
            <w:r>
              <w:rPr>
                <w:b/>
                <w:sz w:val="19"/>
              </w:rPr>
              <w:t>95.6%</w:t>
            </w:r>
          </w:p>
        </w:tc>
        <w:tc>
          <w:tcPr>
            <w:tcW w:type="dxa" w:w="1152"/>
            <w:shd w:val="clear" w:fill="F6F9FE"/>
          </w:tcPr>
          <w:p>
            <w:pPr>
              <w:spacing w:after="40"/>
            </w:pPr>
            <w:r/>
            <w:r>
              <w:rPr>
                <w:b/>
                <w:sz w:val="19"/>
              </w:rPr>
              <w:t>100%</w:t>
            </w:r>
          </w:p>
        </w:tc>
        <w:tc>
          <w:tcPr>
            <w:tcW w:type="dxa" w:w="1152"/>
            <w:shd w:val="clear" w:fill="F6F9FE"/>
          </w:tcPr>
          <w:p>
            <w:pPr>
              <w:spacing w:after="40"/>
            </w:pPr>
            <w:r/>
            <w:r>
              <w:rPr>
                <w:b/>
                <w:sz w:val="19"/>
              </w:rPr>
              <w:t>97.1%</w:t>
            </w:r>
          </w:p>
        </w:tc>
        <w:tc>
          <w:tcPr>
            <w:tcW w:type="dxa" w:w="1152"/>
            <w:shd w:val="clear" w:fill="F6F9FE"/>
          </w:tcPr>
          <w:p>
            <w:pPr>
              <w:spacing w:after="40"/>
            </w:pPr>
            <w:r/>
            <w:r>
              <w:rPr>
                <w:b/>
                <w:sz w:val="19"/>
              </w:rPr>
              <w:t>89.7%</w:t>
            </w:r>
          </w:p>
        </w:tc>
        <w:tc>
          <w:tcPr>
            <w:tcW w:type="dxa" w:w="1152"/>
            <w:shd w:val="clear" w:fill="F6F9FE"/>
          </w:tcPr>
          <w:p>
            <w:pPr>
              <w:spacing w:after="40"/>
            </w:pPr>
            <w:r/>
            <w:r>
              <w:rPr>
                <w:b/>
                <w:sz w:val="19"/>
              </w:rPr>
              <w:t>100%</w:t>
            </w:r>
          </w:p>
        </w:tc>
      </w:tr>
    </w:tbl>
    <w:p>
      <w:pPr>
        <w:spacing w:after="240"/>
        <w:jc w:val="left"/>
      </w:pPr>
      <w:r>
        <w:rPr>
          <w:i/>
          <w:color w:val="5F6368"/>
          <w:sz w:val="18"/>
        </w:rPr>
        <w:t>Table 2. The corner-search problem was real and was fixed. Application rose from 43.1% to 95.6%, including from 0% to 100% on density D, and the left-right gap fell to 2.5 points.</w:t>
      </w:r>
    </w:p>
    <w:p>
      <w:pPr>
        <w:spacing w:after="140"/>
        <w:jc w:val="both"/>
      </w:pPr>
      <w:r>
        <w:rPr>
          <w:i w:val="0"/>
          <w:sz w:val="22"/>
        </w:rPr>
        <w:t>The fix succeeded on the measure it targeted and failed the specificity gate. The corrected operation applied to 45.0% of CC images against 85.0% of MLO images. CC views contain little pectoral muscle, so an operation acting on nearly half of them is not isolating the muscle. Before the fix the rule was specific but rarely acted, at 4.0% on CC against 29.4% on MLO; after the fix it acts reliably and is not specific. Loosening the rule enough to find the muscle also causes it to find bright fibroglandular tissue, which is consistent with the documented difficulty of separating the two, and offers an explanation for the significant loss observed on density B in Pilot 1.</w:t>
      </w:r>
    </w:p>
    <w:p>
      <w:pPr>
        <w:pStyle w:val="Heading3"/>
        <w:spacing w:before="260" w:after="100"/>
      </w:pPr>
      <w:r>
        <w:rPr>
          <w:rFonts w:ascii="Calibri" w:hAnsi="Calibri"/>
          <w:color w:val="202124"/>
        </w:rPr>
        <w:t>Decision</w:t>
      </w:r>
    </w:p>
    <w:p>
      <w:pPr>
        <w:spacing w:after="140"/>
        <w:jc w:val="both"/>
      </w:pPr>
      <w:r>
        <w:rPr>
          <w:i w:val="0"/>
          <w:sz w:val="22"/>
        </w:rPr>
        <w:t>The pectoral-mismatch hypothesis remains possible and is not disproved. What the two pilots establish is narrower: the intensity-based method available to this workstream cannot produce masks reliable enough to test it. Any AUC change measured with this operation would be uninterpretable, because the operation may be removing diagnostic tissue as well as muscle. Testing the hypothesis properly would require a trained segmentation model, which is sprint-sized work that no measured evidence currently justifies.</w:t>
      </w:r>
    </w:p>
    <w:p>
      <w:pPr>
        <w:spacing w:after="140"/>
        <w:jc w:val="both"/>
      </w:pPr>
      <w:r>
        <w:rPr>
          <w:i w:val="0"/>
          <w:sz w:val="22"/>
        </w:rPr>
        <w:t>Pectoral removal is therefore deprioritised for this sprint. The remaining external-validity candidates are reordered by cost and by how directly each can be measured.</w:t>
      </w:r>
    </w:p>
    <w:tbl>
      <w:tblPr>
        <w:tblW w:type="auto" w:w="0"/>
        <w:jc w:val="center"/>
        <w:tblLook w:firstColumn="1" w:firstRow="1" w:lastColumn="0" w:lastRow="0" w:noHBand="0" w:noVBand="1" w:val="04A0"/>
        <w:tblBorders>
          <w:top w:val="single" w:sz="4" w:space="0" w:color="D0D3D6"/>
          <w:left w:val="single" w:sz="4" w:space="0" w:color="D0D3D6"/>
          <w:bottom w:val="single" w:sz="4" w:space="0" w:color="D0D3D6"/>
          <w:right w:val="single" w:sz="4" w:space="0" w:color="D0D3D6"/>
          <w:insideH w:val="single" w:sz="4" w:space="0" w:color="D0D3D6"/>
          <w:insideV w:val="single" w:sz="4" w:space="0" w:color="D0D3D6"/>
        </w:tblBorders>
        <w:tblLayout w:type="fixed"/>
      </w:tblPr>
      <w:tblGrid>
        <w:gridCol w:w="1152"/>
        <w:gridCol w:w="2592"/>
        <w:gridCol w:w="5616"/>
      </w:tblGrid>
      <w:tr>
        <w:trPr>
          <w:tblHeader w:val="true"/>
        </w:trPr>
        <w:tc>
          <w:tcPr>
            <w:tcW w:type="dxa" w:w="1152"/>
            <w:shd w:val="clear" w:fill="EFF2F5"/>
          </w:tcPr>
          <w:p>
            <w:pPr>
              <w:spacing w:after="40"/>
            </w:pPr>
            <w:r/>
            <w:r>
              <w:rPr>
                <w:b/>
                <w:sz w:val="19"/>
              </w:rPr>
              <w:t>Priority</w:t>
            </w:r>
          </w:p>
        </w:tc>
        <w:tc>
          <w:tcPr>
            <w:tcW w:type="dxa" w:w="2592"/>
            <w:shd w:val="clear" w:fill="EFF2F5"/>
          </w:tcPr>
          <w:p>
            <w:pPr>
              <w:spacing w:after="40"/>
            </w:pPr>
            <w:r/>
            <w:r>
              <w:rPr>
                <w:b/>
                <w:sz w:val="19"/>
              </w:rPr>
              <w:t>Candidate</w:t>
            </w:r>
          </w:p>
        </w:tc>
        <w:tc>
          <w:tcPr>
            <w:tcW w:type="dxa" w:w="5616"/>
            <w:shd w:val="clear" w:fill="EFF2F5"/>
          </w:tcPr>
          <w:p>
            <w:pPr>
              <w:spacing w:after="40"/>
            </w:pPr>
            <w:r/>
            <w:r>
              <w:rPr>
                <w:b/>
                <w:sz w:val="19"/>
              </w:rPr>
              <w:t>Rationale</w:t>
            </w:r>
          </w:p>
        </w:tc>
      </w:tr>
      <w:tr>
        <w:tc>
          <w:tcPr>
            <w:tcW w:type="dxa" w:w="1152"/>
          </w:tcPr>
          <w:p>
            <w:pPr>
              <w:spacing w:after="40"/>
            </w:pPr>
            <w:r/>
            <w:r>
              <w:rPr>
                <w:sz w:val="19"/>
              </w:rPr>
              <w:t>1</w:t>
            </w:r>
          </w:p>
        </w:tc>
        <w:tc>
          <w:tcPr>
            <w:tcW w:type="dxa" w:w="2592"/>
          </w:tcPr>
          <w:p>
            <w:pPr>
              <w:spacing w:after="40"/>
            </w:pPr>
            <w:r/>
            <w:r>
              <w:rPr>
                <w:sz w:val="19"/>
              </w:rPr>
              <w:t>Intensity windowing</w:t>
            </w:r>
          </w:p>
        </w:tc>
        <w:tc>
          <w:tcPr>
            <w:tcW w:type="dxa" w:w="5616"/>
          </w:tcPr>
          <w:p>
            <w:pPr>
              <w:spacing w:after="40"/>
            </w:pPr>
            <w:r/>
            <w:r>
              <w:rPr>
                <w:sz w:val="19"/>
              </w:rPr>
              <w:t>Cheap to test and closely related to scanner and contrast differences</w:t>
            </w:r>
          </w:p>
        </w:tc>
      </w:tr>
      <w:tr>
        <w:tc>
          <w:tcPr>
            <w:tcW w:type="dxa" w:w="1152"/>
          </w:tcPr>
          <w:p>
            <w:pPr>
              <w:spacing w:after="40"/>
            </w:pPr>
            <w:r/>
            <w:r>
              <w:rPr>
                <w:sz w:val="19"/>
              </w:rPr>
              <w:t>2</w:t>
            </w:r>
          </w:p>
        </w:tc>
        <w:tc>
          <w:tcPr>
            <w:tcW w:type="dxa" w:w="2592"/>
          </w:tcPr>
          <w:p>
            <w:pPr>
              <w:spacing w:after="40"/>
            </w:pPr>
            <w:r/>
            <w:r>
              <w:rPr>
                <w:sz w:val="19"/>
              </w:rPr>
              <w:t>Input resolution</w:t>
            </w:r>
          </w:p>
        </w:tc>
        <w:tc>
          <w:tcPr>
            <w:tcW w:type="dxa" w:w="5616"/>
          </w:tcPr>
          <w:p>
            <w:pPr>
              <w:spacing w:after="40"/>
            </w:pPr>
            <w:r/>
            <w:r>
              <w:rPr>
                <w:sz w:val="19"/>
              </w:rPr>
              <w:t>Tests whether resizing discards small lesion detail, particularly on external images</w:t>
            </w:r>
          </w:p>
        </w:tc>
      </w:tr>
      <w:tr>
        <w:tc>
          <w:tcPr>
            <w:tcW w:type="dxa" w:w="1152"/>
          </w:tcPr>
          <w:p>
            <w:pPr>
              <w:spacing w:after="40"/>
            </w:pPr>
            <w:r/>
            <w:r>
              <w:rPr>
                <w:sz w:val="19"/>
              </w:rPr>
              <w:t>3</w:t>
            </w:r>
          </w:p>
        </w:tc>
        <w:tc>
          <w:tcPr>
            <w:tcW w:type="dxa" w:w="2592"/>
          </w:tcPr>
          <w:p>
            <w:pPr>
              <w:spacing w:after="40"/>
            </w:pPr>
            <w:r/>
            <w:r>
              <w:rPr>
                <w:sz w:val="19"/>
              </w:rPr>
              <w:t>Scanner-specific response</w:t>
            </w:r>
          </w:p>
        </w:tc>
        <w:tc>
          <w:tcPr>
            <w:tcW w:type="dxa" w:w="5616"/>
          </w:tcPr>
          <w:p>
            <w:pPr>
              <w:spacing w:after="40"/>
            </w:pPr>
            <w:r/>
            <w:r>
              <w:rPr>
                <w:sz w:val="19"/>
              </w:rPr>
              <w:t>Breaks the external failure down by site, manufacturer and image characteristics to locate where it originates</w:t>
            </w:r>
          </w:p>
        </w:tc>
      </w:tr>
    </w:tbl>
    <w:p>
      <w:pPr>
        <w:spacing w:after="240"/>
        <w:jc w:val="left"/>
      </w:pPr>
      <w:r>
        <w:rPr>
          <w:i/>
          <w:color w:val="5F6368"/>
          <w:sz w:val="18"/>
        </w:rPr>
        <w:t>Table 3. Revised order for the remaining external-validity work. None requires segmentation, and each can be tested by the same paired design used here.</w:t>
      </w:r>
    </w:p>
    <w:p>
      <w:pPr>
        <w:pStyle w:val="Heading3"/>
        <w:spacing w:before="260" w:after="100"/>
      </w:pPr>
      <w:r>
        <w:rPr>
          <w:rFonts w:ascii="Calibri" w:hAnsi="Calibri"/>
          <w:color w:val="202124"/>
        </w:rPr>
        <w:t>Corrections carried into all subsequent experiments</w:t>
      </w:r>
    </w:p>
    <w:p>
      <w:pPr>
        <w:pStyle w:val="ListBullet"/>
        <w:spacing w:after="80"/>
        <w:jc w:val="both"/>
      </w:pPr>
      <w:r>
        <w:t>Use the metadata laterality field rather than inferring orientation from image intensity. The intensity heuristic disagreed with the recorded laterality on 27.5% of site 1 images.</w:t>
      </w:r>
    </w:p>
    <w:p>
      <w:pPr>
        <w:pStyle w:val="ListBullet"/>
        <w:spacing w:after="80"/>
        <w:jc w:val="both"/>
      </w:pPr>
      <w:r>
        <w:t>Crop the breast first, then apply any other preprocessing. Operating on the uncropped image caused the original failure and would affect any future preprocessing step in the same way.</w:t>
      </w:r>
    </w:p>
    <w:p>
      <w:pPr>
        <w:pStyle w:val="Heading3"/>
        <w:spacing w:before="260" w:after="100"/>
      </w:pPr>
      <w:r>
        <w:rPr>
          <w:rFonts w:ascii="Calibri" w:hAnsi="Calibri"/>
          <w:color w:val="202124"/>
        </w:rPr>
        <w:t>Assessment</w:t>
      </w:r>
    </w:p>
    <w:p>
      <w:pPr>
        <w:spacing w:after="140"/>
        <w:jc w:val="both"/>
      </w:pPr>
      <w:r>
        <w:rPr>
          <w:i w:val="0"/>
          <w:sz w:val="22"/>
        </w:rPr>
        <w:t>The investigation cost two short GPU runs and returned a negative result that prevented a three-week commitment. It also produced two pipeline corrections that apply beyond this hypothesis. The finding is recorded in full rather than summarised as a failed experiment, because the distinction between an untested hypothesis and a disproved one determines whether the question is worth revisiting when a segmentation model becomes available.</w:t>
      </w:r>
    </w:p>
    <w:p>
      <w:pPr>
        <w:spacing w:after="140"/>
        <w:jc w:val="left"/>
      </w:pPr>
      <w:r>
        <w:rPr>
          <w:i/>
          <w:color w:val="5F6368"/>
          <w:sz w:val="19"/>
        </w:rPr>
        <w:t>Evidence: Sprint5_PectoralPilot.ipynb and Sprint5_PectoralDiagnostic.ipynb, with mask inspection figures, applied-rate tables and paired score changes retained; pilot_paired_scores.csv records every per-image score under both conditions.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