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2E4057"/>
          <w:sz w:val="56"/>
        </w:rPr>
        <w:t>CX Opportunities Dashboard</w:t>
        <w:br/>
        <w:t>2026 Plan</w:t>
      </w:r>
    </w:p>
    <w:p>
      <w:pPr>
        <w:jc w:val="center"/>
      </w:pPr>
      <w:r>
        <w:rPr>
          <w:color w:val="666666"/>
          <w:sz w:val="28"/>
        </w:rPr>
        <w:t>Draft for Review — March 31, 2026</w:t>
      </w:r>
    </w:p>
    <w:p>
      <w:pPr>
        <w:jc w:val="center"/>
      </w:pPr>
      <w:r>
        <w:rPr>
          <w:color w:val="666666"/>
          <w:sz w:val="24"/>
        </w:rPr>
        <w:t>CX Analytics &amp; Strategy Team</w:t>
      </w:r>
    </w:p>
    <w:p>
      <w:r>
        <w:br w:type="page"/>
      </w:r>
    </w:p>
    <w:p>
      <w:pPr>
        <w:pStyle w:val="Heading1"/>
      </w:pPr>
      <w:r>
        <w:t>Document Control</w:t>
      </w:r>
    </w:p>
    <w:tbl>
      <w:tblPr>
        <w:tblStyle w:val="TableGrid"/>
        <w:tblW w:type="auto" w:w="0"/>
        <w:jc w:val="center"/>
        <w:tblLook w:firstColumn="1" w:firstRow="1" w:lastColumn="0" w:lastRow="0" w:noHBand="0" w:noVBand="1" w:val="04A0"/>
      </w:tblPr>
      <w:tblGrid>
        <w:gridCol w:w="4320"/>
        <w:gridCol w:w="4320"/>
      </w:tblGrid>
      <w:tr>
        <w:tc>
          <w:tcPr>
            <w:tcW w:type="dxa" w:w="2835"/>
            <w:shd w:val="clear" w:color="auto" w:fill="2E4057"/>
          </w:tcPr>
          <w:p>
            <w:r>
              <w:rPr>
                <w:b/>
                <w:color w:val="FFFFFF"/>
                <w:sz w:val="18"/>
              </w:rPr>
              <w:t>Field</w:t>
            </w:r>
          </w:p>
        </w:tc>
        <w:tc>
          <w:tcPr>
            <w:tcW w:type="dxa" w:w="6803"/>
            <w:shd w:val="clear" w:color="auto" w:fill="2E4057"/>
          </w:tcPr>
          <w:p>
            <w:r>
              <w:rPr>
                <w:b/>
                <w:color w:val="FFFFFF"/>
                <w:sz w:val="18"/>
              </w:rPr>
              <w:t>Value</w:t>
            </w:r>
          </w:p>
        </w:tc>
      </w:tr>
      <w:tr>
        <w:tc>
          <w:tcPr>
            <w:tcW w:type="dxa" w:w="2835"/>
          </w:tcPr>
          <w:p>
            <w:r>
              <w:rPr>
                <w:sz w:val="18"/>
              </w:rPr>
              <w:t>Version</w:t>
            </w:r>
          </w:p>
        </w:tc>
        <w:tc>
          <w:tcPr>
            <w:tcW w:type="dxa" w:w="6803"/>
          </w:tcPr>
          <w:p>
            <w:r>
              <w:rPr>
                <w:sz w:val="18"/>
              </w:rPr>
              <w:t>1.0 — Draft</w:t>
            </w:r>
          </w:p>
        </w:tc>
      </w:tr>
      <w:tr>
        <w:tc>
          <w:tcPr>
            <w:tcW w:type="dxa" w:w="2835"/>
          </w:tcPr>
          <w:p>
            <w:r>
              <w:rPr>
                <w:sz w:val="18"/>
              </w:rPr>
              <w:t>Date</w:t>
            </w:r>
          </w:p>
        </w:tc>
        <w:tc>
          <w:tcPr>
            <w:tcW w:type="dxa" w:w="6803"/>
          </w:tcPr>
          <w:p>
            <w:r>
              <w:rPr>
                <w:sz w:val="18"/>
              </w:rPr>
              <w:t>March 31, 2026</w:t>
            </w:r>
          </w:p>
        </w:tc>
      </w:tr>
      <w:tr>
        <w:tc>
          <w:tcPr>
            <w:tcW w:type="dxa" w:w="2835"/>
          </w:tcPr>
          <w:p>
            <w:r>
              <w:rPr>
                <w:sz w:val="18"/>
              </w:rPr>
              <w:t>Author</w:t>
            </w:r>
          </w:p>
        </w:tc>
        <w:tc>
          <w:tcPr>
            <w:tcW w:type="dxa" w:w="6803"/>
          </w:tcPr>
          <w:p>
            <w:r>
              <w:rPr>
                <w:sz w:val="18"/>
              </w:rPr>
              <w:t>CX Analytics &amp; Strategy Team</w:t>
            </w:r>
          </w:p>
        </w:tc>
      </w:tr>
      <w:tr>
        <w:tc>
          <w:tcPr>
            <w:tcW w:type="dxa" w:w="2835"/>
          </w:tcPr>
          <w:p>
            <w:r>
              <w:rPr>
                <w:sz w:val="18"/>
              </w:rPr>
              <w:t>Status</w:t>
            </w:r>
          </w:p>
        </w:tc>
        <w:tc>
          <w:tcPr>
            <w:tcW w:type="dxa" w:w="6803"/>
          </w:tcPr>
          <w:p>
            <w:r>
              <w:rPr>
                <w:sz w:val="18"/>
              </w:rPr>
              <w:t>Draft for Review</w:t>
            </w:r>
          </w:p>
        </w:tc>
      </w:tr>
      <w:tr>
        <w:tc>
          <w:tcPr>
            <w:tcW w:type="dxa" w:w="2835"/>
          </w:tcPr>
          <w:p>
            <w:r>
              <w:rPr>
                <w:sz w:val="18"/>
              </w:rPr>
              <w:t>Distribution</w:t>
            </w:r>
          </w:p>
        </w:tc>
        <w:tc>
          <w:tcPr>
            <w:tcW w:type="dxa" w:w="6803"/>
          </w:tcPr>
          <w:p>
            <w:r>
              <w:rPr>
                <w:sz w:val="18"/>
              </w:rPr>
              <w:t>CX Leadership, Product, Technology, BI</w:t>
            </w:r>
          </w:p>
        </w:tc>
      </w:tr>
    </w:tbl>
    <w:p/>
    <w:p>
      <w:pPr>
        <w:pStyle w:val="Heading1"/>
      </w:pPr>
      <w:r>
        <w:t>1. Executive Summary</w:t>
      </w:r>
    </w:p>
    <w:p>
      <w:r>
        <w:t>This document outlines the plan for a Looker-based analytics dashboard that tracks the 7 highest-impact improvement opportunities identified by the CX organization for 2026. Each opportunity maps directly to one or more of the 5 CX Goals for the year, allowing leadership to monitor whether day-to-day execution against these opportunities is translating into progress on the annual targets.</w:t>
      </w:r>
    </w:p>
    <w:p>
      <w:r>
        <w:t>The dashboard suite will consist of:</w:t>
      </w:r>
    </w:p>
    <w:tbl>
      <w:tblPr>
        <w:tblStyle w:val="TableGrid"/>
        <w:tblW w:type="auto" w:w="0"/>
        <w:jc w:val="center"/>
        <w:tblLook w:firstColumn="1" w:firstRow="1" w:lastColumn="0" w:lastRow="0" w:noHBand="0" w:noVBand="1" w:val="04A0"/>
      </w:tblPr>
      <w:tblGrid>
        <w:gridCol w:w="4320"/>
        <w:gridCol w:w="4320"/>
      </w:tblGrid>
      <w:tr>
        <w:tc>
          <w:tcPr>
            <w:tcW w:type="dxa" w:w="3402"/>
            <w:shd w:val="clear" w:color="auto" w:fill="2E4057"/>
          </w:tcPr>
          <w:p>
            <w:r>
              <w:rPr>
                <w:b/>
                <w:color w:val="FFFFFF"/>
                <w:sz w:val="18"/>
              </w:rPr>
              <w:t>Dashboard</w:t>
            </w:r>
          </w:p>
        </w:tc>
        <w:tc>
          <w:tcPr>
            <w:tcW w:type="dxa" w:w="6803"/>
            <w:shd w:val="clear" w:color="auto" w:fill="2E4057"/>
          </w:tcPr>
          <w:p>
            <w:r>
              <w:rPr>
                <w:b/>
                <w:color w:val="FFFFFF"/>
                <w:sz w:val="18"/>
              </w:rPr>
              <w:t>Purpose</w:t>
            </w:r>
          </w:p>
        </w:tc>
      </w:tr>
      <w:tr>
        <w:tc>
          <w:tcPr>
            <w:tcW w:type="dxa" w:w="3402"/>
          </w:tcPr>
          <w:p>
            <w:r>
              <w:rPr>
                <w:sz w:val="18"/>
              </w:rPr>
              <w:t>CX Executive KPI Overview</w:t>
            </w:r>
          </w:p>
        </w:tc>
        <w:tc>
          <w:tcPr>
            <w:tcW w:type="dxa" w:w="6803"/>
          </w:tcPr>
          <w:p>
            <w:r>
              <w:rPr>
                <w:sz w:val="18"/>
              </w:rPr>
              <w:t>Bird's-eye view of all 5 goals, their KPIs, and YTD progress</w:t>
            </w:r>
          </w:p>
        </w:tc>
      </w:tr>
      <w:tr>
        <w:tc>
          <w:tcPr>
            <w:tcW w:type="dxa" w:w="3402"/>
          </w:tcPr>
          <w:p>
            <w:r>
              <w:rPr>
                <w:sz w:val="18"/>
              </w:rPr>
              <w:t>Opportunity Impact Tracker</w:t>
            </w:r>
          </w:p>
        </w:tc>
        <w:tc>
          <w:tcPr>
            <w:tcW w:type="dxa" w:w="6803"/>
          </w:tcPr>
          <w:p>
            <w:r>
              <w:rPr>
                <w:sz w:val="18"/>
              </w:rPr>
              <w:t>Status and projected impact of each of the 7 opportunities</w:t>
            </w:r>
          </w:p>
        </w:tc>
      </w:tr>
      <w:tr>
        <w:tc>
          <w:tcPr>
            <w:tcW w:type="dxa" w:w="3402"/>
          </w:tcPr>
          <w:p>
            <w:r>
              <w:rPr>
                <w:sz w:val="18"/>
              </w:rPr>
              <w:t>Opportunity Deep-Dive (x7)</w:t>
            </w:r>
          </w:p>
        </w:tc>
        <w:tc>
          <w:tcPr>
            <w:tcW w:type="dxa" w:w="6803"/>
          </w:tcPr>
          <w:p>
            <w:r>
              <w:rPr>
                <w:sz w:val="18"/>
              </w:rPr>
              <w:t>One drill-down dashboard per opportunity with operational metrics</w:t>
            </w:r>
          </w:p>
        </w:tc>
      </w:tr>
    </w:tbl>
    <w:p/>
    <w:p>
      <w:pPr>
        <w:pStyle w:val="Heading1"/>
      </w:pPr>
      <w:r>
        <w:t>2. The 5 CX Goals for 2026</w:t>
      </w:r>
    </w:p>
    <w:p>
      <w:pPr>
        <w:pStyle w:val="Heading2"/>
      </w:pPr>
      <w:r>
        <w:t>Goal 1 — Faster, More Effective 1:1 Support</w:t>
      </w:r>
    </w:p>
    <w:p>
      <w:r>
        <w:t>Provide faster, more effective 1:1 support across all CX touchpoints.</w:t>
      </w:r>
    </w:p>
    <w:tbl>
      <w:tblPr>
        <w:tblStyle w:val="TableGrid"/>
        <w:tblW w:type="auto" w:w="0"/>
        <w:jc w:val="center"/>
        <w:tblLook w:firstColumn="1" w:firstRow="1" w:lastColumn="0" w:lastRow="0" w:noHBand="0" w:noVBand="1" w:val="04A0"/>
      </w:tblPr>
      <w:tblGrid>
        <w:gridCol w:w="2880"/>
        <w:gridCol w:w="2880"/>
        <w:gridCol w:w="2880"/>
      </w:tblGrid>
      <w:tr>
        <w:tc>
          <w:tcPr>
            <w:tcW w:type="dxa" w:w="2835"/>
            <w:shd w:val="clear" w:color="auto" w:fill="2E4057"/>
          </w:tcPr>
          <w:p>
            <w:r>
              <w:rPr>
                <w:b/>
                <w:color w:val="FFFFFF"/>
                <w:sz w:val="18"/>
              </w:rPr>
              <w:t>KPI</w:t>
            </w:r>
          </w:p>
        </w:tc>
        <w:tc>
          <w:tcPr>
            <w:tcW w:type="dxa" w:w="3402"/>
            <w:shd w:val="clear" w:color="auto" w:fill="2E4057"/>
          </w:tcPr>
          <w:p>
            <w:r>
              <w:rPr>
                <w:b/>
                <w:color w:val="FFFFFF"/>
                <w:sz w:val="18"/>
              </w:rPr>
              <w:t>2026 Target</w:t>
            </w:r>
          </w:p>
        </w:tc>
        <w:tc>
          <w:tcPr>
            <w:tcW w:type="dxa" w:w="3402"/>
            <w:shd w:val="clear" w:color="auto" w:fill="2E4057"/>
          </w:tcPr>
          <w:p>
            <w:r>
              <w:rPr>
                <w:b/>
                <w:color w:val="FFFFFF"/>
                <w:sz w:val="18"/>
              </w:rPr>
              <w:t>Baseline (EOY 2025)</w:t>
            </w:r>
          </w:p>
        </w:tc>
      </w:tr>
      <w:tr>
        <w:tc>
          <w:tcPr>
            <w:tcW w:type="dxa" w:w="2835"/>
          </w:tcPr>
          <w:p>
            <w:r>
              <w:rPr>
                <w:sz w:val="18"/>
              </w:rPr>
              <w:t>First Contact Resolution</w:t>
            </w:r>
          </w:p>
        </w:tc>
        <w:tc>
          <w:tcPr>
            <w:tcW w:type="dxa" w:w="3402"/>
          </w:tcPr>
          <w:p>
            <w:r>
              <w:rPr>
                <w:sz w:val="18"/>
              </w:rPr>
              <w:t>≥ 90%</w:t>
            </w:r>
          </w:p>
        </w:tc>
        <w:tc>
          <w:tcPr>
            <w:tcW w:type="dxa" w:w="3402"/>
          </w:tcPr>
          <w:p>
            <w:r>
              <w:rPr>
                <w:sz w:val="18"/>
              </w:rPr>
              <w:t>TBD — pull from existing FCR reporting</w:t>
            </w:r>
          </w:p>
        </w:tc>
      </w:tr>
      <w:tr>
        <w:tc>
          <w:tcPr>
            <w:tcW w:type="dxa" w:w="2835"/>
          </w:tcPr>
          <w:p>
            <w:r>
              <w:rPr>
                <w:sz w:val="18"/>
              </w:rPr>
              <w:t>Total Time per Contact</w:t>
            </w:r>
          </w:p>
        </w:tc>
        <w:tc>
          <w:tcPr>
            <w:tcW w:type="dxa" w:w="3402"/>
          </w:tcPr>
          <w:p>
            <w:r>
              <w:rPr>
                <w:sz w:val="18"/>
              </w:rPr>
              <w:t>Reduce by 2 minutes</w:t>
            </w:r>
          </w:p>
        </w:tc>
        <w:tc>
          <w:tcPr>
            <w:tcW w:type="dxa" w:w="3402"/>
          </w:tcPr>
          <w:p>
            <w:r>
              <w:rPr>
                <w:sz w:val="18"/>
              </w:rPr>
              <w:t>TBD — pull from AHT reporting</w:t>
            </w:r>
          </w:p>
        </w:tc>
      </w:tr>
    </w:tbl>
    <w:p/>
    <w:p>
      <w:pPr>
        <w:pStyle w:val="Heading2"/>
      </w:pPr>
      <w:r>
        <w:t>Goal 2 — Automate Where Humans Don't Add Value</w:t>
      </w:r>
    </w:p>
    <w:p>
      <w:r>
        <w:t>Automate customer interactions where a human doesn't add value.</w:t>
      </w:r>
    </w:p>
    <w:tbl>
      <w:tblPr>
        <w:tblStyle w:val="TableGrid"/>
        <w:tblW w:type="auto" w:w="0"/>
        <w:jc w:val="center"/>
        <w:tblLook w:firstColumn="1" w:firstRow="1" w:lastColumn="0" w:lastRow="0" w:noHBand="0" w:noVBand="1" w:val="04A0"/>
      </w:tblPr>
      <w:tblGrid>
        <w:gridCol w:w="2880"/>
        <w:gridCol w:w="2880"/>
        <w:gridCol w:w="2880"/>
      </w:tblGrid>
      <w:tr>
        <w:tc>
          <w:tcPr>
            <w:tcW w:type="dxa" w:w="2835"/>
            <w:shd w:val="clear" w:color="auto" w:fill="2E4057"/>
          </w:tcPr>
          <w:p>
            <w:r>
              <w:rPr>
                <w:b/>
                <w:color w:val="FFFFFF"/>
                <w:sz w:val="18"/>
              </w:rPr>
              <w:t>KPI</w:t>
            </w:r>
          </w:p>
        </w:tc>
        <w:tc>
          <w:tcPr>
            <w:tcW w:type="dxa" w:w="3402"/>
            <w:shd w:val="clear" w:color="auto" w:fill="2E4057"/>
          </w:tcPr>
          <w:p>
            <w:r>
              <w:rPr>
                <w:b/>
                <w:color w:val="FFFFFF"/>
                <w:sz w:val="18"/>
              </w:rPr>
              <w:t>2026 Target</w:t>
            </w:r>
          </w:p>
        </w:tc>
        <w:tc>
          <w:tcPr>
            <w:tcW w:type="dxa" w:w="3402"/>
            <w:shd w:val="clear" w:color="auto" w:fill="2E4057"/>
          </w:tcPr>
          <w:p>
            <w:r>
              <w:rPr>
                <w:b/>
                <w:color w:val="FFFFFF"/>
                <w:sz w:val="18"/>
              </w:rPr>
              <w:t>Baseline (EOY 2025)</w:t>
            </w:r>
          </w:p>
        </w:tc>
      </w:tr>
      <w:tr>
        <w:tc>
          <w:tcPr>
            <w:tcW w:type="dxa" w:w="2835"/>
          </w:tcPr>
          <w:p>
            <w:r>
              <w:rPr>
                <w:sz w:val="18"/>
              </w:rPr>
              <w:t>Self-Service Rate</w:t>
            </w:r>
          </w:p>
        </w:tc>
        <w:tc>
          <w:tcPr>
            <w:tcW w:type="dxa" w:w="3402"/>
          </w:tcPr>
          <w:p>
            <w:r>
              <w:rPr>
                <w:sz w:val="18"/>
              </w:rPr>
              <w:t>≥ 75% (+5 pp with automation)</w:t>
            </w:r>
          </w:p>
        </w:tc>
        <w:tc>
          <w:tcPr>
            <w:tcW w:type="dxa" w:w="3402"/>
          </w:tcPr>
          <w:p>
            <w:r>
              <w:rPr>
                <w:sz w:val="18"/>
              </w:rPr>
              <w:t>TBD</w:t>
            </w:r>
          </w:p>
        </w:tc>
      </w:tr>
      <w:tr>
        <w:tc>
          <w:tcPr>
            <w:tcW w:type="dxa" w:w="2835"/>
          </w:tcPr>
          <w:p>
            <w:r>
              <w:rPr>
                <w:sz w:val="18"/>
              </w:rPr>
              <w:t>Chatbot CSAT</w:t>
            </w:r>
          </w:p>
        </w:tc>
        <w:tc>
          <w:tcPr>
            <w:tcW w:type="dxa" w:w="3402"/>
          </w:tcPr>
          <w:p>
            <w:r>
              <w:rPr>
                <w:sz w:val="18"/>
              </w:rPr>
              <w:t>+20 pp improvement</w:t>
            </w:r>
          </w:p>
        </w:tc>
        <w:tc>
          <w:tcPr>
            <w:tcW w:type="dxa" w:w="3402"/>
          </w:tcPr>
          <w:p>
            <w:r>
              <w:rPr>
                <w:sz w:val="18"/>
              </w:rPr>
              <w:t>TBD</w:t>
            </w:r>
          </w:p>
        </w:tc>
      </w:tr>
      <w:tr>
        <w:tc>
          <w:tcPr>
            <w:tcW w:type="dxa" w:w="2835"/>
          </w:tcPr>
          <w:p>
            <w:r>
              <w:rPr>
                <w:sz w:val="18"/>
              </w:rPr>
              <w:t>Advocate Accuracy Rate</w:t>
            </w:r>
          </w:p>
        </w:tc>
        <w:tc>
          <w:tcPr>
            <w:tcW w:type="dxa" w:w="3402"/>
          </w:tcPr>
          <w:p>
            <w:r>
              <w:rPr>
                <w:sz w:val="18"/>
              </w:rPr>
              <w:t>90% within 30 days of training/event/release</w:t>
            </w:r>
          </w:p>
        </w:tc>
        <w:tc>
          <w:tcPr>
            <w:tcW w:type="dxa" w:w="3402"/>
          </w:tcPr>
          <w:p>
            <w:r>
              <w:rPr>
                <w:sz w:val="18"/>
              </w:rPr>
              <w:t>TBD</w:t>
            </w:r>
          </w:p>
        </w:tc>
      </w:tr>
    </w:tbl>
    <w:p/>
    <w:p>
      <w:pPr>
        <w:pStyle w:val="Heading2"/>
      </w:pPr>
      <w:r>
        <w:t>Goal 3 — AI &amp; Automation for Quality at Scale</w:t>
      </w:r>
    </w:p>
    <w:p>
      <w:r>
        <w:t>Leverage AI &amp; Automation to reinforce quality at scale.</w:t>
      </w:r>
    </w:p>
    <w:tbl>
      <w:tblPr>
        <w:tblStyle w:val="TableGrid"/>
        <w:tblW w:type="auto" w:w="0"/>
        <w:jc w:val="center"/>
        <w:tblLook w:firstColumn="1" w:firstRow="1" w:lastColumn="0" w:lastRow="0" w:noHBand="0" w:noVBand="1" w:val="04A0"/>
      </w:tblPr>
      <w:tblGrid>
        <w:gridCol w:w="2880"/>
        <w:gridCol w:w="2880"/>
        <w:gridCol w:w="2880"/>
      </w:tblGrid>
      <w:tr>
        <w:tc>
          <w:tcPr>
            <w:tcW w:type="dxa" w:w="2835"/>
            <w:shd w:val="clear" w:color="auto" w:fill="2E4057"/>
          </w:tcPr>
          <w:p>
            <w:r>
              <w:rPr>
                <w:b/>
                <w:color w:val="FFFFFF"/>
                <w:sz w:val="18"/>
              </w:rPr>
              <w:t>KPI</w:t>
            </w:r>
          </w:p>
        </w:tc>
        <w:tc>
          <w:tcPr>
            <w:tcW w:type="dxa" w:w="3402"/>
            <w:shd w:val="clear" w:color="auto" w:fill="2E4057"/>
          </w:tcPr>
          <w:p>
            <w:r>
              <w:rPr>
                <w:b/>
                <w:color w:val="FFFFFF"/>
                <w:sz w:val="18"/>
              </w:rPr>
              <w:t>2026 Target</w:t>
            </w:r>
          </w:p>
        </w:tc>
        <w:tc>
          <w:tcPr>
            <w:tcW w:type="dxa" w:w="3402"/>
            <w:shd w:val="clear" w:color="auto" w:fill="2E4057"/>
          </w:tcPr>
          <w:p>
            <w:r>
              <w:rPr>
                <w:b/>
                <w:color w:val="FFFFFF"/>
                <w:sz w:val="18"/>
              </w:rPr>
              <w:t>Baseline (EOY 2025)</w:t>
            </w:r>
          </w:p>
        </w:tc>
      </w:tr>
      <w:tr>
        <w:tc>
          <w:tcPr>
            <w:tcW w:type="dxa" w:w="2835"/>
          </w:tcPr>
          <w:p>
            <w:r>
              <w:rPr>
                <w:sz w:val="18"/>
              </w:rPr>
              <w:t>Global CSAT</w:t>
            </w:r>
          </w:p>
        </w:tc>
        <w:tc>
          <w:tcPr>
            <w:tcW w:type="dxa" w:w="3402"/>
          </w:tcPr>
          <w:p>
            <w:r>
              <w:rPr>
                <w:sz w:val="18"/>
              </w:rPr>
              <w:t>≥ 94%</w:t>
            </w:r>
          </w:p>
        </w:tc>
        <w:tc>
          <w:tcPr>
            <w:tcW w:type="dxa" w:w="3402"/>
          </w:tcPr>
          <w:p>
            <w:r>
              <w:rPr>
                <w:sz w:val="18"/>
              </w:rPr>
              <w:t>TBD</w:t>
            </w:r>
          </w:p>
        </w:tc>
      </w:tr>
      <w:tr>
        <w:tc>
          <w:tcPr>
            <w:tcW w:type="dxa" w:w="2835"/>
          </w:tcPr>
          <w:p>
            <w:r>
              <w:rPr>
                <w:sz w:val="18"/>
              </w:rPr>
              <w:t>Market-to-Market CSAT Variance</w:t>
            </w:r>
          </w:p>
        </w:tc>
        <w:tc>
          <w:tcPr>
            <w:tcW w:type="dxa" w:w="3402"/>
          </w:tcPr>
          <w:p>
            <w:r>
              <w:rPr>
                <w:sz w:val="18"/>
              </w:rPr>
              <w:t>&lt; 5 points</w:t>
            </w:r>
          </w:p>
        </w:tc>
        <w:tc>
          <w:tcPr>
            <w:tcW w:type="dxa" w:w="3402"/>
          </w:tcPr>
          <w:p>
            <w:r>
              <w:rPr>
                <w:sz w:val="18"/>
              </w:rPr>
              <w:t>TBD</w:t>
            </w:r>
          </w:p>
        </w:tc>
      </w:tr>
    </w:tbl>
    <w:p/>
    <w:p>
      <w:pPr>
        <w:pStyle w:val="Heading2"/>
      </w:pPr>
      <w:r>
        <w:t>Goal 4 — Optimize Top Cost Drivers</w:t>
      </w:r>
    </w:p>
    <w:p>
      <w:r>
        <w:t>Aggressively optimize top cost drivers to drive efficiency, quality, and scale.</w:t>
      </w:r>
    </w:p>
    <w:tbl>
      <w:tblPr>
        <w:tblStyle w:val="TableGrid"/>
        <w:tblW w:type="auto" w:w="0"/>
        <w:jc w:val="center"/>
        <w:tblLook w:firstColumn="1" w:firstRow="1" w:lastColumn="0" w:lastRow="0" w:noHBand="0" w:noVBand="1" w:val="04A0"/>
      </w:tblPr>
      <w:tblGrid>
        <w:gridCol w:w="2880"/>
        <w:gridCol w:w="2880"/>
        <w:gridCol w:w="2880"/>
      </w:tblGrid>
      <w:tr>
        <w:tc>
          <w:tcPr>
            <w:tcW w:type="dxa" w:w="2835"/>
            <w:shd w:val="clear" w:color="auto" w:fill="2E4057"/>
          </w:tcPr>
          <w:p>
            <w:r>
              <w:rPr>
                <w:b/>
                <w:color w:val="FFFFFF"/>
                <w:sz w:val="18"/>
              </w:rPr>
              <w:t>KPI</w:t>
            </w:r>
          </w:p>
        </w:tc>
        <w:tc>
          <w:tcPr>
            <w:tcW w:type="dxa" w:w="3402"/>
            <w:shd w:val="clear" w:color="auto" w:fill="2E4057"/>
          </w:tcPr>
          <w:p>
            <w:r>
              <w:rPr>
                <w:b/>
                <w:color w:val="FFFFFF"/>
                <w:sz w:val="18"/>
              </w:rPr>
              <w:t>2026 Target</w:t>
            </w:r>
          </w:p>
        </w:tc>
        <w:tc>
          <w:tcPr>
            <w:tcW w:type="dxa" w:w="3402"/>
            <w:shd w:val="clear" w:color="auto" w:fill="2E4057"/>
          </w:tcPr>
          <w:p>
            <w:r>
              <w:rPr>
                <w:b/>
                <w:color w:val="FFFFFF"/>
                <w:sz w:val="18"/>
              </w:rPr>
              <w:t>Baseline (EOY 2025)</w:t>
            </w:r>
          </w:p>
        </w:tc>
      </w:tr>
      <w:tr>
        <w:tc>
          <w:tcPr>
            <w:tcW w:type="dxa" w:w="2835"/>
          </w:tcPr>
          <w:p>
            <w:r>
              <w:rPr>
                <w:sz w:val="18"/>
              </w:rPr>
              <w:t>Global Cost per Case (YoY)</w:t>
            </w:r>
          </w:p>
        </w:tc>
        <w:tc>
          <w:tcPr>
            <w:tcW w:type="dxa" w:w="3402"/>
          </w:tcPr>
          <w:p>
            <w:r>
              <w:rPr>
                <w:sz w:val="18"/>
              </w:rPr>
              <w:t>15% reduction by EOY</w:t>
            </w:r>
          </w:p>
        </w:tc>
        <w:tc>
          <w:tcPr>
            <w:tcW w:type="dxa" w:w="3402"/>
          </w:tcPr>
          <w:p>
            <w:r>
              <w:rPr>
                <w:sz w:val="18"/>
              </w:rPr>
              <w:t>TBD</w:t>
            </w:r>
          </w:p>
        </w:tc>
      </w:tr>
      <w:tr>
        <w:tc>
          <w:tcPr>
            <w:tcW w:type="dxa" w:w="2835"/>
          </w:tcPr>
          <w:p>
            <w:r>
              <w:rPr>
                <w:sz w:val="18"/>
              </w:rPr>
              <w:t>Run-Rate Savings</w:t>
            </w:r>
          </w:p>
        </w:tc>
        <w:tc>
          <w:tcPr>
            <w:tcW w:type="dxa" w:w="3402"/>
          </w:tcPr>
          <w:p>
            <w:r>
              <w:rPr>
                <w:sz w:val="18"/>
              </w:rPr>
              <w:t>$$$M delivered by EOY</w:t>
            </w:r>
          </w:p>
        </w:tc>
        <w:tc>
          <w:tcPr>
            <w:tcW w:type="dxa" w:w="3402"/>
          </w:tcPr>
          <w:p>
            <w:r>
              <w:rPr>
                <w:sz w:val="18"/>
              </w:rPr>
              <w:t>TBD</w:t>
            </w:r>
          </w:p>
        </w:tc>
      </w:tr>
    </w:tbl>
    <w:p/>
    <w:p>
      <w:pPr>
        <w:pStyle w:val="Heading2"/>
      </w:pPr>
      <w:r>
        <w:t>Goal 5 — Eliminate Top Contact Drivers</w:t>
      </w:r>
    </w:p>
    <w:p>
      <w:r>
        <w:t>Identify and eliminate top contact drivers to improve growth, satisfaction, and engagement.</w:t>
      </w:r>
    </w:p>
    <w:tbl>
      <w:tblPr>
        <w:tblStyle w:val="TableGrid"/>
        <w:tblW w:type="auto" w:w="0"/>
        <w:jc w:val="center"/>
        <w:tblLook w:firstColumn="1" w:firstRow="1" w:lastColumn="0" w:lastRow="0" w:noHBand="0" w:noVBand="1" w:val="04A0"/>
      </w:tblPr>
      <w:tblGrid>
        <w:gridCol w:w="2880"/>
        <w:gridCol w:w="2880"/>
        <w:gridCol w:w="2880"/>
      </w:tblGrid>
      <w:tr>
        <w:tc>
          <w:tcPr>
            <w:tcW w:type="dxa" w:w="2835"/>
            <w:shd w:val="clear" w:color="auto" w:fill="2E4057"/>
          </w:tcPr>
          <w:p>
            <w:r>
              <w:rPr>
                <w:b/>
                <w:color w:val="FFFFFF"/>
                <w:sz w:val="18"/>
              </w:rPr>
              <w:t>KPI</w:t>
            </w:r>
          </w:p>
        </w:tc>
        <w:tc>
          <w:tcPr>
            <w:tcW w:type="dxa" w:w="3402"/>
            <w:shd w:val="clear" w:color="auto" w:fill="2E4057"/>
          </w:tcPr>
          <w:p>
            <w:r>
              <w:rPr>
                <w:b/>
                <w:color w:val="FFFFFF"/>
                <w:sz w:val="18"/>
              </w:rPr>
              <w:t>2026 Target</w:t>
            </w:r>
          </w:p>
        </w:tc>
        <w:tc>
          <w:tcPr>
            <w:tcW w:type="dxa" w:w="3402"/>
            <w:shd w:val="clear" w:color="auto" w:fill="2E4057"/>
          </w:tcPr>
          <w:p>
            <w:r>
              <w:rPr>
                <w:b/>
                <w:color w:val="FFFFFF"/>
                <w:sz w:val="18"/>
              </w:rPr>
              <w:t>Baseline (EOY 2025)</w:t>
            </w:r>
          </w:p>
        </w:tc>
      </w:tr>
      <w:tr>
        <w:tc>
          <w:tcPr>
            <w:tcW w:type="dxa" w:w="2835"/>
          </w:tcPr>
          <w:p>
            <w:r>
              <w:rPr>
                <w:sz w:val="18"/>
              </w:rPr>
              <w:t>Contact Rate</w:t>
            </w:r>
          </w:p>
        </w:tc>
        <w:tc>
          <w:tcPr>
            <w:tcW w:type="dxa" w:w="3402"/>
          </w:tcPr>
          <w:p>
            <w:r>
              <w:rPr>
                <w:sz w:val="18"/>
              </w:rPr>
              <w:t>25% reduction</w:t>
            </w:r>
          </w:p>
        </w:tc>
        <w:tc>
          <w:tcPr>
            <w:tcW w:type="dxa" w:w="3402"/>
          </w:tcPr>
          <w:p>
            <w:r>
              <w:rPr>
                <w:sz w:val="18"/>
              </w:rPr>
              <w:t>TBD</w:t>
            </w:r>
          </w:p>
        </w:tc>
      </w:tr>
      <w:tr>
        <w:tc>
          <w:tcPr>
            <w:tcW w:type="dxa" w:w="2835"/>
          </w:tcPr>
          <w:p>
            <w:r>
              <w:rPr>
                <w:sz w:val="18"/>
              </w:rPr>
              <w:t>Improvements Surfaced</w:t>
            </w:r>
          </w:p>
        </w:tc>
        <w:tc>
          <w:tcPr>
            <w:tcW w:type="dxa" w:w="3402"/>
          </w:tcPr>
          <w:p>
            <w:r>
              <w:rPr>
                <w:sz w:val="18"/>
              </w:rPr>
              <w:t>≥ 15 improvements driving engagement/growth</w:t>
            </w:r>
          </w:p>
        </w:tc>
        <w:tc>
          <w:tcPr>
            <w:tcW w:type="dxa" w:w="3402"/>
          </w:tcPr>
          <w:p>
            <w:r>
              <w:rPr>
                <w:sz w:val="18"/>
              </w:rPr>
              <w:t>TBD</w:t>
            </w:r>
          </w:p>
        </w:tc>
      </w:tr>
      <w:tr>
        <w:tc>
          <w:tcPr>
            <w:tcW w:type="dxa" w:w="2835"/>
          </w:tcPr>
          <w:p>
            <w:r>
              <w:rPr>
                <w:sz w:val="18"/>
              </w:rPr>
              <w:t>Tech Contact Rate</w:t>
            </w:r>
          </w:p>
        </w:tc>
        <w:tc>
          <w:tcPr>
            <w:tcW w:type="dxa" w:w="3402"/>
          </w:tcPr>
          <w:p>
            <w:r>
              <w:rPr>
                <w:sz w:val="18"/>
              </w:rPr>
              <w:t>≤ 4.0</w:t>
            </w:r>
          </w:p>
        </w:tc>
        <w:tc>
          <w:tcPr>
            <w:tcW w:type="dxa" w:w="3402"/>
          </w:tcPr>
          <w:p>
            <w:r>
              <w:rPr>
                <w:sz w:val="18"/>
              </w:rPr>
              <w:t>TBD</w:t>
            </w:r>
          </w:p>
        </w:tc>
      </w:tr>
    </w:tbl>
    <w:p/>
    <w:p>
      <w:pPr>
        <w:pStyle w:val="Heading1"/>
      </w:pPr>
      <w:r>
        <w:t>3. The 7 Opportunities — Descriptions &amp; Goal Mapping</w:t>
      </w:r>
    </w:p>
    <w:p>
      <w:r>
        <w:t>Each opportunity is mapped to the goals it most directly supports, along with the primary metrics it is expected to move.</w:t>
      </w:r>
    </w:p>
    <w:p>
      <w:pPr>
        <w:pStyle w:val="Heading2"/>
      </w:pPr>
      <w:r>
        <w:t>OPP-1: Reducing Incorrect / Inaccessible Email Address Contacts</w:t>
      </w:r>
    </w:p>
    <w:p>
      <w:r>
        <w:t>A significant volume of inbound contacts stems from customers unable to access their accounts due to incorrect or outdated email addresses. Reducing these contacts requires both proactive email hygiene initiatives and improved self-service flows for email updates.</w:t>
      </w:r>
    </w:p>
    <w:tbl>
      <w:tblPr>
        <w:tblStyle w:val="TableGrid"/>
        <w:tblW w:type="auto" w:w="0"/>
        <w:jc w:val="center"/>
        <w:tblLook w:firstColumn="1" w:firstRow="1" w:lastColumn="0" w:lastRow="0" w:noHBand="0" w:noVBand="1" w:val="04A0"/>
      </w:tblPr>
      <w:tblGrid>
        <w:gridCol w:w="4320"/>
        <w:gridCol w:w="4320"/>
      </w:tblGrid>
      <w:tr>
        <w:tc>
          <w:tcPr>
            <w:tcW w:type="dxa" w:w="2268"/>
            <w:shd w:val="clear" w:color="auto" w:fill="2E4057"/>
          </w:tcPr>
          <w:p>
            <w:r>
              <w:rPr>
                <w:b/>
                <w:color w:val="FFFFFF"/>
                <w:sz w:val="18"/>
              </w:rPr>
              <w:t>Attribute</w:t>
            </w:r>
          </w:p>
        </w:tc>
        <w:tc>
          <w:tcPr>
            <w:tcW w:type="dxa" w:w="7370"/>
            <w:shd w:val="clear" w:color="auto" w:fill="2E4057"/>
          </w:tcPr>
          <w:p>
            <w:r>
              <w:rPr>
                <w:b/>
                <w:color w:val="FFFFFF"/>
                <w:sz w:val="18"/>
              </w:rPr>
              <w:t>Detail</w:t>
            </w:r>
          </w:p>
        </w:tc>
      </w:tr>
      <w:tr>
        <w:tc>
          <w:tcPr>
            <w:tcW w:type="dxa" w:w="2268"/>
          </w:tcPr>
          <w:p>
            <w:r>
              <w:rPr>
                <w:sz w:val="18"/>
              </w:rPr>
              <w:t>Primary Goals</w:t>
            </w:r>
          </w:p>
        </w:tc>
        <w:tc>
          <w:tcPr>
            <w:tcW w:type="dxa" w:w="7370"/>
          </w:tcPr>
          <w:p>
            <w:r>
              <w:rPr>
                <w:sz w:val="18"/>
              </w:rPr>
              <w:t>Goal 1 (1:1 Support), Goal 5 (Eliminate Contact Drivers)</w:t>
            </w:r>
          </w:p>
        </w:tc>
      </w:tr>
      <w:tr>
        <w:tc>
          <w:tcPr>
            <w:tcW w:type="dxa" w:w="2268"/>
          </w:tcPr>
          <w:p>
            <w:r>
              <w:rPr>
                <w:sz w:val="18"/>
              </w:rPr>
              <w:t>Key Metrics</w:t>
            </w:r>
          </w:p>
        </w:tc>
        <w:tc>
          <w:tcPr>
            <w:tcW w:type="dxa" w:w="7370"/>
          </w:tcPr>
          <w:p>
            <w:r>
              <w:rPr>
                <w:sz w:val="18"/>
              </w:rPr>
              <w:t>Contact volume from email issues, FCR on email tickets, self-service completion rate for email changes</w:t>
            </w:r>
          </w:p>
        </w:tc>
      </w:tr>
      <w:tr>
        <w:tc>
          <w:tcPr>
            <w:tcW w:type="dxa" w:w="2268"/>
          </w:tcPr>
          <w:p>
            <w:r>
              <w:rPr>
                <w:sz w:val="18"/>
              </w:rPr>
              <w:t>Data Sources</w:t>
            </w:r>
          </w:p>
        </w:tc>
        <w:tc>
          <w:tcPr>
            <w:tcW w:type="dxa" w:w="7370"/>
          </w:tcPr>
          <w:p>
            <w:r>
              <w:rPr>
                <w:sz w:val="18"/>
              </w:rPr>
              <w:t>CRM / ticketing system (contact reason taxonomy), IVR/chatbot logs, account management funnel data</w:t>
            </w:r>
          </w:p>
        </w:tc>
      </w:tr>
    </w:tbl>
    <w:p/>
    <w:p>
      <w:pPr>
        <w:pStyle w:val="Heading2"/>
      </w:pPr>
      <w:r>
        <w:t>OPP-2: Account Sharing Inquiry Surge — Mitigation with Product &amp; Technology</w:t>
      </w:r>
    </w:p>
    <w:p>
      <w:r>
        <w:t>Policy and product changes around account sharing are expected to generate a spike in customer inquiries. Proactive collaboration with Product and Technology is needed to deflect avoidable contacts through better in-app messaging, FAQ content, and policy clarity.</w:t>
      </w:r>
    </w:p>
    <w:tbl>
      <w:tblPr>
        <w:tblStyle w:val="TableGrid"/>
        <w:tblW w:type="auto" w:w="0"/>
        <w:jc w:val="center"/>
        <w:tblLook w:firstColumn="1" w:firstRow="1" w:lastColumn="0" w:lastRow="0" w:noHBand="0" w:noVBand="1" w:val="04A0"/>
      </w:tblPr>
      <w:tblGrid>
        <w:gridCol w:w="4320"/>
        <w:gridCol w:w="4320"/>
      </w:tblGrid>
      <w:tr>
        <w:tc>
          <w:tcPr>
            <w:tcW w:type="dxa" w:w="2268"/>
            <w:shd w:val="clear" w:color="auto" w:fill="2E4057"/>
          </w:tcPr>
          <w:p>
            <w:r>
              <w:rPr>
                <w:b/>
                <w:color w:val="FFFFFF"/>
                <w:sz w:val="18"/>
              </w:rPr>
              <w:t>Attribute</w:t>
            </w:r>
          </w:p>
        </w:tc>
        <w:tc>
          <w:tcPr>
            <w:tcW w:type="dxa" w:w="7370"/>
            <w:shd w:val="clear" w:color="auto" w:fill="2E4057"/>
          </w:tcPr>
          <w:p>
            <w:r>
              <w:rPr>
                <w:b/>
                <w:color w:val="FFFFFF"/>
                <w:sz w:val="18"/>
              </w:rPr>
              <w:t>Detail</w:t>
            </w:r>
          </w:p>
        </w:tc>
      </w:tr>
      <w:tr>
        <w:tc>
          <w:tcPr>
            <w:tcW w:type="dxa" w:w="2268"/>
          </w:tcPr>
          <w:p>
            <w:r>
              <w:rPr>
                <w:sz w:val="18"/>
              </w:rPr>
              <w:t>Primary Goals</w:t>
            </w:r>
          </w:p>
        </w:tc>
        <w:tc>
          <w:tcPr>
            <w:tcW w:type="dxa" w:w="7370"/>
          </w:tcPr>
          <w:p>
            <w:r>
              <w:rPr>
                <w:sz w:val="18"/>
              </w:rPr>
              <w:t>Goal 2 (Automation), Goal 4 (Cost Optimization), Goal 5 (Eliminate Contact Drivers)</w:t>
            </w:r>
          </w:p>
        </w:tc>
      </w:tr>
      <w:tr>
        <w:tc>
          <w:tcPr>
            <w:tcW w:type="dxa" w:w="2268"/>
          </w:tcPr>
          <w:p>
            <w:r>
              <w:rPr>
                <w:sz w:val="18"/>
              </w:rPr>
              <w:t>Key Metrics</w:t>
            </w:r>
          </w:p>
        </w:tc>
        <w:tc>
          <w:tcPr>
            <w:tcW w:type="dxa" w:w="7370"/>
          </w:tcPr>
          <w:p>
            <w:r>
              <w:rPr>
                <w:sz w:val="18"/>
              </w:rPr>
              <w:t>Account sharing contact volume, deflection rate, chatbot resolution rate for sharing topics, CSAT on sharing interactions</w:t>
            </w:r>
          </w:p>
        </w:tc>
      </w:tr>
      <w:tr>
        <w:tc>
          <w:tcPr>
            <w:tcW w:type="dxa" w:w="2268"/>
          </w:tcPr>
          <w:p>
            <w:r>
              <w:rPr>
                <w:sz w:val="18"/>
              </w:rPr>
              <w:t>Data Sources</w:t>
            </w:r>
          </w:p>
        </w:tc>
        <w:tc>
          <w:tcPr>
            <w:tcW w:type="dxa" w:w="7370"/>
          </w:tcPr>
          <w:p>
            <w:r>
              <w:rPr>
                <w:sz w:val="18"/>
              </w:rPr>
              <w:t>CRM / ticketing (contact reason), chatbot topic classification, product telemetry (sharing feature usage), CSAT surveys</w:t>
            </w:r>
          </w:p>
        </w:tc>
      </w:tr>
    </w:tbl>
    <w:p/>
    <w:p>
      <w:pPr>
        <w:pStyle w:val="Heading2"/>
      </w:pPr>
      <w:r>
        <w:t>OPP-3: Understanding OTP Journey Pain Points</w:t>
      </w:r>
    </w:p>
    <w:p>
      <w:r>
        <w:t>One-Time Password (OTP) flows are a friction point in the authentication experience. Deeper data exploration is required to identify where customers are failing, retrying, or abandoning the OTP journey.</w:t>
      </w:r>
    </w:p>
    <w:tbl>
      <w:tblPr>
        <w:tblStyle w:val="TableGrid"/>
        <w:tblW w:type="auto" w:w="0"/>
        <w:jc w:val="center"/>
        <w:tblLook w:firstColumn="1" w:firstRow="1" w:lastColumn="0" w:lastRow="0" w:noHBand="0" w:noVBand="1" w:val="04A0"/>
      </w:tblPr>
      <w:tblGrid>
        <w:gridCol w:w="4320"/>
        <w:gridCol w:w="4320"/>
      </w:tblGrid>
      <w:tr>
        <w:tc>
          <w:tcPr>
            <w:tcW w:type="dxa" w:w="2268"/>
            <w:shd w:val="clear" w:color="auto" w:fill="2E4057"/>
          </w:tcPr>
          <w:p>
            <w:r>
              <w:rPr>
                <w:b/>
                <w:color w:val="FFFFFF"/>
                <w:sz w:val="18"/>
              </w:rPr>
              <w:t>Attribute</w:t>
            </w:r>
          </w:p>
        </w:tc>
        <w:tc>
          <w:tcPr>
            <w:tcW w:type="dxa" w:w="7370"/>
            <w:shd w:val="clear" w:color="auto" w:fill="2E4057"/>
          </w:tcPr>
          <w:p>
            <w:r>
              <w:rPr>
                <w:b/>
                <w:color w:val="FFFFFF"/>
                <w:sz w:val="18"/>
              </w:rPr>
              <w:t>Detail</w:t>
            </w:r>
          </w:p>
        </w:tc>
      </w:tr>
      <w:tr>
        <w:tc>
          <w:tcPr>
            <w:tcW w:type="dxa" w:w="2268"/>
          </w:tcPr>
          <w:p>
            <w:r>
              <w:rPr>
                <w:sz w:val="18"/>
              </w:rPr>
              <w:t>Primary Goals</w:t>
            </w:r>
          </w:p>
        </w:tc>
        <w:tc>
          <w:tcPr>
            <w:tcW w:type="dxa" w:w="7370"/>
          </w:tcPr>
          <w:p>
            <w:r>
              <w:rPr>
                <w:sz w:val="18"/>
              </w:rPr>
              <w:t>Goal 1 (1:1 Support), Goal 5 (Eliminate Contact Drivers)</w:t>
            </w:r>
          </w:p>
        </w:tc>
      </w:tr>
      <w:tr>
        <w:tc>
          <w:tcPr>
            <w:tcW w:type="dxa" w:w="2268"/>
          </w:tcPr>
          <w:p>
            <w:r>
              <w:rPr>
                <w:sz w:val="18"/>
              </w:rPr>
              <w:t>Key Metrics</w:t>
            </w:r>
          </w:p>
        </w:tc>
        <w:tc>
          <w:tcPr>
            <w:tcW w:type="dxa" w:w="7370"/>
          </w:tcPr>
          <w:p>
            <w:r>
              <w:rPr>
                <w:sz w:val="18"/>
              </w:rPr>
              <w:t>OTP-related contact volume, OTP success/failure rate by step, OTP retry rate, time to complete OTP, OTP-triggered churn</w:t>
            </w:r>
          </w:p>
        </w:tc>
      </w:tr>
      <w:tr>
        <w:tc>
          <w:tcPr>
            <w:tcW w:type="dxa" w:w="2268"/>
          </w:tcPr>
          <w:p>
            <w:r>
              <w:rPr>
                <w:sz w:val="18"/>
              </w:rPr>
              <w:t>Data Sources</w:t>
            </w:r>
          </w:p>
        </w:tc>
        <w:tc>
          <w:tcPr>
            <w:tcW w:type="dxa" w:w="7370"/>
          </w:tcPr>
          <w:p>
            <w:r>
              <w:rPr>
                <w:sz w:val="18"/>
              </w:rPr>
              <w:t>Authentication service logs, CRM (contact reason), product analytics (funnel events), chatbot logs</w:t>
            </w:r>
          </w:p>
        </w:tc>
      </w:tr>
    </w:tbl>
    <w:p/>
    <w:p>
      <w:pPr>
        <w:pStyle w:val="Heading2"/>
      </w:pPr>
      <w:r>
        <w:t>OPP-4: Disney Bundle Activation — Customer Confusion</w:t>
      </w:r>
    </w:p>
    <w:p>
      <w:r>
        <w:t>Customers are confused during the Disney bundle activation flow, resulting in contacts and negative sentiment. Root-cause analysis of where confusion arises (eligibility, linking, billing) is needed to drive UX and communication fixes.</w:t>
      </w:r>
    </w:p>
    <w:tbl>
      <w:tblPr>
        <w:tblStyle w:val="TableGrid"/>
        <w:tblW w:type="auto" w:w="0"/>
        <w:jc w:val="center"/>
        <w:tblLook w:firstColumn="1" w:firstRow="1" w:lastColumn="0" w:lastRow="0" w:noHBand="0" w:noVBand="1" w:val="04A0"/>
      </w:tblPr>
      <w:tblGrid>
        <w:gridCol w:w="4320"/>
        <w:gridCol w:w="4320"/>
      </w:tblGrid>
      <w:tr>
        <w:tc>
          <w:tcPr>
            <w:tcW w:type="dxa" w:w="2268"/>
            <w:shd w:val="clear" w:color="auto" w:fill="2E4057"/>
          </w:tcPr>
          <w:p>
            <w:r>
              <w:rPr>
                <w:b/>
                <w:color w:val="FFFFFF"/>
                <w:sz w:val="18"/>
              </w:rPr>
              <w:t>Attribute</w:t>
            </w:r>
          </w:p>
        </w:tc>
        <w:tc>
          <w:tcPr>
            <w:tcW w:type="dxa" w:w="7370"/>
            <w:shd w:val="clear" w:color="auto" w:fill="2E4057"/>
          </w:tcPr>
          <w:p>
            <w:r>
              <w:rPr>
                <w:b/>
                <w:color w:val="FFFFFF"/>
                <w:sz w:val="18"/>
              </w:rPr>
              <w:t>Detail</w:t>
            </w:r>
          </w:p>
        </w:tc>
      </w:tr>
      <w:tr>
        <w:tc>
          <w:tcPr>
            <w:tcW w:type="dxa" w:w="2268"/>
          </w:tcPr>
          <w:p>
            <w:r>
              <w:rPr>
                <w:sz w:val="18"/>
              </w:rPr>
              <w:t>Primary Goals</w:t>
            </w:r>
          </w:p>
        </w:tc>
        <w:tc>
          <w:tcPr>
            <w:tcW w:type="dxa" w:w="7370"/>
          </w:tcPr>
          <w:p>
            <w:r>
              <w:rPr>
                <w:sz w:val="18"/>
              </w:rPr>
              <w:t>Goal 1 (1:1 Support), Goal 3 (Quality at Scale), Goal 5 (Eliminate Contact Drivers)</w:t>
            </w:r>
          </w:p>
        </w:tc>
      </w:tr>
      <w:tr>
        <w:tc>
          <w:tcPr>
            <w:tcW w:type="dxa" w:w="2268"/>
          </w:tcPr>
          <w:p>
            <w:r>
              <w:rPr>
                <w:sz w:val="18"/>
              </w:rPr>
              <w:t>Key Metrics</w:t>
            </w:r>
          </w:p>
        </w:tc>
        <w:tc>
          <w:tcPr>
            <w:tcW w:type="dxa" w:w="7370"/>
          </w:tcPr>
          <w:p>
            <w:r>
              <w:rPr>
                <w:sz w:val="18"/>
              </w:rPr>
              <w:t>Bundle activation contact volume, activation success rate, CSAT on bundle interactions, repeat contact rate for bundle issues</w:t>
            </w:r>
          </w:p>
        </w:tc>
      </w:tr>
      <w:tr>
        <w:tc>
          <w:tcPr>
            <w:tcW w:type="dxa" w:w="2268"/>
          </w:tcPr>
          <w:p>
            <w:r>
              <w:rPr>
                <w:sz w:val="18"/>
              </w:rPr>
              <w:t>Data Sources</w:t>
            </w:r>
          </w:p>
        </w:tc>
        <w:tc>
          <w:tcPr>
            <w:tcW w:type="dxa" w:w="7370"/>
          </w:tcPr>
          <w:p>
            <w:r>
              <w:rPr>
                <w:sz w:val="18"/>
              </w:rPr>
              <w:t>CRM (contact reason), bundle activation funnel data, CSAT surveys, chatbot/IVR topic logs</w:t>
            </w:r>
          </w:p>
        </w:tc>
      </w:tr>
    </w:tbl>
    <w:p/>
    <w:p>
      <w:pPr>
        <w:pStyle w:val="Heading2"/>
      </w:pPr>
      <w:r>
        <w:t>OPP-5: Automation for FCCA &amp; Third-Party Cancellations</w:t>
      </w:r>
    </w:p>
    <w:p>
      <w:r>
        <w:t>First Contact Cancellation Attempts (FCCA) and third-party cancellations represent repeatable, rules-based interactions that are strong candidates for automation. Evaluating and implementing automation will reduce cost and handle time while maintaining quality.</w:t>
      </w:r>
    </w:p>
    <w:tbl>
      <w:tblPr>
        <w:tblStyle w:val="TableGrid"/>
        <w:tblW w:type="auto" w:w="0"/>
        <w:jc w:val="center"/>
        <w:tblLook w:firstColumn="1" w:firstRow="1" w:lastColumn="0" w:lastRow="0" w:noHBand="0" w:noVBand="1" w:val="04A0"/>
      </w:tblPr>
      <w:tblGrid>
        <w:gridCol w:w="4320"/>
        <w:gridCol w:w="4320"/>
      </w:tblGrid>
      <w:tr>
        <w:tc>
          <w:tcPr>
            <w:tcW w:type="dxa" w:w="2268"/>
            <w:shd w:val="clear" w:color="auto" w:fill="2E4057"/>
          </w:tcPr>
          <w:p>
            <w:r>
              <w:rPr>
                <w:b/>
                <w:color w:val="FFFFFF"/>
                <w:sz w:val="18"/>
              </w:rPr>
              <w:t>Attribute</w:t>
            </w:r>
          </w:p>
        </w:tc>
        <w:tc>
          <w:tcPr>
            <w:tcW w:type="dxa" w:w="7370"/>
            <w:shd w:val="clear" w:color="auto" w:fill="2E4057"/>
          </w:tcPr>
          <w:p>
            <w:r>
              <w:rPr>
                <w:b/>
                <w:color w:val="FFFFFF"/>
                <w:sz w:val="18"/>
              </w:rPr>
              <w:t>Detail</w:t>
            </w:r>
          </w:p>
        </w:tc>
      </w:tr>
      <w:tr>
        <w:tc>
          <w:tcPr>
            <w:tcW w:type="dxa" w:w="2268"/>
          </w:tcPr>
          <w:p>
            <w:r>
              <w:rPr>
                <w:sz w:val="18"/>
              </w:rPr>
              <w:t>Primary Goals</w:t>
            </w:r>
          </w:p>
        </w:tc>
        <w:tc>
          <w:tcPr>
            <w:tcW w:type="dxa" w:w="7370"/>
          </w:tcPr>
          <w:p>
            <w:r>
              <w:rPr>
                <w:sz w:val="18"/>
              </w:rPr>
              <w:t>Goal 2 (Automation), Goal 4 (Cost Optimization)</w:t>
            </w:r>
          </w:p>
        </w:tc>
      </w:tr>
      <w:tr>
        <w:tc>
          <w:tcPr>
            <w:tcW w:type="dxa" w:w="2268"/>
          </w:tcPr>
          <w:p>
            <w:r>
              <w:rPr>
                <w:sz w:val="18"/>
              </w:rPr>
              <w:t>Key Metrics</w:t>
            </w:r>
          </w:p>
        </w:tc>
        <w:tc>
          <w:tcPr>
            <w:tcW w:type="dxa" w:w="7370"/>
          </w:tcPr>
          <w:p>
            <w:r>
              <w:rPr>
                <w:sz w:val="18"/>
              </w:rPr>
              <w:t>FCCA volume, third-party cancellation volume, automation rate, AHT for cancellation contacts, cost per cancellation case, CSAT post-cancellation</w:t>
            </w:r>
          </w:p>
        </w:tc>
      </w:tr>
      <w:tr>
        <w:tc>
          <w:tcPr>
            <w:tcW w:type="dxa" w:w="2268"/>
          </w:tcPr>
          <w:p>
            <w:r>
              <w:rPr>
                <w:sz w:val="18"/>
              </w:rPr>
              <w:t>Data Sources</w:t>
            </w:r>
          </w:p>
        </w:tc>
        <w:tc>
          <w:tcPr>
            <w:tcW w:type="dxa" w:w="7370"/>
          </w:tcPr>
          <w:p>
            <w:r>
              <w:rPr>
                <w:sz w:val="18"/>
              </w:rPr>
              <w:t>CRM / ticketing, billing system (cancellation events), workforce management (AHT), cost accounting, CSAT surveys</w:t>
            </w:r>
          </w:p>
        </w:tc>
      </w:tr>
    </w:tbl>
    <w:p/>
    <w:p>
      <w:pPr>
        <w:pStyle w:val="Heading2"/>
      </w:pPr>
      <w:r>
        <w:t>OPP-6: Refund Issues &amp; Automation Opportunities</w:t>
      </w:r>
    </w:p>
    <w:p>
      <w:r>
        <w:t>Refund requests are a high-volume contact driver. Identifying which refund scenarios can be safely automated — and which require human judgment — will reduce volume, cost, and customer effort.</w:t>
      </w:r>
    </w:p>
    <w:tbl>
      <w:tblPr>
        <w:tblStyle w:val="TableGrid"/>
        <w:tblW w:type="auto" w:w="0"/>
        <w:jc w:val="center"/>
        <w:tblLook w:firstColumn="1" w:firstRow="1" w:lastColumn="0" w:lastRow="0" w:noHBand="0" w:noVBand="1" w:val="04A0"/>
      </w:tblPr>
      <w:tblGrid>
        <w:gridCol w:w="4320"/>
        <w:gridCol w:w="4320"/>
      </w:tblGrid>
      <w:tr>
        <w:tc>
          <w:tcPr>
            <w:tcW w:type="dxa" w:w="2268"/>
            <w:shd w:val="clear" w:color="auto" w:fill="2E4057"/>
          </w:tcPr>
          <w:p>
            <w:r>
              <w:rPr>
                <w:b/>
                <w:color w:val="FFFFFF"/>
                <w:sz w:val="18"/>
              </w:rPr>
              <w:t>Attribute</w:t>
            </w:r>
          </w:p>
        </w:tc>
        <w:tc>
          <w:tcPr>
            <w:tcW w:type="dxa" w:w="7370"/>
            <w:shd w:val="clear" w:color="auto" w:fill="2E4057"/>
          </w:tcPr>
          <w:p>
            <w:r>
              <w:rPr>
                <w:b/>
                <w:color w:val="FFFFFF"/>
                <w:sz w:val="18"/>
              </w:rPr>
              <w:t>Detail</w:t>
            </w:r>
          </w:p>
        </w:tc>
      </w:tr>
      <w:tr>
        <w:tc>
          <w:tcPr>
            <w:tcW w:type="dxa" w:w="2268"/>
          </w:tcPr>
          <w:p>
            <w:r>
              <w:rPr>
                <w:sz w:val="18"/>
              </w:rPr>
              <w:t>Primary Goals</w:t>
            </w:r>
          </w:p>
        </w:tc>
        <w:tc>
          <w:tcPr>
            <w:tcW w:type="dxa" w:w="7370"/>
          </w:tcPr>
          <w:p>
            <w:r>
              <w:rPr>
                <w:sz w:val="18"/>
              </w:rPr>
              <w:t>Goal 2 (Automation), Goal 4 (Cost Optimization), Goal 5 (Eliminate Contact Drivers)</w:t>
            </w:r>
          </w:p>
        </w:tc>
      </w:tr>
      <w:tr>
        <w:tc>
          <w:tcPr>
            <w:tcW w:type="dxa" w:w="2268"/>
          </w:tcPr>
          <w:p>
            <w:r>
              <w:rPr>
                <w:sz w:val="18"/>
              </w:rPr>
              <w:t>Key Metrics</w:t>
            </w:r>
          </w:p>
        </w:tc>
        <w:tc>
          <w:tcPr>
            <w:tcW w:type="dxa" w:w="7370"/>
          </w:tcPr>
          <w:p>
            <w:r>
              <w:rPr>
                <w:sz w:val="18"/>
              </w:rPr>
              <w:t>Refund contact volume, refund automation rate, refund processing time, refund CSAT, cost per refund case</w:t>
            </w:r>
          </w:p>
        </w:tc>
      </w:tr>
      <w:tr>
        <w:tc>
          <w:tcPr>
            <w:tcW w:type="dxa" w:w="2268"/>
          </w:tcPr>
          <w:p>
            <w:r>
              <w:rPr>
                <w:sz w:val="18"/>
              </w:rPr>
              <w:t>Data Sources</w:t>
            </w:r>
          </w:p>
        </w:tc>
        <w:tc>
          <w:tcPr>
            <w:tcW w:type="dxa" w:w="7370"/>
          </w:tcPr>
          <w:p>
            <w:r>
              <w:rPr>
                <w:sz w:val="18"/>
              </w:rPr>
              <w:t>CRM / ticketing, billing/payment system, automation platform logs, CSAT surveys</w:t>
            </w:r>
          </w:p>
        </w:tc>
      </w:tr>
    </w:tbl>
    <w:p/>
    <w:p>
      <w:pPr>
        <w:pStyle w:val="Heading2"/>
      </w:pPr>
      <w:r>
        <w:t>OPP-7: Additional Deflection Levers to Reduce Spam</w:t>
      </w:r>
    </w:p>
    <w:p>
      <w:r>
        <w:t>Spam and non-actionable contacts waste agent capacity. Identifying and implementing additional deflection mechanisms (better IVR trees, CAPTCHA, authentication gates) will free capacity for genuine customer needs.</w:t>
      </w:r>
    </w:p>
    <w:tbl>
      <w:tblPr>
        <w:tblStyle w:val="TableGrid"/>
        <w:tblW w:type="auto" w:w="0"/>
        <w:jc w:val="center"/>
        <w:tblLook w:firstColumn="1" w:firstRow="1" w:lastColumn="0" w:lastRow="0" w:noHBand="0" w:noVBand="1" w:val="04A0"/>
      </w:tblPr>
      <w:tblGrid>
        <w:gridCol w:w="4320"/>
        <w:gridCol w:w="4320"/>
      </w:tblGrid>
      <w:tr>
        <w:tc>
          <w:tcPr>
            <w:tcW w:type="dxa" w:w="2268"/>
            <w:shd w:val="clear" w:color="auto" w:fill="2E4057"/>
          </w:tcPr>
          <w:p>
            <w:r>
              <w:rPr>
                <w:b/>
                <w:color w:val="FFFFFF"/>
                <w:sz w:val="18"/>
              </w:rPr>
              <w:t>Attribute</w:t>
            </w:r>
          </w:p>
        </w:tc>
        <w:tc>
          <w:tcPr>
            <w:tcW w:type="dxa" w:w="7370"/>
            <w:shd w:val="clear" w:color="auto" w:fill="2E4057"/>
          </w:tcPr>
          <w:p>
            <w:r>
              <w:rPr>
                <w:b/>
                <w:color w:val="FFFFFF"/>
                <w:sz w:val="18"/>
              </w:rPr>
              <w:t>Detail</w:t>
            </w:r>
          </w:p>
        </w:tc>
      </w:tr>
      <w:tr>
        <w:tc>
          <w:tcPr>
            <w:tcW w:type="dxa" w:w="2268"/>
          </w:tcPr>
          <w:p>
            <w:r>
              <w:rPr>
                <w:sz w:val="18"/>
              </w:rPr>
              <w:t>Primary Goals</w:t>
            </w:r>
          </w:p>
        </w:tc>
        <w:tc>
          <w:tcPr>
            <w:tcW w:type="dxa" w:w="7370"/>
          </w:tcPr>
          <w:p>
            <w:r>
              <w:rPr>
                <w:sz w:val="18"/>
              </w:rPr>
              <w:t>Goal 4 (Cost Optimization), Goal 5 (Eliminate Contact Drivers)</w:t>
            </w:r>
          </w:p>
        </w:tc>
      </w:tr>
      <w:tr>
        <w:tc>
          <w:tcPr>
            <w:tcW w:type="dxa" w:w="2268"/>
          </w:tcPr>
          <w:p>
            <w:r>
              <w:rPr>
                <w:sz w:val="18"/>
              </w:rPr>
              <w:t>Key Metrics</w:t>
            </w:r>
          </w:p>
        </w:tc>
        <w:tc>
          <w:tcPr>
            <w:tcW w:type="dxa" w:w="7370"/>
          </w:tcPr>
          <w:p>
            <w:r>
              <w:rPr>
                <w:sz w:val="18"/>
              </w:rPr>
              <w:t>Spam contact volume, spam deflection rate, false-positive rate, agent utilization gained</w:t>
            </w:r>
          </w:p>
        </w:tc>
      </w:tr>
      <w:tr>
        <w:tc>
          <w:tcPr>
            <w:tcW w:type="dxa" w:w="2268"/>
          </w:tcPr>
          <w:p>
            <w:r>
              <w:rPr>
                <w:sz w:val="18"/>
              </w:rPr>
              <w:t>Data Sources</w:t>
            </w:r>
          </w:p>
        </w:tc>
        <w:tc>
          <w:tcPr>
            <w:tcW w:type="dxa" w:w="7370"/>
          </w:tcPr>
          <w:p>
            <w:r>
              <w:rPr>
                <w:sz w:val="18"/>
              </w:rPr>
              <w:t>CRM / ticketing (spam classification), IVR/chatbot logs, telephony platform data</w:t>
            </w:r>
          </w:p>
        </w:tc>
      </w:tr>
    </w:tbl>
    <w:p/>
    <w:p>
      <w:pPr>
        <w:pStyle w:val="Heading1"/>
      </w:pPr>
      <w:r>
        <w:t>4. Opportunity → Goal Mapping Matrix</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2551"/>
            <w:shd w:val="clear" w:color="auto" w:fill="2E4057"/>
          </w:tcPr>
          <w:p>
            <w:r>
              <w:rPr>
                <w:b/>
                <w:color w:val="FFFFFF"/>
                <w:sz w:val="18"/>
              </w:rPr>
              <w:t>Opportunity</w:t>
            </w:r>
          </w:p>
        </w:tc>
        <w:tc>
          <w:tcPr>
            <w:tcW w:type="dxa" w:w="1417"/>
            <w:shd w:val="clear" w:color="auto" w:fill="2E4057"/>
          </w:tcPr>
          <w:p>
            <w:r>
              <w:rPr>
                <w:b/>
                <w:color w:val="FFFFFF"/>
                <w:sz w:val="18"/>
              </w:rPr>
              <w:t>Goal 1:</w:t>
              <w:br/>
              <w:t>1:1 Support</w:t>
            </w:r>
          </w:p>
        </w:tc>
        <w:tc>
          <w:tcPr>
            <w:tcW w:type="dxa" w:w="1417"/>
            <w:shd w:val="clear" w:color="auto" w:fill="2E4057"/>
          </w:tcPr>
          <w:p>
            <w:r>
              <w:rPr>
                <w:b/>
                <w:color w:val="FFFFFF"/>
                <w:sz w:val="18"/>
              </w:rPr>
              <w:t>Goal 2:</w:t>
              <w:br/>
              <w:t>Automation</w:t>
            </w:r>
          </w:p>
        </w:tc>
        <w:tc>
          <w:tcPr>
            <w:tcW w:type="dxa" w:w="1417"/>
            <w:shd w:val="clear" w:color="auto" w:fill="2E4057"/>
          </w:tcPr>
          <w:p>
            <w:r>
              <w:rPr>
                <w:b/>
                <w:color w:val="FFFFFF"/>
                <w:sz w:val="18"/>
              </w:rPr>
              <w:t>Goal 3:</w:t>
              <w:br/>
              <w:t>Quality</w:t>
            </w:r>
          </w:p>
        </w:tc>
        <w:tc>
          <w:tcPr>
            <w:tcW w:type="dxa" w:w="1417"/>
            <w:shd w:val="clear" w:color="auto" w:fill="2E4057"/>
          </w:tcPr>
          <w:p>
            <w:r>
              <w:rPr>
                <w:b/>
                <w:color w:val="FFFFFF"/>
                <w:sz w:val="18"/>
              </w:rPr>
              <w:t>Goal 4:</w:t>
              <w:br/>
              <w:t>Cost Opt.</w:t>
            </w:r>
          </w:p>
        </w:tc>
        <w:tc>
          <w:tcPr>
            <w:tcW w:type="dxa" w:w="1701"/>
            <w:shd w:val="clear" w:color="auto" w:fill="2E4057"/>
          </w:tcPr>
          <w:p>
            <w:r>
              <w:rPr>
                <w:b/>
                <w:color w:val="FFFFFF"/>
                <w:sz w:val="18"/>
              </w:rPr>
              <w:t>Goal 5:</w:t>
              <w:br/>
              <w:t>Contact Drivers</w:t>
            </w:r>
          </w:p>
        </w:tc>
      </w:tr>
      <w:tr>
        <w:tc>
          <w:tcPr>
            <w:tcW w:type="dxa" w:w="2551"/>
          </w:tcPr>
          <w:p>
            <w:r>
              <w:rPr>
                <w:sz w:val="18"/>
              </w:rPr>
              <w:t>OPP-1: Email Addresses</w:t>
            </w:r>
          </w:p>
        </w:tc>
        <w:tc>
          <w:tcPr>
            <w:tcW w:type="dxa" w:w="1417"/>
          </w:tcPr>
          <w:p>
            <w:pPr>
              <w:jc w:val="center"/>
            </w:pPr>
            <w:r>
              <w:rPr>
                <w:sz w:val="18"/>
              </w:rPr>
              <w:t>●</w:t>
            </w:r>
          </w:p>
        </w:tc>
        <w:tc>
          <w:tcPr>
            <w:tcW w:type="dxa" w:w="1417"/>
          </w:tcPr>
          <w:p>
            <w:pPr>
              <w:jc w:val="center"/>
            </w:pPr>
            <w:r>
              <w:rPr>
                <w:sz w:val="18"/>
              </w:rPr>
            </w:r>
          </w:p>
        </w:tc>
        <w:tc>
          <w:tcPr>
            <w:tcW w:type="dxa" w:w="1417"/>
          </w:tcPr>
          <w:p>
            <w:pPr>
              <w:jc w:val="center"/>
            </w:pPr>
            <w:r>
              <w:rPr>
                <w:sz w:val="18"/>
              </w:rPr>
            </w:r>
          </w:p>
        </w:tc>
        <w:tc>
          <w:tcPr>
            <w:tcW w:type="dxa" w:w="1417"/>
          </w:tcPr>
          <w:p>
            <w:pPr>
              <w:jc w:val="center"/>
            </w:pPr>
            <w:r>
              <w:rPr>
                <w:sz w:val="18"/>
              </w:rPr>
            </w:r>
          </w:p>
        </w:tc>
        <w:tc>
          <w:tcPr>
            <w:tcW w:type="dxa" w:w="1701"/>
          </w:tcPr>
          <w:p>
            <w:pPr>
              <w:jc w:val="center"/>
            </w:pPr>
            <w:r>
              <w:rPr>
                <w:sz w:val="18"/>
              </w:rPr>
              <w:t>●</w:t>
            </w:r>
          </w:p>
        </w:tc>
      </w:tr>
      <w:tr>
        <w:tc>
          <w:tcPr>
            <w:tcW w:type="dxa" w:w="2551"/>
          </w:tcPr>
          <w:p>
            <w:r>
              <w:rPr>
                <w:sz w:val="18"/>
              </w:rPr>
              <w:t>OPP-2: Account Sharing</w:t>
            </w:r>
          </w:p>
        </w:tc>
        <w:tc>
          <w:tcPr>
            <w:tcW w:type="dxa" w:w="1417"/>
          </w:tcPr>
          <w:p>
            <w:pPr>
              <w:jc w:val="center"/>
            </w:pPr>
            <w:r>
              <w:rPr>
                <w:sz w:val="18"/>
              </w:rPr>
            </w:r>
          </w:p>
        </w:tc>
        <w:tc>
          <w:tcPr>
            <w:tcW w:type="dxa" w:w="1417"/>
          </w:tcPr>
          <w:p>
            <w:pPr>
              <w:jc w:val="center"/>
            </w:pPr>
            <w:r>
              <w:rPr>
                <w:sz w:val="18"/>
              </w:rPr>
              <w:t>●</w:t>
            </w:r>
          </w:p>
        </w:tc>
        <w:tc>
          <w:tcPr>
            <w:tcW w:type="dxa" w:w="1417"/>
          </w:tcPr>
          <w:p>
            <w:pPr>
              <w:jc w:val="center"/>
            </w:pPr>
            <w:r>
              <w:rPr>
                <w:sz w:val="18"/>
              </w:rPr>
            </w:r>
          </w:p>
        </w:tc>
        <w:tc>
          <w:tcPr>
            <w:tcW w:type="dxa" w:w="1417"/>
          </w:tcPr>
          <w:p>
            <w:pPr>
              <w:jc w:val="center"/>
            </w:pPr>
            <w:r>
              <w:rPr>
                <w:sz w:val="18"/>
              </w:rPr>
              <w:t>●</w:t>
            </w:r>
          </w:p>
        </w:tc>
        <w:tc>
          <w:tcPr>
            <w:tcW w:type="dxa" w:w="1701"/>
          </w:tcPr>
          <w:p>
            <w:pPr>
              <w:jc w:val="center"/>
            </w:pPr>
            <w:r>
              <w:rPr>
                <w:sz w:val="18"/>
              </w:rPr>
              <w:t>●</w:t>
            </w:r>
          </w:p>
        </w:tc>
      </w:tr>
      <w:tr>
        <w:tc>
          <w:tcPr>
            <w:tcW w:type="dxa" w:w="2551"/>
          </w:tcPr>
          <w:p>
            <w:r>
              <w:rPr>
                <w:sz w:val="18"/>
              </w:rPr>
              <w:t>OPP-3: OTP Journey</w:t>
            </w:r>
          </w:p>
        </w:tc>
        <w:tc>
          <w:tcPr>
            <w:tcW w:type="dxa" w:w="1417"/>
          </w:tcPr>
          <w:p>
            <w:pPr>
              <w:jc w:val="center"/>
            </w:pPr>
            <w:r>
              <w:rPr>
                <w:sz w:val="18"/>
              </w:rPr>
              <w:t>●</w:t>
            </w:r>
          </w:p>
        </w:tc>
        <w:tc>
          <w:tcPr>
            <w:tcW w:type="dxa" w:w="1417"/>
          </w:tcPr>
          <w:p>
            <w:pPr>
              <w:jc w:val="center"/>
            </w:pPr>
            <w:r>
              <w:rPr>
                <w:sz w:val="18"/>
              </w:rPr>
            </w:r>
          </w:p>
        </w:tc>
        <w:tc>
          <w:tcPr>
            <w:tcW w:type="dxa" w:w="1417"/>
          </w:tcPr>
          <w:p>
            <w:pPr>
              <w:jc w:val="center"/>
            </w:pPr>
            <w:r>
              <w:rPr>
                <w:sz w:val="18"/>
              </w:rPr>
            </w:r>
          </w:p>
        </w:tc>
        <w:tc>
          <w:tcPr>
            <w:tcW w:type="dxa" w:w="1417"/>
          </w:tcPr>
          <w:p>
            <w:pPr>
              <w:jc w:val="center"/>
            </w:pPr>
            <w:r>
              <w:rPr>
                <w:sz w:val="18"/>
              </w:rPr>
            </w:r>
          </w:p>
        </w:tc>
        <w:tc>
          <w:tcPr>
            <w:tcW w:type="dxa" w:w="1701"/>
          </w:tcPr>
          <w:p>
            <w:pPr>
              <w:jc w:val="center"/>
            </w:pPr>
            <w:r>
              <w:rPr>
                <w:sz w:val="18"/>
              </w:rPr>
              <w:t>●</w:t>
            </w:r>
          </w:p>
        </w:tc>
      </w:tr>
      <w:tr>
        <w:tc>
          <w:tcPr>
            <w:tcW w:type="dxa" w:w="2551"/>
          </w:tcPr>
          <w:p>
            <w:r>
              <w:rPr>
                <w:sz w:val="18"/>
              </w:rPr>
              <w:t>OPP-4: Disney Bundle</w:t>
            </w:r>
          </w:p>
        </w:tc>
        <w:tc>
          <w:tcPr>
            <w:tcW w:type="dxa" w:w="1417"/>
          </w:tcPr>
          <w:p>
            <w:pPr>
              <w:jc w:val="center"/>
            </w:pPr>
            <w:r>
              <w:rPr>
                <w:sz w:val="18"/>
              </w:rPr>
              <w:t>●</w:t>
            </w:r>
          </w:p>
        </w:tc>
        <w:tc>
          <w:tcPr>
            <w:tcW w:type="dxa" w:w="1417"/>
          </w:tcPr>
          <w:p>
            <w:pPr>
              <w:jc w:val="center"/>
            </w:pPr>
            <w:r>
              <w:rPr>
                <w:sz w:val="18"/>
              </w:rPr>
            </w:r>
          </w:p>
        </w:tc>
        <w:tc>
          <w:tcPr>
            <w:tcW w:type="dxa" w:w="1417"/>
          </w:tcPr>
          <w:p>
            <w:pPr>
              <w:jc w:val="center"/>
            </w:pPr>
            <w:r>
              <w:rPr>
                <w:sz w:val="18"/>
              </w:rPr>
              <w:t>●</w:t>
            </w:r>
          </w:p>
        </w:tc>
        <w:tc>
          <w:tcPr>
            <w:tcW w:type="dxa" w:w="1417"/>
          </w:tcPr>
          <w:p>
            <w:pPr>
              <w:jc w:val="center"/>
            </w:pPr>
            <w:r>
              <w:rPr>
                <w:sz w:val="18"/>
              </w:rPr>
            </w:r>
          </w:p>
        </w:tc>
        <w:tc>
          <w:tcPr>
            <w:tcW w:type="dxa" w:w="1701"/>
          </w:tcPr>
          <w:p>
            <w:pPr>
              <w:jc w:val="center"/>
            </w:pPr>
            <w:r>
              <w:rPr>
                <w:sz w:val="18"/>
              </w:rPr>
              <w:t>●</w:t>
            </w:r>
          </w:p>
        </w:tc>
      </w:tr>
      <w:tr>
        <w:tc>
          <w:tcPr>
            <w:tcW w:type="dxa" w:w="2551"/>
          </w:tcPr>
          <w:p>
            <w:r>
              <w:rPr>
                <w:sz w:val="18"/>
              </w:rPr>
              <w:t>OPP-5: FCCA / 3P Cancel</w:t>
            </w:r>
          </w:p>
        </w:tc>
        <w:tc>
          <w:tcPr>
            <w:tcW w:type="dxa" w:w="1417"/>
          </w:tcPr>
          <w:p>
            <w:pPr>
              <w:jc w:val="center"/>
            </w:pPr>
            <w:r>
              <w:rPr>
                <w:sz w:val="18"/>
              </w:rPr>
            </w:r>
          </w:p>
        </w:tc>
        <w:tc>
          <w:tcPr>
            <w:tcW w:type="dxa" w:w="1417"/>
          </w:tcPr>
          <w:p>
            <w:pPr>
              <w:jc w:val="center"/>
            </w:pPr>
            <w:r>
              <w:rPr>
                <w:sz w:val="18"/>
              </w:rPr>
              <w:t>●</w:t>
            </w:r>
          </w:p>
        </w:tc>
        <w:tc>
          <w:tcPr>
            <w:tcW w:type="dxa" w:w="1417"/>
          </w:tcPr>
          <w:p>
            <w:pPr>
              <w:jc w:val="center"/>
            </w:pPr>
            <w:r>
              <w:rPr>
                <w:sz w:val="18"/>
              </w:rPr>
            </w:r>
          </w:p>
        </w:tc>
        <w:tc>
          <w:tcPr>
            <w:tcW w:type="dxa" w:w="1417"/>
          </w:tcPr>
          <w:p>
            <w:pPr>
              <w:jc w:val="center"/>
            </w:pPr>
            <w:r>
              <w:rPr>
                <w:sz w:val="18"/>
              </w:rPr>
              <w:t>●</w:t>
            </w:r>
          </w:p>
        </w:tc>
        <w:tc>
          <w:tcPr>
            <w:tcW w:type="dxa" w:w="1701"/>
          </w:tcPr>
          <w:p>
            <w:pPr>
              <w:jc w:val="center"/>
            </w:pPr>
            <w:r>
              <w:rPr>
                <w:sz w:val="18"/>
              </w:rPr>
            </w:r>
          </w:p>
        </w:tc>
      </w:tr>
      <w:tr>
        <w:tc>
          <w:tcPr>
            <w:tcW w:type="dxa" w:w="2551"/>
          </w:tcPr>
          <w:p>
            <w:r>
              <w:rPr>
                <w:sz w:val="18"/>
              </w:rPr>
              <w:t>OPP-6: Refunds</w:t>
            </w:r>
          </w:p>
        </w:tc>
        <w:tc>
          <w:tcPr>
            <w:tcW w:type="dxa" w:w="1417"/>
          </w:tcPr>
          <w:p>
            <w:pPr>
              <w:jc w:val="center"/>
            </w:pPr>
            <w:r>
              <w:rPr>
                <w:sz w:val="18"/>
              </w:rPr>
            </w:r>
          </w:p>
        </w:tc>
        <w:tc>
          <w:tcPr>
            <w:tcW w:type="dxa" w:w="1417"/>
          </w:tcPr>
          <w:p>
            <w:pPr>
              <w:jc w:val="center"/>
            </w:pPr>
            <w:r>
              <w:rPr>
                <w:sz w:val="18"/>
              </w:rPr>
              <w:t>●</w:t>
            </w:r>
          </w:p>
        </w:tc>
        <w:tc>
          <w:tcPr>
            <w:tcW w:type="dxa" w:w="1417"/>
          </w:tcPr>
          <w:p>
            <w:pPr>
              <w:jc w:val="center"/>
            </w:pPr>
            <w:r>
              <w:rPr>
                <w:sz w:val="18"/>
              </w:rPr>
            </w:r>
          </w:p>
        </w:tc>
        <w:tc>
          <w:tcPr>
            <w:tcW w:type="dxa" w:w="1417"/>
          </w:tcPr>
          <w:p>
            <w:pPr>
              <w:jc w:val="center"/>
            </w:pPr>
            <w:r>
              <w:rPr>
                <w:sz w:val="18"/>
              </w:rPr>
              <w:t>●</w:t>
            </w:r>
          </w:p>
        </w:tc>
        <w:tc>
          <w:tcPr>
            <w:tcW w:type="dxa" w:w="1701"/>
          </w:tcPr>
          <w:p>
            <w:pPr>
              <w:jc w:val="center"/>
            </w:pPr>
            <w:r>
              <w:rPr>
                <w:sz w:val="18"/>
              </w:rPr>
              <w:t>●</w:t>
            </w:r>
          </w:p>
        </w:tc>
      </w:tr>
      <w:tr>
        <w:tc>
          <w:tcPr>
            <w:tcW w:type="dxa" w:w="2551"/>
          </w:tcPr>
          <w:p>
            <w:r>
              <w:rPr>
                <w:sz w:val="18"/>
              </w:rPr>
              <w:t>OPP-7: Spam Deflection</w:t>
            </w:r>
          </w:p>
        </w:tc>
        <w:tc>
          <w:tcPr>
            <w:tcW w:type="dxa" w:w="1417"/>
          </w:tcPr>
          <w:p>
            <w:pPr>
              <w:jc w:val="center"/>
            </w:pPr>
            <w:r>
              <w:rPr>
                <w:sz w:val="18"/>
              </w:rPr>
            </w:r>
          </w:p>
        </w:tc>
        <w:tc>
          <w:tcPr>
            <w:tcW w:type="dxa" w:w="1417"/>
          </w:tcPr>
          <w:p>
            <w:pPr>
              <w:jc w:val="center"/>
            </w:pPr>
            <w:r>
              <w:rPr>
                <w:sz w:val="18"/>
              </w:rPr>
            </w:r>
          </w:p>
        </w:tc>
        <w:tc>
          <w:tcPr>
            <w:tcW w:type="dxa" w:w="1417"/>
          </w:tcPr>
          <w:p>
            <w:pPr>
              <w:jc w:val="center"/>
            </w:pPr>
            <w:r>
              <w:rPr>
                <w:sz w:val="18"/>
              </w:rPr>
            </w:r>
          </w:p>
        </w:tc>
        <w:tc>
          <w:tcPr>
            <w:tcW w:type="dxa" w:w="1417"/>
          </w:tcPr>
          <w:p>
            <w:pPr>
              <w:jc w:val="center"/>
            </w:pPr>
            <w:r>
              <w:rPr>
                <w:sz w:val="18"/>
              </w:rPr>
              <w:t>●</w:t>
            </w:r>
          </w:p>
        </w:tc>
        <w:tc>
          <w:tcPr>
            <w:tcW w:type="dxa" w:w="1701"/>
          </w:tcPr>
          <w:p>
            <w:pPr>
              <w:jc w:val="center"/>
            </w:pPr>
            <w:r>
              <w:rPr>
                <w:sz w:val="18"/>
              </w:rPr>
              <w:t>●</w:t>
            </w:r>
          </w:p>
        </w:tc>
      </w:tr>
    </w:tbl>
    <w:p/>
    <w:p>
      <w:pPr>
        <w:pStyle w:val="Heading1"/>
      </w:pPr>
      <w:r>
        <w:t>5. Dashboard Architecture</w:t>
      </w:r>
    </w:p>
    <w:p>
      <w:pPr>
        <w:pStyle w:val="Heading2"/>
      </w:pPr>
      <w:r>
        <w:t>5.1  Dashboard 1 — CX Executive KPI Overview</w:t>
      </w:r>
    </w:p>
    <w:p>
      <w:r>
        <w:t>Audience: CX VP, Directors, cross-functional leadership</w:t>
      </w:r>
    </w:p>
    <w:p>
      <w:r>
        <w:t>This dashboard provides a bird's-eye view of the 5 CX goals. It features color-coded KPI scorecards at the top, a multi-line time series tracking each goal's primary metric over time, a waterfall chart showing the estimated contact-volume reduction contributed by each opportunity, and a market CSAT heatmap.</w:t>
      </w:r>
    </w:p>
    <w:tbl>
      <w:tblPr>
        <w:tblStyle w:val="TableGrid"/>
        <w:tblW w:type="auto" w:w="0"/>
        <w:jc w:val="center"/>
        <w:tblLook w:firstColumn="1" w:firstRow="1" w:lastColumn="0" w:lastRow="0" w:noHBand="0" w:noVBand="1" w:val="04A0"/>
      </w:tblPr>
      <w:tblGrid>
        <w:gridCol w:w="2880"/>
        <w:gridCol w:w="2880"/>
        <w:gridCol w:w="2880"/>
      </w:tblGrid>
      <w:tr>
        <w:tc>
          <w:tcPr>
            <w:tcW w:type="dxa" w:w="2835"/>
            <w:shd w:val="clear" w:color="auto" w:fill="2E4057"/>
          </w:tcPr>
          <w:p>
            <w:r>
              <w:rPr>
                <w:b/>
                <w:color w:val="FFFFFF"/>
                <w:sz w:val="18"/>
              </w:rPr>
              <w:t>Tile</w:t>
            </w:r>
          </w:p>
        </w:tc>
        <w:tc>
          <w:tcPr>
            <w:tcW w:type="dxa" w:w="2268"/>
            <w:shd w:val="clear" w:color="auto" w:fill="2E4057"/>
          </w:tcPr>
          <w:p>
            <w:r>
              <w:rPr>
                <w:b/>
                <w:color w:val="FFFFFF"/>
                <w:sz w:val="18"/>
              </w:rPr>
              <w:t>Visualization</w:t>
            </w:r>
          </w:p>
        </w:tc>
        <w:tc>
          <w:tcPr>
            <w:tcW w:type="dxa" w:w="4535"/>
            <w:shd w:val="clear" w:color="auto" w:fill="2E4057"/>
          </w:tcPr>
          <w:p>
            <w:r>
              <w:rPr>
                <w:b/>
                <w:color w:val="FFFFFF"/>
                <w:sz w:val="18"/>
              </w:rPr>
              <w:t>Description</w:t>
            </w:r>
          </w:p>
        </w:tc>
      </w:tr>
      <w:tr>
        <w:tc>
          <w:tcPr>
            <w:tcW w:type="dxa" w:w="2835"/>
          </w:tcPr>
          <w:p>
            <w:r>
              <w:rPr>
                <w:sz w:val="18"/>
              </w:rPr>
              <w:t>Goal KPI Scorecards (x5)</w:t>
            </w:r>
          </w:p>
        </w:tc>
        <w:tc>
          <w:tcPr>
            <w:tcW w:type="dxa" w:w="2268"/>
          </w:tcPr>
          <w:p>
            <w:r>
              <w:rPr>
                <w:sz w:val="18"/>
              </w:rPr>
              <w:t>Single-value tiles</w:t>
            </w:r>
          </w:p>
        </w:tc>
        <w:tc>
          <w:tcPr>
            <w:tcW w:type="dxa" w:w="4535"/>
          </w:tcPr>
          <w:p>
            <w:r>
              <w:rPr>
                <w:sz w:val="18"/>
              </w:rPr>
              <w:t>Current value, target, and RAG status for each goal's primary KPI</w:t>
            </w:r>
          </w:p>
        </w:tc>
      </w:tr>
      <w:tr>
        <w:tc>
          <w:tcPr>
            <w:tcW w:type="dxa" w:w="2835"/>
          </w:tcPr>
          <w:p>
            <w:r>
              <w:rPr>
                <w:sz w:val="18"/>
              </w:rPr>
              <w:t>Goal Progress Over Time</w:t>
            </w:r>
          </w:p>
        </w:tc>
        <w:tc>
          <w:tcPr>
            <w:tcW w:type="dxa" w:w="2268"/>
          </w:tcPr>
          <w:p>
            <w:r>
              <w:rPr>
                <w:sz w:val="18"/>
              </w:rPr>
              <w:t>Multi-line time series</w:t>
            </w:r>
          </w:p>
        </w:tc>
        <w:tc>
          <w:tcPr>
            <w:tcW w:type="dxa" w:w="4535"/>
          </w:tcPr>
          <w:p>
            <w:r>
              <w:rPr>
                <w:sz w:val="18"/>
              </w:rPr>
              <w:t>Weekly/monthly trend for FCR, Self-Service %, CSAT %, Cost per Case, Contact Rate</w:t>
            </w:r>
          </w:p>
        </w:tc>
      </w:tr>
      <w:tr>
        <w:tc>
          <w:tcPr>
            <w:tcW w:type="dxa" w:w="2835"/>
          </w:tcPr>
          <w:p>
            <w:r>
              <w:rPr>
                <w:sz w:val="18"/>
              </w:rPr>
              <w:t>Opportunity Impact Waterfall</w:t>
            </w:r>
          </w:p>
        </w:tc>
        <w:tc>
          <w:tcPr>
            <w:tcW w:type="dxa" w:w="2268"/>
          </w:tcPr>
          <w:p>
            <w:r>
              <w:rPr>
                <w:sz w:val="18"/>
              </w:rPr>
              <w:t>Waterfall chart</w:t>
            </w:r>
          </w:p>
        </w:tc>
        <w:tc>
          <w:tcPr>
            <w:tcW w:type="dxa" w:w="4535"/>
          </w:tcPr>
          <w:p>
            <w:r>
              <w:rPr>
                <w:sz w:val="18"/>
              </w:rPr>
              <w:t>Estimated contact-volume reduction contributed by each of the 7 opportunities</w:t>
            </w:r>
          </w:p>
        </w:tc>
      </w:tr>
      <w:tr>
        <w:tc>
          <w:tcPr>
            <w:tcW w:type="dxa" w:w="2835"/>
          </w:tcPr>
          <w:p>
            <w:r>
              <w:rPr>
                <w:sz w:val="18"/>
              </w:rPr>
              <w:t>Goal Health Heatmap</w:t>
            </w:r>
          </w:p>
        </w:tc>
        <w:tc>
          <w:tcPr>
            <w:tcW w:type="dxa" w:w="2268"/>
          </w:tcPr>
          <w:p>
            <w:r>
              <w:rPr>
                <w:sz w:val="18"/>
              </w:rPr>
              <w:t>Heatmap</w:t>
            </w:r>
          </w:p>
        </w:tc>
        <w:tc>
          <w:tcPr>
            <w:tcW w:type="dxa" w:w="4535"/>
          </w:tcPr>
          <w:p>
            <w:r>
              <w:rPr>
                <w:sz w:val="18"/>
              </w:rPr>
              <w:t>Rows = markets, columns = goals; cell color = RAG status (green/amber/red)</w:t>
            </w:r>
          </w:p>
        </w:tc>
      </w:tr>
    </w:tbl>
    <w:p/>
    <w:p>
      <w:pPr>
        <w:pStyle w:val="Heading2"/>
      </w:pPr>
      <w:r>
        <w:t>5.2  Dashboard 2 — Opportunity Impact Tracker</w:t>
      </w:r>
    </w:p>
    <w:p>
      <w:r>
        <w:t>Audience: CX Directors, Opportunity Owners, Program Managers</w:t>
      </w:r>
    </w:p>
    <w:p>
      <w:r>
        <w:t>This dashboard tracks the status and measurable impact of each of the 7 opportunities. It features a status table with RAG indicators, monthly contact volume by opportunity, projected vs actual cost savings, and a timeline view.</w:t>
      </w:r>
    </w:p>
    <w:tbl>
      <w:tblPr>
        <w:tblStyle w:val="TableGrid"/>
        <w:tblW w:type="auto" w:w="0"/>
        <w:jc w:val="center"/>
        <w:tblLook w:firstColumn="1" w:firstRow="1" w:lastColumn="0" w:lastRow="0" w:noHBand="0" w:noVBand="1" w:val="04A0"/>
      </w:tblPr>
      <w:tblGrid>
        <w:gridCol w:w="2880"/>
        <w:gridCol w:w="2880"/>
        <w:gridCol w:w="2880"/>
      </w:tblGrid>
      <w:tr>
        <w:tc>
          <w:tcPr>
            <w:tcW w:type="dxa" w:w="2835"/>
            <w:shd w:val="clear" w:color="auto" w:fill="2E4057"/>
          </w:tcPr>
          <w:p>
            <w:r>
              <w:rPr>
                <w:b/>
                <w:color w:val="FFFFFF"/>
                <w:sz w:val="18"/>
              </w:rPr>
              <w:t>Tile</w:t>
            </w:r>
          </w:p>
        </w:tc>
        <w:tc>
          <w:tcPr>
            <w:tcW w:type="dxa" w:w="2268"/>
            <w:shd w:val="clear" w:color="auto" w:fill="2E4057"/>
          </w:tcPr>
          <w:p>
            <w:r>
              <w:rPr>
                <w:b/>
                <w:color w:val="FFFFFF"/>
                <w:sz w:val="18"/>
              </w:rPr>
              <w:t>Visualization</w:t>
            </w:r>
          </w:p>
        </w:tc>
        <w:tc>
          <w:tcPr>
            <w:tcW w:type="dxa" w:w="4535"/>
            <w:shd w:val="clear" w:color="auto" w:fill="2E4057"/>
          </w:tcPr>
          <w:p>
            <w:r>
              <w:rPr>
                <w:b/>
                <w:color w:val="FFFFFF"/>
                <w:sz w:val="18"/>
              </w:rPr>
              <w:t>Description</w:t>
            </w:r>
          </w:p>
        </w:tc>
      </w:tr>
      <w:tr>
        <w:tc>
          <w:tcPr>
            <w:tcW w:type="dxa" w:w="2835"/>
          </w:tcPr>
          <w:p>
            <w:r>
              <w:rPr>
                <w:sz w:val="18"/>
              </w:rPr>
              <w:t>Opportunity Status Table</w:t>
            </w:r>
          </w:p>
        </w:tc>
        <w:tc>
          <w:tcPr>
            <w:tcW w:type="dxa" w:w="2268"/>
          </w:tcPr>
          <w:p>
            <w:r>
              <w:rPr>
                <w:sz w:val="18"/>
              </w:rPr>
              <w:t>Table with conditional formatting</w:t>
            </w:r>
          </w:p>
        </w:tc>
        <w:tc>
          <w:tcPr>
            <w:tcW w:type="dxa" w:w="4535"/>
          </w:tcPr>
          <w:p>
            <w:r>
              <w:rPr>
                <w:sz w:val="18"/>
              </w:rPr>
              <w:t>One row per opportunity: RAG status, owner, estimated vs. actual impact, gap</w:t>
            </w:r>
          </w:p>
        </w:tc>
      </w:tr>
      <w:tr>
        <w:tc>
          <w:tcPr>
            <w:tcW w:type="dxa" w:w="2835"/>
          </w:tcPr>
          <w:p>
            <w:r>
              <w:rPr>
                <w:sz w:val="18"/>
              </w:rPr>
              <w:t>Contact Volume by Opportunity</w:t>
            </w:r>
          </w:p>
        </w:tc>
        <w:tc>
          <w:tcPr>
            <w:tcW w:type="dxa" w:w="2268"/>
          </w:tcPr>
          <w:p>
            <w:r>
              <w:rPr>
                <w:sz w:val="18"/>
              </w:rPr>
              <w:t>Stacked bar chart (monthly)</w:t>
            </w:r>
          </w:p>
        </w:tc>
        <w:tc>
          <w:tcPr>
            <w:tcW w:type="dxa" w:w="4535"/>
          </w:tcPr>
          <w:p>
            <w:r>
              <w:rPr>
                <w:sz w:val="18"/>
              </w:rPr>
              <w:t>Shows contact volume attributable to each opportunity over time</w:t>
            </w:r>
          </w:p>
        </w:tc>
      </w:tr>
      <w:tr>
        <w:tc>
          <w:tcPr>
            <w:tcW w:type="dxa" w:w="2835"/>
          </w:tcPr>
          <w:p>
            <w:r>
              <w:rPr>
                <w:sz w:val="18"/>
              </w:rPr>
              <w:t>Projected vs Actual Savings</w:t>
            </w:r>
          </w:p>
        </w:tc>
        <w:tc>
          <w:tcPr>
            <w:tcW w:type="dxa" w:w="2268"/>
          </w:tcPr>
          <w:p>
            <w:r>
              <w:rPr>
                <w:sz w:val="18"/>
              </w:rPr>
              <w:t>Dual-axis line/bar</w:t>
            </w:r>
          </w:p>
        </w:tc>
        <w:tc>
          <w:tcPr>
            <w:tcW w:type="dxa" w:w="4535"/>
          </w:tcPr>
          <w:p>
            <w:r>
              <w:rPr>
                <w:sz w:val="18"/>
              </w:rPr>
              <w:t>Compares forecasted cost/volume savings against actuals</w:t>
            </w:r>
          </w:p>
        </w:tc>
      </w:tr>
      <w:tr>
        <w:tc>
          <w:tcPr>
            <w:tcW w:type="dxa" w:w="2835"/>
          </w:tcPr>
          <w:p>
            <w:r>
              <w:rPr>
                <w:sz w:val="18"/>
              </w:rPr>
              <w:t>Goal Contribution</w:t>
            </w:r>
          </w:p>
        </w:tc>
        <w:tc>
          <w:tcPr>
            <w:tcW w:type="dxa" w:w="2268"/>
          </w:tcPr>
          <w:p>
            <w:r>
              <w:rPr>
                <w:sz w:val="18"/>
              </w:rPr>
              <w:t>Sankey / alluvial diagram</w:t>
            </w:r>
          </w:p>
        </w:tc>
        <w:tc>
          <w:tcPr>
            <w:tcW w:type="dxa" w:w="4535"/>
          </w:tcPr>
          <w:p>
            <w:r>
              <w:rPr>
                <w:sz w:val="18"/>
              </w:rPr>
              <w:t>Visual flow from opportunities to goals showing contribution relationships</w:t>
            </w:r>
          </w:p>
        </w:tc>
      </w:tr>
      <w:tr>
        <w:tc>
          <w:tcPr>
            <w:tcW w:type="dxa" w:w="2835"/>
          </w:tcPr>
          <w:p>
            <w:r>
              <w:rPr>
                <w:sz w:val="18"/>
              </w:rPr>
              <w:t>Opportunity Timeline</w:t>
            </w:r>
          </w:p>
        </w:tc>
        <w:tc>
          <w:tcPr>
            <w:tcW w:type="dxa" w:w="2268"/>
          </w:tcPr>
          <w:p>
            <w:r>
              <w:rPr>
                <w:sz w:val="18"/>
              </w:rPr>
              <w:t>Gantt chart</w:t>
            </w:r>
          </w:p>
        </w:tc>
        <w:tc>
          <w:tcPr>
            <w:tcW w:type="dxa" w:w="4535"/>
          </w:tcPr>
          <w:p>
            <w:r>
              <w:rPr>
                <w:sz w:val="18"/>
              </w:rPr>
              <w:t>Milestones and phases for each opportunity's implementation</w:t>
            </w:r>
          </w:p>
        </w:tc>
      </w:tr>
      <w:tr>
        <w:tc>
          <w:tcPr>
            <w:tcW w:type="dxa" w:w="2835"/>
          </w:tcPr>
          <w:p>
            <w:r>
              <w:rPr>
                <w:sz w:val="18"/>
              </w:rPr>
              <w:t>Cumulative YTD Impact</w:t>
            </w:r>
          </w:p>
        </w:tc>
        <w:tc>
          <w:tcPr>
            <w:tcW w:type="dxa" w:w="2268"/>
          </w:tcPr>
          <w:p>
            <w:r>
              <w:rPr>
                <w:sz w:val="18"/>
              </w:rPr>
              <w:t>Stacked area chart</w:t>
            </w:r>
          </w:p>
        </w:tc>
        <w:tc>
          <w:tcPr>
            <w:tcW w:type="dxa" w:w="4535"/>
          </w:tcPr>
          <w:p>
            <w:r>
              <w:rPr>
                <w:sz w:val="18"/>
              </w:rPr>
              <w:t>Running total of contact volume reduction across all opportunities</w:t>
            </w:r>
          </w:p>
        </w:tc>
      </w:tr>
    </w:tbl>
    <w:p/>
    <w:p>
      <w:pPr>
        <w:pStyle w:val="Heading2"/>
      </w:pPr>
      <w:r>
        <w:t>5.3  Dashboard 3 (x7) — Opportunity Deep-Dives</w:t>
      </w:r>
    </w:p>
    <w:p>
      <w:r>
        <w:t>Each of the 7 opportunities gets its own drill-down dashboard. The layout is consistent across all 7 (4 KPI scorecards, a time-series trend, a breakdown chart, and a drillable detail table), but the specific metrics vary:</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984"/>
            <w:shd w:val="clear" w:color="auto" w:fill="2E4057"/>
          </w:tcPr>
          <w:p>
            <w:r>
              <w:rPr>
                <w:b/>
                <w:color w:val="FFFFFF"/>
                <w:sz w:val="18"/>
              </w:rPr>
              <w:t>Opportunity</w:t>
            </w:r>
          </w:p>
        </w:tc>
        <w:tc>
          <w:tcPr>
            <w:tcW w:type="dxa" w:w="2835"/>
            <w:shd w:val="clear" w:color="auto" w:fill="2E4057"/>
          </w:tcPr>
          <w:p>
            <w:r>
              <w:rPr>
                <w:b/>
                <w:color w:val="FFFFFF"/>
                <w:sz w:val="18"/>
              </w:rPr>
              <w:t>Scorecard Metrics</w:t>
            </w:r>
          </w:p>
        </w:tc>
        <w:tc>
          <w:tcPr>
            <w:tcW w:type="dxa" w:w="2551"/>
            <w:shd w:val="clear" w:color="auto" w:fill="2E4057"/>
          </w:tcPr>
          <w:p>
            <w:r>
              <w:rPr>
                <w:b/>
                <w:color w:val="FFFFFF"/>
                <w:sz w:val="18"/>
              </w:rPr>
              <w:t>Breakdown Dimension</w:t>
            </w:r>
          </w:p>
        </w:tc>
        <w:tc>
          <w:tcPr>
            <w:tcW w:type="dxa" w:w="2551"/>
            <w:shd w:val="clear" w:color="auto" w:fill="2E4057"/>
          </w:tcPr>
          <w:p>
            <w:r>
              <w:rPr>
                <w:b/>
                <w:color w:val="FFFFFF"/>
                <w:sz w:val="18"/>
              </w:rPr>
              <w:t>Root Cause View</w:t>
            </w:r>
          </w:p>
        </w:tc>
      </w:tr>
      <w:tr>
        <w:tc>
          <w:tcPr>
            <w:tcW w:type="dxa" w:w="1984"/>
          </w:tcPr>
          <w:p>
            <w:r>
              <w:rPr>
                <w:sz w:val="18"/>
              </w:rPr>
              <w:t>OPP-1: Email</w:t>
            </w:r>
          </w:p>
        </w:tc>
        <w:tc>
          <w:tcPr>
            <w:tcW w:type="dxa" w:w="2835"/>
          </w:tcPr>
          <w:p>
            <w:r>
              <w:rPr>
                <w:sz w:val="18"/>
              </w:rPr>
              <w:t>Email-contact vol, FCR, self-service rate, repeat rate</w:t>
            </w:r>
          </w:p>
        </w:tc>
        <w:tc>
          <w:tcPr>
            <w:tcW w:type="dxa" w:w="2551"/>
          </w:tcPr>
          <w:p>
            <w:r>
              <w:rPr>
                <w:sz w:val="18"/>
              </w:rPr>
              <w:t>By market, by email issue sub-type</w:t>
            </w:r>
          </w:p>
        </w:tc>
        <w:tc>
          <w:tcPr>
            <w:tcW w:type="dxa" w:w="2551"/>
          </w:tcPr>
          <w:p>
            <w:r>
              <w:rPr>
                <w:sz w:val="18"/>
              </w:rPr>
              <w:t>Top reasons for email inaccessibility</w:t>
            </w:r>
          </w:p>
        </w:tc>
      </w:tr>
      <w:tr>
        <w:tc>
          <w:tcPr>
            <w:tcW w:type="dxa" w:w="1984"/>
          </w:tcPr>
          <w:p>
            <w:r>
              <w:rPr>
                <w:sz w:val="18"/>
              </w:rPr>
              <w:t>OPP-2: Account Sharing</w:t>
            </w:r>
          </w:p>
        </w:tc>
        <w:tc>
          <w:tcPr>
            <w:tcW w:type="dxa" w:w="2835"/>
          </w:tcPr>
          <w:p>
            <w:r>
              <w:rPr>
                <w:sz w:val="18"/>
              </w:rPr>
              <w:t>Sharing vol, deflection rate, bot resolution, CSAT</w:t>
            </w:r>
          </w:p>
        </w:tc>
        <w:tc>
          <w:tcPr>
            <w:tcW w:type="dxa" w:w="2551"/>
          </w:tcPr>
          <w:p>
            <w:r>
              <w:rPr>
                <w:sz w:val="18"/>
              </w:rPr>
              <w:t>By market, by inquiry sub-type</w:t>
            </w:r>
          </w:p>
        </w:tc>
        <w:tc>
          <w:tcPr>
            <w:tcW w:type="dxa" w:w="2551"/>
          </w:tcPr>
          <w:p>
            <w:r>
              <w:rPr>
                <w:sz w:val="18"/>
              </w:rPr>
              <w:t>Sharing policy confusion categories</w:t>
            </w:r>
          </w:p>
        </w:tc>
      </w:tr>
      <w:tr>
        <w:tc>
          <w:tcPr>
            <w:tcW w:type="dxa" w:w="1984"/>
          </w:tcPr>
          <w:p>
            <w:r>
              <w:rPr>
                <w:sz w:val="18"/>
              </w:rPr>
              <w:t>OPP-3: OTP Journey</w:t>
            </w:r>
          </w:p>
        </w:tc>
        <w:tc>
          <w:tcPr>
            <w:tcW w:type="dxa" w:w="2835"/>
          </w:tcPr>
          <w:p>
            <w:r>
              <w:rPr>
                <w:sz w:val="18"/>
              </w:rPr>
              <w:t>OTP vol, success rate, retry rate, abandonment rate</w:t>
            </w:r>
          </w:p>
        </w:tc>
        <w:tc>
          <w:tcPr>
            <w:tcW w:type="dxa" w:w="2551"/>
          </w:tcPr>
          <w:p>
            <w:r>
              <w:rPr>
                <w:sz w:val="18"/>
              </w:rPr>
              <w:t>By OTP step, by device/platform</w:t>
            </w:r>
          </w:p>
        </w:tc>
        <w:tc>
          <w:tcPr>
            <w:tcW w:type="dxa" w:w="2551"/>
          </w:tcPr>
          <w:p>
            <w:r>
              <w:rPr>
                <w:sz w:val="18"/>
              </w:rPr>
              <w:t>Funnel drop-off analysis</w:t>
            </w:r>
          </w:p>
        </w:tc>
      </w:tr>
      <w:tr>
        <w:tc>
          <w:tcPr>
            <w:tcW w:type="dxa" w:w="1984"/>
          </w:tcPr>
          <w:p>
            <w:r>
              <w:rPr>
                <w:sz w:val="18"/>
              </w:rPr>
              <w:t>OPP-4: Disney Bundle</w:t>
            </w:r>
          </w:p>
        </w:tc>
        <w:tc>
          <w:tcPr>
            <w:tcW w:type="dxa" w:w="2835"/>
          </w:tcPr>
          <w:p>
            <w:r>
              <w:rPr>
                <w:sz w:val="18"/>
              </w:rPr>
              <w:t>Bundle vol, activation success rate, CSAT, repeat rate</w:t>
            </w:r>
          </w:p>
        </w:tc>
        <w:tc>
          <w:tcPr>
            <w:tcW w:type="dxa" w:w="2551"/>
          </w:tcPr>
          <w:p>
            <w:r>
              <w:rPr>
                <w:sz w:val="18"/>
              </w:rPr>
              <w:t>By confusion category, by channel</w:t>
            </w:r>
          </w:p>
        </w:tc>
        <w:tc>
          <w:tcPr>
            <w:tcW w:type="dxa" w:w="2551"/>
          </w:tcPr>
          <w:p>
            <w:r>
              <w:rPr>
                <w:sz w:val="18"/>
              </w:rPr>
              <w:t>Activation funnel failure points</w:t>
            </w:r>
          </w:p>
        </w:tc>
      </w:tr>
      <w:tr>
        <w:tc>
          <w:tcPr>
            <w:tcW w:type="dxa" w:w="1984"/>
          </w:tcPr>
          <w:p>
            <w:r>
              <w:rPr>
                <w:sz w:val="18"/>
              </w:rPr>
              <w:t>OPP-5: FCCA / 3P Cancel</w:t>
            </w:r>
          </w:p>
        </w:tc>
        <w:tc>
          <w:tcPr>
            <w:tcW w:type="dxa" w:w="2835"/>
          </w:tcPr>
          <w:p>
            <w:r>
              <w:rPr>
                <w:sz w:val="18"/>
              </w:rPr>
              <w:t>Cancel vol, automation rate, AHT, cost per case</w:t>
            </w:r>
          </w:p>
        </w:tc>
        <w:tc>
          <w:tcPr>
            <w:tcW w:type="dxa" w:w="2551"/>
          </w:tcPr>
          <w:p>
            <w:r>
              <w:rPr>
                <w:sz w:val="18"/>
              </w:rPr>
              <w:t>By cancellation type, by channel</w:t>
            </w:r>
          </w:p>
        </w:tc>
        <w:tc>
          <w:tcPr>
            <w:tcW w:type="dxa" w:w="2551"/>
          </w:tcPr>
          <w:p>
            <w:r>
              <w:rPr>
                <w:sz w:val="18"/>
              </w:rPr>
              <w:t>Automation eligibility segmentation</w:t>
            </w:r>
          </w:p>
        </w:tc>
      </w:tr>
      <w:tr>
        <w:tc>
          <w:tcPr>
            <w:tcW w:type="dxa" w:w="1984"/>
          </w:tcPr>
          <w:p>
            <w:r>
              <w:rPr>
                <w:sz w:val="18"/>
              </w:rPr>
              <w:t>OPP-6: Refunds</w:t>
            </w:r>
          </w:p>
        </w:tc>
        <w:tc>
          <w:tcPr>
            <w:tcW w:type="dxa" w:w="2835"/>
          </w:tcPr>
          <w:p>
            <w:r>
              <w:rPr>
                <w:sz w:val="18"/>
              </w:rPr>
              <w:t>Refund vol, automation rate, processing time, CSAT</w:t>
            </w:r>
          </w:p>
        </w:tc>
        <w:tc>
          <w:tcPr>
            <w:tcW w:type="dxa" w:w="2551"/>
          </w:tcPr>
          <w:p>
            <w:r>
              <w:rPr>
                <w:sz w:val="18"/>
              </w:rPr>
              <w:t>By refund reason, by amount tier</w:t>
            </w:r>
          </w:p>
        </w:tc>
        <w:tc>
          <w:tcPr>
            <w:tcW w:type="dxa" w:w="2551"/>
          </w:tcPr>
          <w:p>
            <w:r>
              <w:rPr>
                <w:sz w:val="18"/>
              </w:rPr>
              <w:t>Automation vs. human-required segments</w:t>
            </w:r>
          </w:p>
        </w:tc>
      </w:tr>
      <w:tr>
        <w:tc>
          <w:tcPr>
            <w:tcW w:type="dxa" w:w="1984"/>
          </w:tcPr>
          <w:p>
            <w:r>
              <w:rPr>
                <w:sz w:val="18"/>
              </w:rPr>
              <w:t>OPP-7: Spam Deflection</w:t>
            </w:r>
          </w:p>
        </w:tc>
        <w:tc>
          <w:tcPr>
            <w:tcW w:type="dxa" w:w="2835"/>
          </w:tcPr>
          <w:p>
            <w:r>
              <w:rPr>
                <w:sz w:val="18"/>
              </w:rPr>
              <w:t>Spam vol, deflection rate, false-positive rate, capacity freed</w:t>
            </w:r>
          </w:p>
        </w:tc>
        <w:tc>
          <w:tcPr>
            <w:tcW w:type="dxa" w:w="2551"/>
          </w:tcPr>
          <w:p>
            <w:r>
              <w:rPr>
                <w:sz w:val="18"/>
              </w:rPr>
              <w:t>By spam type, by entry channel</w:t>
            </w:r>
          </w:p>
        </w:tc>
        <w:tc>
          <w:tcPr>
            <w:tcW w:type="dxa" w:w="2551"/>
          </w:tcPr>
          <w:p>
            <w:r>
              <w:rPr>
                <w:sz w:val="18"/>
              </w:rPr>
              <w:t>Deflection mechanism effectiveness</w:t>
            </w:r>
          </w:p>
        </w:tc>
      </w:tr>
    </w:tbl>
    <w:p/>
    <w:p>
      <w:pPr>
        <w:pStyle w:val="Heading1"/>
      </w:pPr>
      <w:r>
        <w:t>6. Data Requirements &amp; Sources</w:t>
      </w:r>
    </w:p>
    <w:p>
      <w:pPr>
        <w:pStyle w:val="Heading2"/>
      </w:pPr>
      <w:r>
        <w:t>6.1  Required Data Sources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551"/>
            <w:shd w:val="clear" w:color="auto" w:fill="2E4057"/>
          </w:tcPr>
          <w:p>
            <w:r>
              <w:rPr>
                <w:b/>
                <w:color w:val="FFFFFF"/>
                <w:sz w:val="18"/>
              </w:rPr>
              <w:t>Source</w:t>
            </w:r>
          </w:p>
        </w:tc>
        <w:tc>
          <w:tcPr>
            <w:tcW w:type="dxa" w:w="3402"/>
            <w:shd w:val="clear" w:color="auto" w:fill="2E4057"/>
          </w:tcPr>
          <w:p>
            <w:r>
              <w:rPr>
                <w:b/>
                <w:color w:val="FFFFFF"/>
                <w:sz w:val="18"/>
              </w:rPr>
              <w:t>Key Tables / Feeds</w:t>
            </w:r>
          </w:p>
        </w:tc>
        <w:tc>
          <w:tcPr>
            <w:tcW w:type="dxa" w:w="1134"/>
            <w:shd w:val="clear" w:color="auto" w:fill="2E4057"/>
          </w:tcPr>
          <w:p>
            <w:r>
              <w:rPr>
                <w:b/>
                <w:color w:val="FFFFFF"/>
                <w:sz w:val="18"/>
              </w:rPr>
              <w:t>Refresh</w:t>
            </w:r>
          </w:p>
        </w:tc>
        <w:tc>
          <w:tcPr>
            <w:tcW w:type="dxa" w:w="2268"/>
            <w:shd w:val="clear" w:color="auto" w:fill="2E4057"/>
          </w:tcPr>
          <w:p>
            <w:r>
              <w:rPr>
                <w:b/>
                <w:color w:val="FFFFFF"/>
                <w:sz w:val="18"/>
              </w:rPr>
              <w:t>Owner</w:t>
            </w:r>
          </w:p>
        </w:tc>
      </w:tr>
      <w:tr>
        <w:tc>
          <w:tcPr>
            <w:tcW w:type="dxa" w:w="2551"/>
          </w:tcPr>
          <w:p>
            <w:r>
              <w:rPr>
                <w:sz w:val="18"/>
              </w:rPr>
              <w:t>CRM / Ticketing System</w:t>
            </w:r>
          </w:p>
        </w:tc>
        <w:tc>
          <w:tcPr>
            <w:tcW w:type="dxa" w:w="3402"/>
          </w:tcPr>
          <w:p>
            <w:r>
              <w:rPr>
                <w:sz w:val="18"/>
              </w:rPr>
              <w:t>Cases, contact reasons, dispositions</w:t>
            </w:r>
          </w:p>
        </w:tc>
        <w:tc>
          <w:tcPr>
            <w:tcW w:type="dxa" w:w="1134"/>
          </w:tcPr>
          <w:p>
            <w:r>
              <w:rPr>
                <w:sz w:val="18"/>
              </w:rPr>
              <w:t>Daily</w:t>
            </w:r>
          </w:p>
        </w:tc>
        <w:tc>
          <w:tcPr>
            <w:tcW w:type="dxa" w:w="2268"/>
          </w:tcPr>
          <w:p>
            <w:r>
              <w:rPr>
                <w:sz w:val="18"/>
              </w:rPr>
              <w:t>CX Ops</w:t>
            </w:r>
          </w:p>
        </w:tc>
      </w:tr>
      <w:tr>
        <w:tc>
          <w:tcPr>
            <w:tcW w:type="dxa" w:w="2551"/>
          </w:tcPr>
          <w:p>
            <w:r>
              <w:rPr>
                <w:sz w:val="18"/>
              </w:rPr>
              <w:t>CSAT Survey Platform</w:t>
            </w:r>
          </w:p>
        </w:tc>
        <w:tc>
          <w:tcPr>
            <w:tcW w:type="dxa" w:w="3402"/>
          </w:tcPr>
          <w:p>
            <w:r>
              <w:rPr>
                <w:sz w:val="18"/>
              </w:rPr>
              <w:t>Survey responses, scores, verbatims</w:t>
            </w:r>
          </w:p>
        </w:tc>
        <w:tc>
          <w:tcPr>
            <w:tcW w:type="dxa" w:w="1134"/>
          </w:tcPr>
          <w:p>
            <w:r>
              <w:rPr>
                <w:sz w:val="18"/>
              </w:rPr>
              <w:t>Daily</w:t>
            </w:r>
          </w:p>
        </w:tc>
        <w:tc>
          <w:tcPr>
            <w:tcW w:type="dxa" w:w="2268"/>
          </w:tcPr>
          <w:p>
            <w:r>
              <w:rPr>
                <w:sz w:val="18"/>
              </w:rPr>
              <w:t>CX Analytics</w:t>
            </w:r>
          </w:p>
        </w:tc>
      </w:tr>
      <w:tr>
        <w:tc>
          <w:tcPr>
            <w:tcW w:type="dxa" w:w="2551"/>
          </w:tcPr>
          <w:p>
            <w:r>
              <w:rPr>
                <w:sz w:val="18"/>
              </w:rPr>
              <w:t>Chatbot / IVR Platform</w:t>
            </w:r>
          </w:p>
        </w:tc>
        <w:tc>
          <w:tcPr>
            <w:tcW w:type="dxa" w:w="3402"/>
          </w:tcPr>
          <w:p>
            <w:r>
              <w:rPr>
                <w:sz w:val="18"/>
              </w:rPr>
              <w:t>Conversations, intents, outcomes</w:t>
            </w:r>
          </w:p>
        </w:tc>
        <w:tc>
          <w:tcPr>
            <w:tcW w:type="dxa" w:w="1134"/>
          </w:tcPr>
          <w:p>
            <w:r>
              <w:rPr>
                <w:sz w:val="18"/>
              </w:rPr>
              <w:t>Daily</w:t>
            </w:r>
          </w:p>
        </w:tc>
        <w:tc>
          <w:tcPr>
            <w:tcW w:type="dxa" w:w="2268"/>
          </w:tcPr>
          <w:p>
            <w:r>
              <w:rPr>
                <w:sz w:val="18"/>
              </w:rPr>
              <w:t>Digital CX</w:t>
            </w:r>
          </w:p>
        </w:tc>
      </w:tr>
      <w:tr>
        <w:tc>
          <w:tcPr>
            <w:tcW w:type="dxa" w:w="2551"/>
          </w:tcPr>
          <w:p>
            <w:r>
              <w:rPr>
                <w:sz w:val="18"/>
              </w:rPr>
              <w:t>Billing / Payment System</w:t>
            </w:r>
          </w:p>
        </w:tc>
        <w:tc>
          <w:tcPr>
            <w:tcW w:type="dxa" w:w="3402"/>
          </w:tcPr>
          <w:p>
            <w:r>
              <w:rPr>
                <w:sz w:val="18"/>
              </w:rPr>
              <w:t>Transactions, refunds, cancellations</w:t>
            </w:r>
          </w:p>
        </w:tc>
        <w:tc>
          <w:tcPr>
            <w:tcW w:type="dxa" w:w="1134"/>
          </w:tcPr>
          <w:p>
            <w:r>
              <w:rPr>
                <w:sz w:val="18"/>
              </w:rPr>
              <w:t>Daily</w:t>
            </w:r>
          </w:p>
        </w:tc>
        <w:tc>
          <w:tcPr>
            <w:tcW w:type="dxa" w:w="2268"/>
          </w:tcPr>
          <w:p>
            <w:r>
              <w:rPr>
                <w:sz w:val="18"/>
              </w:rPr>
              <w:t>Finance / Billing</w:t>
            </w:r>
          </w:p>
        </w:tc>
      </w:tr>
      <w:tr>
        <w:tc>
          <w:tcPr>
            <w:tcW w:type="dxa" w:w="2551"/>
          </w:tcPr>
          <w:p>
            <w:r>
              <w:rPr>
                <w:sz w:val="18"/>
              </w:rPr>
              <w:t>Authentication Service</w:t>
            </w:r>
          </w:p>
        </w:tc>
        <w:tc>
          <w:tcPr>
            <w:tcW w:type="dxa" w:w="3402"/>
          </w:tcPr>
          <w:p>
            <w:r>
              <w:rPr>
                <w:sz w:val="18"/>
              </w:rPr>
              <w:t>OTP events, success/fail/retry logs</w:t>
            </w:r>
          </w:p>
        </w:tc>
        <w:tc>
          <w:tcPr>
            <w:tcW w:type="dxa" w:w="1134"/>
          </w:tcPr>
          <w:p>
            <w:r>
              <w:rPr>
                <w:sz w:val="18"/>
              </w:rPr>
              <w:t>Daily</w:t>
            </w:r>
          </w:p>
        </w:tc>
        <w:tc>
          <w:tcPr>
            <w:tcW w:type="dxa" w:w="2268"/>
          </w:tcPr>
          <w:p>
            <w:r>
              <w:rPr>
                <w:sz w:val="18"/>
              </w:rPr>
              <w:t>Technology</w:t>
            </w:r>
          </w:p>
        </w:tc>
      </w:tr>
      <w:tr>
        <w:tc>
          <w:tcPr>
            <w:tcW w:type="dxa" w:w="2551"/>
          </w:tcPr>
          <w:p>
            <w:r>
              <w:rPr>
                <w:sz w:val="18"/>
              </w:rPr>
              <w:t>Product Analytics</w:t>
            </w:r>
          </w:p>
        </w:tc>
        <w:tc>
          <w:tcPr>
            <w:tcW w:type="dxa" w:w="3402"/>
          </w:tcPr>
          <w:p>
            <w:r>
              <w:rPr>
                <w:sz w:val="18"/>
              </w:rPr>
              <w:t>Funnel events, feature usage</w:t>
            </w:r>
          </w:p>
        </w:tc>
        <w:tc>
          <w:tcPr>
            <w:tcW w:type="dxa" w:w="1134"/>
          </w:tcPr>
          <w:p>
            <w:r>
              <w:rPr>
                <w:sz w:val="18"/>
              </w:rPr>
              <w:t>Daily</w:t>
            </w:r>
          </w:p>
        </w:tc>
        <w:tc>
          <w:tcPr>
            <w:tcW w:type="dxa" w:w="2268"/>
          </w:tcPr>
          <w:p>
            <w:r>
              <w:rPr>
                <w:sz w:val="18"/>
              </w:rPr>
              <w:t>Product Analytics</w:t>
            </w:r>
          </w:p>
        </w:tc>
      </w:tr>
      <w:tr>
        <w:tc>
          <w:tcPr>
            <w:tcW w:type="dxa" w:w="2551"/>
          </w:tcPr>
          <w:p>
            <w:r>
              <w:rPr>
                <w:sz w:val="18"/>
              </w:rPr>
              <w:t>Workforce Management</w:t>
            </w:r>
          </w:p>
        </w:tc>
        <w:tc>
          <w:tcPr>
            <w:tcW w:type="dxa" w:w="3402"/>
          </w:tcPr>
          <w:p>
            <w:r>
              <w:rPr>
                <w:sz w:val="18"/>
              </w:rPr>
              <w:t>AHT, schedule adherence, utilization</w:t>
            </w:r>
          </w:p>
        </w:tc>
        <w:tc>
          <w:tcPr>
            <w:tcW w:type="dxa" w:w="1134"/>
          </w:tcPr>
          <w:p>
            <w:r>
              <w:rPr>
                <w:sz w:val="18"/>
              </w:rPr>
              <w:t>Daily</w:t>
            </w:r>
          </w:p>
        </w:tc>
        <w:tc>
          <w:tcPr>
            <w:tcW w:type="dxa" w:w="2268"/>
          </w:tcPr>
          <w:p>
            <w:r>
              <w:rPr>
                <w:sz w:val="18"/>
              </w:rPr>
              <w:t>WFM</w:t>
            </w:r>
          </w:p>
        </w:tc>
      </w:tr>
      <w:tr>
        <w:tc>
          <w:tcPr>
            <w:tcW w:type="dxa" w:w="2551"/>
          </w:tcPr>
          <w:p>
            <w:r>
              <w:rPr>
                <w:sz w:val="18"/>
              </w:rPr>
              <w:t>Cost Accounting</w:t>
            </w:r>
          </w:p>
        </w:tc>
        <w:tc>
          <w:tcPr>
            <w:tcW w:type="dxa" w:w="3402"/>
          </w:tcPr>
          <w:p>
            <w:r>
              <w:rPr>
                <w:sz w:val="18"/>
              </w:rPr>
              <w:t>Cost per case, headcount, vendor costs</w:t>
            </w:r>
          </w:p>
        </w:tc>
        <w:tc>
          <w:tcPr>
            <w:tcW w:type="dxa" w:w="1134"/>
          </w:tcPr>
          <w:p>
            <w:r>
              <w:rPr>
                <w:sz w:val="18"/>
              </w:rPr>
              <w:t>Monthly</w:t>
            </w:r>
          </w:p>
        </w:tc>
        <w:tc>
          <w:tcPr>
            <w:tcW w:type="dxa" w:w="2268"/>
          </w:tcPr>
          <w:p>
            <w:r>
              <w:rPr>
                <w:sz w:val="18"/>
              </w:rPr>
              <w:t>Finance</w:t>
            </w:r>
          </w:p>
        </w:tc>
      </w:tr>
      <w:tr>
        <w:tc>
          <w:tcPr>
            <w:tcW w:type="dxa" w:w="2551"/>
          </w:tcPr>
          <w:p>
            <w:r>
              <w:rPr>
                <w:sz w:val="18"/>
              </w:rPr>
              <w:t>Bundle Activation Funnel</w:t>
            </w:r>
          </w:p>
        </w:tc>
        <w:tc>
          <w:tcPr>
            <w:tcW w:type="dxa" w:w="3402"/>
          </w:tcPr>
          <w:p>
            <w:r>
              <w:rPr>
                <w:sz w:val="18"/>
              </w:rPr>
              <w:t>Activation attempts, completions</w:t>
            </w:r>
          </w:p>
        </w:tc>
        <w:tc>
          <w:tcPr>
            <w:tcW w:type="dxa" w:w="1134"/>
          </w:tcPr>
          <w:p>
            <w:r>
              <w:rPr>
                <w:sz w:val="18"/>
              </w:rPr>
              <w:t>Daily</w:t>
            </w:r>
          </w:p>
        </w:tc>
        <w:tc>
          <w:tcPr>
            <w:tcW w:type="dxa" w:w="2268"/>
          </w:tcPr>
          <w:p>
            <w:r>
              <w:rPr>
                <w:sz w:val="18"/>
              </w:rPr>
              <w:t>Product</w:t>
            </w:r>
          </w:p>
        </w:tc>
      </w:tr>
      <w:tr>
        <w:tc>
          <w:tcPr>
            <w:tcW w:type="dxa" w:w="2551"/>
          </w:tcPr>
          <w:p>
            <w:r>
              <w:rPr>
                <w:sz w:val="18"/>
              </w:rPr>
              <w:t>Spam Classification</w:t>
            </w:r>
          </w:p>
        </w:tc>
        <w:tc>
          <w:tcPr>
            <w:tcW w:type="dxa" w:w="3402"/>
          </w:tcPr>
          <w:p>
            <w:r>
              <w:rPr>
                <w:sz w:val="18"/>
              </w:rPr>
              <w:t>Spam flags, confidence scores</w:t>
            </w:r>
          </w:p>
        </w:tc>
        <w:tc>
          <w:tcPr>
            <w:tcW w:type="dxa" w:w="1134"/>
          </w:tcPr>
          <w:p>
            <w:r>
              <w:rPr>
                <w:sz w:val="18"/>
              </w:rPr>
              <w:t>Daily</w:t>
            </w:r>
          </w:p>
        </w:tc>
        <w:tc>
          <w:tcPr>
            <w:tcW w:type="dxa" w:w="2268"/>
          </w:tcPr>
          <w:p>
            <w:r>
              <w:rPr>
                <w:sz w:val="18"/>
              </w:rPr>
              <w:t>CX Ops</w:t>
            </w:r>
          </w:p>
        </w:tc>
      </w:tr>
    </w:tbl>
    <w:p/>
    <w:p>
      <w:pPr>
        <w:pStyle w:val="Heading2"/>
      </w:pPr>
      <w:r>
        <w:t>6.2  Data Model Summary</w:t>
      </w:r>
    </w:p>
    <w:p>
      <w:r>
        <w:t>The LookML model is organized around these primary views:</w:t>
      </w:r>
    </w:p>
    <w:p>
      <w:pPr>
        <w:pStyle w:val="ListBullet"/>
      </w:pPr>
      <w:r>
        <w:rPr>
          <w:b/>
        </w:rPr>
        <w:t>cx_cases</w:t>
      </w:r>
      <w:r>
        <w:t xml:space="preserve"> — Core fact table — one row per customer contact/case</w:t>
      </w:r>
    </w:p>
    <w:p>
      <w:pPr>
        <w:pStyle w:val="ListBullet"/>
      </w:pPr>
      <w:r>
        <w:rPr>
          <w:b/>
        </w:rPr>
        <w:t>cx_csat_surveys</w:t>
      </w:r>
      <w:r>
        <w:t xml:space="preserve"> — CSAT survey responses joined to cases</w:t>
      </w:r>
    </w:p>
    <w:p>
      <w:pPr>
        <w:pStyle w:val="ListBullet"/>
      </w:pPr>
      <w:r>
        <w:rPr>
          <w:b/>
        </w:rPr>
        <w:t>cx_goals</w:t>
      </w:r>
      <w:r>
        <w:t xml:space="preserve"> — Goal definitions, KPIs, and targets (dimension table)</w:t>
      </w:r>
    </w:p>
    <w:p>
      <w:pPr>
        <w:pStyle w:val="ListBullet"/>
      </w:pPr>
      <w:r>
        <w:rPr>
          <w:b/>
        </w:rPr>
        <w:t>cx_opportunities</w:t>
      </w:r>
      <w:r>
        <w:t xml:space="preserve"> — Opportunity definitions and metadata (dimension table)</w:t>
      </w:r>
    </w:p>
    <w:p>
      <w:pPr>
        <w:pStyle w:val="ListBullet"/>
      </w:pPr>
      <w:r>
        <w:rPr>
          <w:b/>
        </w:rPr>
        <w:t>cx_opportunity_metrics</w:t>
      </w:r>
      <w:r>
        <w:t xml:space="preserve"> — Time-series metrics for each opportunity</w:t>
      </w:r>
    </w:p>
    <w:p>
      <w:pPr>
        <w:pStyle w:val="ListBullet"/>
      </w:pPr>
      <w:r>
        <w:rPr>
          <w:b/>
        </w:rPr>
        <w:t>cx_goal_kpis</w:t>
      </w:r>
      <w:r>
        <w:t xml:space="preserve"> — Time-series KPI values for each goal</w:t>
      </w:r>
    </w:p>
    <w:p/>
    <w:p>
      <w:pPr>
        <w:pStyle w:val="Heading1"/>
      </w:pPr>
      <w:r>
        <w:t>7. Implementation Phases</w:t>
      </w:r>
    </w:p>
    <w:p>
      <w:pPr>
        <w:pStyle w:val="Heading2"/>
      </w:pPr>
      <w:r>
        <w:t>Phase 1 — Foundation</w:t>
      </w:r>
    </w:p>
    <w:p>
      <w:pPr>
        <w:pStyle w:val="ListBullet"/>
      </w:pPr>
      <w:r>
        <w:t>Finalize data source access and ETL pipelines</w:t>
      </w:r>
    </w:p>
    <w:p>
      <w:pPr>
        <w:pStyle w:val="ListBullet"/>
      </w:pPr>
      <w:r>
        <w:t>Build LookML views for core data (cases, CSAT, goals, opportunities)</w:t>
      </w:r>
    </w:p>
    <w:p>
      <w:pPr>
        <w:pStyle w:val="ListBullet"/>
      </w:pPr>
      <w:r>
        <w:t>Deploy CX Executive KPI Overview dashboard</w:t>
      </w:r>
    </w:p>
    <w:p>
      <w:pPr>
        <w:pStyle w:val="ListBullet"/>
      </w:pPr>
      <w:r>
        <w:t>Validate KPI calculations with CX Analytics team</w:t>
      </w:r>
    </w:p>
    <w:p>
      <w:pPr>
        <w:pStyle w:val="Heading2"/>
      </w:pPr>
      <w:r>
        <w:t>Phase 2 — Opportunity Tracking</w:t>
      </w:r>
    </w:p>
    <w:p>
      <w:pPr>
        <w:pStyle w:val="ListBullet"/>
      </w:pPr>
      <w:r>
        <w:t>Build opportunity_metrics data pipeline</w:t>
      </w:r>
    </w:p>
    <w:p>
      <w:pPr>
        <w:pStyle w:val="ListBullet"/>
      </w:pPr>
      <w:r>
        <w:t>Deploy Opportunity Impact Tracker dashboard</w:t>
      </w:r>
    </w:p>
    <w:p>
      <w:pPr>
        <w:pStyle w:val="ListBullet"/>
      </w:pPr>
      <w:r>
        <w:t>Set up automated alerting for KPI threshold breaches</w:t>
      </w:r>
    </w:p>
    <w:p>
      <w:pPr>
        <w:pStyle w:val="ListBullet"/>
      </w:pPr>
      <w:r>
        <w:t>Validate opportunity-to-goal attribution logic</w:t>
      </w:r>
    </w:p>
    <w:p>
      <w:pPr>
        <w:pStyle w:val="Heading2"/>
      </w:pPr>
      <w:r>
        <w:t>Phase 3 — Deep-Dives</w:t>
      </w:r>
    </w:p>
    <w:p>
      <w:pPr>
        <w:pStyle w:val="ListBullet"/>
      </w:pPr>
      <w:r>
        <w:t>Deploy deep-dive dashboards for OPP-1 through OPP-7</w:t>
      </w:r>
    </w:p>
    <w:p>
      <w:pPr>
        <w:pStyle w:val="ListBullet"/>
      </w:pPr>
      <w:r>
        <w:t>Integrate additional data sources (OTP logs, bundle funnel, spam classification)</w:t>
      </w:r>
    </w:p>
    <w:p>
      <w:pPr>
        <w:pStyle w:val="ListBullet"/>
      </w:pPr>
      <w:r>
        <w:t>Build drill-through links between dashboards</w:t>
      </w:r>
    </w:p>
    <w:p>
      <w:pPr>
        <w:pStyle w:val="ListBullet"/>
      </w:pPr>
      <w:r>
        <w:t>User acceptance testing with opportunity owners</w:t>
      </w:r>
    </w:p>
    <w:p>
      <w:pPr>
        <w:pStyle w:val="Heading2"/>
      </w:pPr>
      <w:r>
        <w:t>Phase 4 — Optimization (Ongoing)</w:t>
      </w:r>
    </w:p>
    <w:p>
      <w:pPr>
        <w:pStyle w:val="ListBullet"/>
      </w:pPr>
      <w:r>
        <w:t>Refine visualizations based on stakeholder feedback</w:t>
      </w:r>
    </w:p>
    <w:p>
      <w:pPr>
        <w:pStyle w:val="ListBullet"/>
      </w:pPr>
      <w:r>
        <w:t>Add predictive/forecasting tiles where data supports it</w:t>
      </w:r>
    </w:p>
    <w:p>
      <w:pPr>
        <w:pStyle w:val="ListBullet"/>
      </w:pPr>
      <w:r>
        <w:t>Automate monthly executive summary delivery via Looker schedules</w:t>
      </w:r>
    </w:p>
    <w:p>
      <w:pPr>
        <w:pStyle w:val="ListBullet"/>
      </w:pPr>
      <w:r>
        <w:t>Iterate on goal-to-opportunity attribution as new data becomes available</w:t>
      </w:r>
    </w:p>
    <w:p/>
    <w:p>
      <w:pPr>
        <w:pStyle w:val="Heading1"/>
      </w:pPr>
      <w:r>
        <w:t>8. Access &amp; Governance</w:t>
      </w:r>
    </w:p>
    <w:tbl>
      <w:tblPr>
        <w:tblStyle w:val="TableGrid"/>
        <w:tblW w:type="auto" w:w="0"/>
        <w:jc w:val="center"/>
        <w:tblLook w:firstColumn="1" w:firstRow="1" w:lastColumn="0" w:lastRow="0" w:noHBand="0" w:noVBand="1" w:val="04A0"/>
      </w:tblPr>
      <w:tblGrid>
        <w:gridCol w:w="4320"/>
        <w:gridCol w:w="4320"/>
      </w:tblGrid>
      <w:tr>
        <w:tc>
          <w:tcPr>
            <w:tcW w:type="dxa" w:w="3402"/>
            <w:shd w:val="clear" w:color="auto" w:fill="2E4057"/>
          </w:tcPr>
          <w:p>
            <w:r>
              <w:rPr>
                <w:b/>
                <w:color w:val="FFFFFF"/>
                <w:sz w:val="18"/>
              </w:rPr>
              <w:t>Role</w:t>
            </w:r>
          </w:p>
        </w:tc>
        <w:tc>
          <w:tcPr>
            <w:tcW w:type="dxa" w:w="6236"/>
            <w:shd w:val="clear" w:color="auto" w:fill="2E4057"/>
          </w:tcPr>
          <w:p>
            <w:r>
              <w:rPr>
                <w:b/>
                <w:color w:val="FFFFFF"/>
                <w:sz w:val="18"/>
              </w:rPr>
              <w:t>Access Level</w:t>
            </w:r>
          </w:p>
        </w:tc>
      </w:tr>
      <w:tr>
        <w:tc>
          <w:tcPr>
            <w:tcW w:type="dxa" w:w="3402"/>
          </w:tcPr>
          <w:p>
            <w:r>
              <w:rPr>
                <w:sz w:val="18"/>
              </w:rPr>
              <w:t>CX VP / SVP</w:t>
            </w:r>
          </w:p>
        </w:tc>
        <w:tc>
          <w:tcPr>
            <w:tcW w:type="dxa" w:w="6236"/>
          </w:tcPr>
          <w:p>
            <w:r>
              <w:rPr>
                <w:sz w:val="18"/>
              </w:rPr>
              <w:t>Full access to all dashboards</w:t>
            </w:r>
          </w:p>
        </w:tc>
      </w:tr>
      <w:tr>
        <w:tc>
          <w:tcPr>
            <w:tcW w:type="dxa" w:w="3402"/>
          </w:tcPr>
          <w:p>
            <w:r>
              <w:rPr>
                <w:sz w:val="18"/>
              </w:rPr>
              <w:t>CX Directors</w:t>
            </w:r>
          </w:p>
        </w:tc>
        <w:tc>
          <w:tcPr>
            <w:tcW w:type="dxa" w:w="6236"/>
          </w:tcPr>
          <w:p>
            <w:r>
              <w:rPr>
                <w:sz w:val="18"/>
              </w:rPr>
              <w:t>Full access to all dashboards</w:t>
            </w:r>
          </w:p>
        </w:tc>
      </w:tr>
      <w:tr>
        <w:tc>
          <w:tcPr>
            <w:tcW w:type="dxa" w:w="3402"/>
          </w:tcPr>
          <w:p>
            <w:r>
              <w:rPr>
                <w:sz w:val="18"/>
              </w:rPr>
              <w:t>Opportunity Owners</w:t>
            </w:r>
          </w:p>
        </w:tc>
        <w:tc>
          <w:tcPr>
            <w:tcW w:type="dxa" w:w="6236"/>
          </w:tcPr>
          <w:p>
            <w:r>
              <w:rPr>
                <w:sz w:val="18"/>
              </w:rPr>
              <w:t>Full access to their opportunity deep-dive + tracker</w:t>
            </w:r>
          </w:p>
        </w:tc>
      </w:tr>
      <w:tr>
        <w:tc>
          <w:tcPr>
            <w:tcW w:type="dxa" w:w="3402"/>
          </w:tcPr>
          <w:p>
            <w:r>
              <w:rPr>
                <w:sz w:val="18"/>
              </w:rPr>
              <w:t>CX Managers</w:t>
            </w:r>
          </w:p>
        </w:tc>
        <w:tc>
          <w:tcPr>
            <w:tcW w:type="dxa" w:w="6236"/>
          </w:tcPr>
          <w:p>
            <w:r>
              <w:rPr>
                <w:sz w:val="18"/>
              </w:rPr>
              <w:t>Read access to Executive KPI + Tracker</w:t>
            </w:r>
          </w:p>
        </w:tc>
      </w:tr>
      <w:tr>
        <w:tc>
          <w:tcPr>
            <w:tcW w:type="dxa" w:w="3402"/>
          </w:tcPr>
          <w:p>
            <w:r>
              <w:rPr>
                <w:sz w:val="18"/>
              </w:rPr>
              <w:t>Cross-Functional (Product, Tech)</w:t>
            </w:r>
          </w:p>
        </w:tc>
        <w:tc>
          <w:tcPr>
            <w:tcW w:type="dxa" w:w="6236"/>
          </w:tcPr>
          <w:p>
            <w:r>
              <w:rPr>
                <w:sz w:val="18"/>
              </w:rPr>
              <w:t>Read access to relevant deep-dives</w:t>
            </w:r>
          </w:p>
        </w:tc>
      </w:tr>
    </w:tbl>
    <w:p/>
    <w:p>
      <w:pPr>
        <w:pStyle w:val="Heading1"/>
      </w:pPr>
      <w:r>
        <w:t>9. Open Questions &amp; Risks</w:t>
      </w:r>
    </w:p>
    <w:tbl>
      <w:tblPr>
        <w:tblStyle w:val="TableGrid"/>
        <w:tblW w:type="auto" w:w="0"/>
        <w:jc w:val="center"/>
        <w:tblLook w:firstColumn="1" w:firstRow="1" w:lastColumn="0" w:lastRow="0" w:noHBand="0" w:noVBand="1" w:val="04A0"/>
      </w:tblPr>
      <w:tblGrid>
        <w:gridCol w:w="2880"/>
        <w:gridCol w:w="2880"/>
        <w:gridCol w:w="2880"/>
      </w:tblGrid>
      <w:tr>
        <w:tc>
          <w:tcPr>
            <w:tcW w:type="dxa" w:w="567"/>
            <w:shd w:val="clear" w:color="auto" w:fill="2E4057"/>
          </w:tcPr>
          <w:p>
            <w:r>
              <w:rPr>
                <w:b/>
                <w:color w:val="FFFFFF"/>
                <w:sz w:val="18"/>
              </w:rPr>
              <w:t>#</w:t>
            </w:r>
          </w:p>
        </w:tc>
        <w:tc>
          <w:tcPr>
            <w:tcW w:type="dxa" w:w="7370"/>
            <w:shd w:val="clear" w:color="auto" w:fill="2E4057"/>
          </w:tcPr>
          <w:p>
            <w:r>
              <w:rPr>
                <w:b/>
                <w:color w:val="FFFFFF"/>
                <w:sz w:val="18"/>
              </w:rPr>
              <w:t>Item</w:t>
            </w:r>
          </w:p>
        </w:tc>
        <w:tc>
          <w:tcPr>
            <w:tcW w:type="dxa" w:w="1417"/>
            <w:shd w:val="clear" w:color="auto" w:fill="2E4057"/>
          </w:tcPr>
          <w:p>
            <w:r>
              <w:rPr>
                <w:b/>
                <w:color w:val="FFFFFF"/>
                <w:sz w:val="18"/>
              </w:rPr>
              <w:t>Status</w:t>
            </w:r>
          </w:p>
        </w:tc>
      </w:tr>
      <w:tr>
        <w:tc>
          <w:tcPr>
            <w:tcW w:type="dxa" w:w="567"/>
          </w:tcPr>
          <w:p>
            <w:r>
              <w:rPr>
                <w:sz w:val="18"/>
              </w:rPr>
              <w:t>1</w:t>
            </w:r>
          </w:p>
        </w:tc>
        <w:tc>
          <w:tcPr>
            <w:tcW w:type="dxa" w:w="7370"/>
          </w:tcPr>
          <w:p>
            <w:r>
              <w:rPr>
                <w:sz w:val="18"/>
              </w:rPr>
              <w:t>Baseline values for all KPIs need to be confirmed from EOY 2025 reporting</w:t>
            </w:r>
          </w:p>
        </w:tc>
        <w:tc>
          <w:tcPr>
            <w:tcW w:type="dxa" w:w="1417"/>
          </w:tcPr>
          <w:p>
            <w:r>
              <w:rPr>
                <w:sz w:val="18"/>
              </w:rPr>
              <w:t>Open</w:t>
            </w:r>
          </w:p>
        </w:tc>
      </w:tr>
      <w:tr>
        <w:tc>
          <w:tcPr>
            <w:tcW w:type="dxa" w:w="567"/>
          </w:tcPr>
          <w:p>
            <w:r>
              <w:rPr>
                <w:sz w:val="18"/>
              </w:rPr>
              <w:t>2</w:t>
            </w:r>
          </w:p>
        </w:tc>
        <w:tc>
          <w:tcPr>
            <w:tcW w:type="dxa" w:w="7370"/>
          </w:tcPr>
          <w:p>
            <w:r>
              <w:rPr>
                <w:sz w:val="18"/>
              </w:rPr>
              <w:t>Cost per case data granularity — available at case level or only aggregated?</w:t>
            </w:r>
          </w:p>
        </w:tc>
        <w:tc>
          <w:tcPr>
            <w:tcW w:type="dxa" w:w="1417"/>
          </w:tcPr>
          <w:p>
            <w:r>
              <w:rPr>
                <w:sz w:val="18"/>
              </w:rPr>
              <w:t>Open</w:t>
            </w:r>
          </w:p>
        </w:tc>
      </w:tr>
      <w:tr>
        <w:tc>
          <w:tcPr>
            <w:tcW w:type="dxa" w:w="567"/>
          </w:tcPr>
          <w:p>
            <w:r>
              <w:rPr>
                <w:sz w:val="18"/>
              </w:rPr>
              <w:t>3</w:t>
            </w:r>
          </w:p>
        </w:tc>
        <w:tc>
          <w:tcPr>
            <w:tcW w:type="dxa" w:w="7370"/>
          </w:tcPr>
          <w:p>
            <w:r>
              <w:rPr>
                <w:sz w:val="18"/>
              </w:rPr>
              <w:t>OTP authentication logs — access and format TBD with Technology team</w:t>
            </w:r>
          </w:p>
        </w:tc>
        <w:tc>
          <w:tcPr>
            <w:tcW w:type="dxa" w:w="1417"/>
          </w:tcPr>
          <w:p>
            <w:r>
              <w:rPr>
                <w:sz w:val="18"/>
              </w:rPr>
              <w:t>Open</w:t>
            </w:r>
          </w:p>
        </w:tc>
      </w:tr>
      <w:tr>
        <w:tc>
          <w:tcPr>
            <w:tcW w:type="dxa" w:w="567"/>
          </w:tcPr>
          <w:p>
            <w:r>
              <w:rPr>
                <w:sz w:val="18"/>
              </w:rPr>
              <w:t>4</w:t>
            </w:r>
          </w:p>
        </w:tc>
        <w:tc>
          <w:tcPr>
            <w:tcW w:type="dxa" w:w="7370"/>
          </w:tcPr>
          <w:p>
            <w:r>
              <w:rPr>
                <w:sz w:val="18"/>
              </w:rPr>
              <w:t>Account Sharing contact volume projections — dependent on Product roadmap timing</w:t>
            </w:r>
          </w:p>
        </w:tc>
        <w:tc>
          <w:tcPr>
            <w:tcW w:type="dxa" w:w="1417"/>
          </w:tcPr>
          <w:p>
            <w:r>
              <w:rPr>
                <w:sz w:val="18"/>
              </w:rPr>
              <w:t>Open</w:t>
            </w:r>
          </w:p>
        </w:tc>
      </w:tr>
      <w:tr>
        <w:tc>
          <w:tcPr>
            <w:tcW w:type="dxa" w:w="567"/>
          </w:tcPr>
          <w:p>
            <w:r>
              <w:rPr>
                <w:sz w:val="18"/>
              </w:rPr>
              <w:t>5</w:t>
            </w:r>
          </w:p>
        </w:tc>
        <w:tc>
          <w:tcPr>
            <w:tcW w:type="dxa" w:w="7370"/>
          </w:tcPr>
          <w:p>
            <w:r>
              <w:rPr>
                <w:sz w:val="18"/>
              </w:rPr>
              <w:t>Spam classification model accuracy — validate false-positive rates before dashboard use</w:t>
            </w:r>
          </w:p>
        </w:tc>
        <w:tc>
          <w:tcPr>
            <w:tcW w:type="dxa" w:w="1417"/>
          </w:tcPr>
          <w:p>
            <w:r>
              <w:rPr>
                <w:sz w:val="18"/>
              </w:rPr>
              <w:t>Open</w:t>
            </w:r>
          </w:p>
        </w:tc>
      </w:tr>
      <w:tr>
        <w:tc>
          <w:tcPr>
            <w:tcW w:type="dxa" w:w="567"/>
          </w:tcPr>
          <w:p>
            <w:r>
              <w:rPr>
                <w:sz w:val="18"/>
              </w:rPr>
              <w:t>6</w:t>
            </w:r>
          </w:p>
        </w:tc>
        <w:tc>
          <w:tcPr>
            <w:tcW w:type="dxa" w:w="7370"/>
          </w:tcPr>
          <w:p>
            <w:r>
              <w:rPr>
                <w:sz w:val="18"/>
              </w:rPr>
              <w:t>Run-rate savings target ($$$M) — exact figure to be confirmed by Finance</w:t>
            </w:r>
          </w:p>
        </w:tc>
        <w:tc>
          <w:tcPr>
            <w:tcW w:type="dxa" w:w="1417"/>
          </w:tcPr>
          <w:p>
            <w:r>
              <w:rPr>
                <w:sz w:val="18"/>
              </w:rPr>
              <w:t>Open</w:t>
            </w:r>
          </w:p>
        </w:tc>
      </w:tr>
    </w:tbl>
    <w:p/>
    <w:p>
      <w:pPr>
        <w:pStyle w:val="Heading1"/>
      </w:pPr>
      <w:r>
        <w:t>10. Appendix — How to Import Into Looker</w:t>
      </w:r>
    </w:p>
    <w:p>
      <w:r>
        <w:t>The LookML files in this repository are ready to import into a Looker instance. Below is a step-by-step guide for getting the dashboards live.</w:t>
      </w:r>
    </w:p>
    <w:p>
      <w:pPr>
        <w:pStyle w:val="Heading2"/>
      </w:pPr>
      <w:r>
        <w:t>Option A — Connect via Git (Recommended)</w:t>
      </w:r>
    </w:p>
    <w:p>
      <w:r>
        <w:t>1. In Looker, go to Develop → Manage LookML Projects → New LookML Project.</w:t>
      </w:r>
    </w:p>
    <w:p>
      <w:r>
        <w:t>2. Choose "Clone Public Git Repository" and paste this repository's URL.</w:t>
      </w:r>
    </w:p>
    <w:p>
      <w:r>
        <w:t>3. Open the project. Looker will automatically discover the .model.lkml, .view.lkml, .explore.lkml, and .dashboard.lookml files.</w:t>
      </w:r>
    </w:p>
    <w:p>
      <w:r>
        <w:t>4. Open cx_opportunities.model.lkml and change the connection: line to your database connection name (the one configured in Admin → Connections).</w:t>
      </w:r>
    </w:p>
    <w:p>
      <w:r>
        <w:t>5. Update the sql_table_name in each view file to match your actual schema and table names.</w:t>
      </w:r>
    </w:p>
    <w:p>
      <w:r>
        <w:t>6. Click "Validate LookML" to check for errors.</w:t>
      </w:r>
    </w:p>
    <w:p>
      <w:r>
        <w:t>7. Deploy to production when ready.</w:t>
      </w:r>
    </w:p>
    <w:p>
      <w:pPr>
        <w:pStyle w:val="Heading2"/>
      </w:pPr>
      <w:r>
        <w:t>Option B — Copy-Paste Into an Existing Project</w:t>
      </w:r>
    </w:p>
    <w:p>
      <w:r>
        <w:t>1. In Looker, open your existing LookML project in Development Mode (Develop → your project).</w:t>
      </w:r>
    </w:p>
    <w:p>
      <w:r>
        <w:t>2. Create a new model file and paste the contents of lookml/cx_opportunities.model.lkml.</w:t>
      </w:r>
    </w:p>
    <w:p>
      <w:r>
        <w:t>3. Create new view files under a views/ folder and paste each .view.lkml file's contents.</w:t>
      </w:r>
    </w:p>
    <w:p>
      <w:r>
        <w:t>4. Create explore and dashboard files the same way.</w:t>
      </w:r>
    </w:p>
    <w:p>
      <w:r>
        <w:t>5. Update the connection: and sql_table_name references to match your environment.</w:t>
      </w:r>
    </w:p>
    <w:p>
      <w:r>
        <w:t>6. Validate and deploy.</w:t>
      </w:r>
    </w:p>
    <w:p>
      <w:pPr>
        <w:pStyle w:val="Heading2"/>
      </w:pPr>
      <w:r>
        <w:t>Option C — Use Looker API (for CI/CD pipelines)</w:t>
      </w:r>
    </w:p>
    <w:p>
      <w:r>
        <w:t>If your organization uses a CI/CD pipeline for LookML deployments, you can push this repository's lookml/ directory to your LookML project's Git remote. Looker will automatically pick up the files on the next deploy cycle.</w:t>
      </w:r>
    </w:p>
    <w:p>
      <w:pPr>
        <w:pStyle w:val="Heading2"/>
      </w:pPr>
      <w:r>
        <w:t>What You'll Need Before Importing</w:t>
      </w:r>
    </w:p>
    <w:p>
      <w:pPr>
        <w:pStyle w:val="ListBullet"/>
      </w:pPr>
      <w:r>
        <w:t>A Looker instance with Developer or Admin access</w:t>
      </w:r>
    </w:p>
    <w:p>
      <w:pPr>
        <w:pStyle w:val="ListBullet"/>
      </w:pPr>
      <w:r>
        <w:t>A database connection configured in Admin → Connections that points to your data warehouse</w:t>
      </w:r>
    </w:p>
    <w:p>
      <w:pPr>
        <w:pStyle w:val="ListBullet"/>
      </w:pPr>
      <w:r>
        <w:t>The actual schema and table names for your CX data (the view files use placeholder names like schema.cx_cases)</w:t>
      </w:r>
    </w:p>
    <w:p>
      <w:pPr>
        <w:pStyle w:val="ListBullet"/>
      </w:pPr>
      <w:r>
        <w:t>The seed data SQL scripts run against your warehouse (lookml/seed_data/) to populate the goals and opportunities dimension tables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2E4057"/>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E405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2E4057"/>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