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14236963" w:rsidR="00DC6411" w:rsidRPr="00E92642" w:rsidRDefault="009916DC" w:rsidP="00DD6764">
      <w:r w:rsidRPr="009916DC">
        <w:rPr>
          <w:b/>
          <w:bCs/>
        </w:rPr>
        <w:t>Relleno de sumideros o depresiones en modelos digitales de elevación</w:t>
      </w:r>
    </w:p>
    <w:p w14:paraId="30919EAE" w14:textId="77777777" w:rsidR="00E91E76" w:rsidRPr="00E92642" w:rsidRDefault="00E91E76" w:rsidP="00DD6764"/>
    <w:p w14:paraId="5B72A1D2" w14:textId="02B95D41" w:rsidR="009916DC" w:rsidRDefault="009916DC" w:rsidP="009916DC">
      <w:r>
        <w:t>Cuando una celda se encuentra rodeada por celdas de mayor elevación, la escorrentía es retenida y no fluye. El relleno de sumideros eleva estas celdas</w:t>
      </w:r>
      <w:r>
        <w:t>,</w:t>
      </w:r>
      <w:r>
        <w:t xml:space="preserve"> utilizando como referencia los valores en altura de las celdas circundantes, garantizando que las celdas de la superficie del terreno drenen hacia una localización más baja.</w:t>
      </w:r>
    </w:p>
    <w:p w14:paraId="57B6E9CE" w14:textId="77777777" w:rsidR="009916DC" w:rsidRDefault="009916DC" w:rsidP="009916DC"/>
    <w:p w14:paraId="30B89004" w14:textId="514AD0E1" w:rsidR="001E1BD2" w:rsidRDefault="009916DC" w:rsidP="009916DC">
      <w:r>
        <w:t>Los modelos digitales de elevación obtenidos a partir de información satelital, contienen información relacionada con la superficie terrestre</w:t>
      </w:r>
      <w:r>
        <w:t>, tales como</w:t>
      </w:r>
      <w:r>
        <w:t xml:space="preserve"> cubiertas de construcciones</w:t>
      </w:r>
      <w:r>
        <w:t xml:space="preserve"> y </w:t>
      </w:r>
      <w:r>
        <w:t>canopy en vegetación</w:t>
      </w:r>
      <w:r>
        <w:t xml:space="preserve">, </w:t>
      </w:r>
      <w:r>
        <w:t xml:space="preserve">y no a las elevaciones más bajas en el terreno. Es por ello por lo </w:t>
      </w:r>
      <w:r w:rsidR="004D7C4F">
        <w:t>que,</w:t>
      </w:r>
      <w:r>
        <w:t xml:space="preserve"> al ejecutar el procedimiento de relleno de sumideros</w:t>
      </w:r>
      <w:r>
        <w:t>,</w:t>
      </w:r>
      <w:r>
        <w:t xml:space="preserve"> se pueden identificar múltiples localizaciones y áreas que pueden producir encharcamiento</w:t>
      </w:r>
      <w:r>
        <w:t>,</w:t>
      </w:r>
      <w:r>
        <w:t xml:space="preserve"> interrumpiendo el drenaje continuo a largo plazo.</w:t>
      </w:r>
    </w:p>
    <w:p w14:paraId="775493DC" w14:textId="77777777" w:rsidR="009916DC" w:rsidRDefault="009916DC" w:rsidP="009916DC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6E69E80B" w14:textId="794DB540" w:rsidR="004D7C4F" w:rsidRDefault="004D7C4F" w:rsidP="004D7C4F">
      <w:pPr>
        <w:pStyle w:val="ListParagraph"/>
        <w:numPr>
          <w:ilvl w:val="0"/>
          <w:numId w:val="22"/>
        </w:numPr>
      </w:pPr>
      <w:r>
        <w:t>Rellenar los sumideros del modelo digital de elevación reacondicionado</w:t>
      </w:r>
      <w:r>
        <w:t>,</w:t>
      </w:r>
      <w:r>
        <w:t xml:space="preserve"> para garantizar que la escorrentía de todo el modelo hidrológico</w:t>
      </w:r>
      <w:r>
        <w:t>,</w:t>
      </w:r>
      <w:r>
        <w:t xml:space="preserve"> fluya hacia los puntos de control más aguas abajo.</w:t>
      </w:r>
    </w:p>
    <w:p w14:paraId="6FF7D206" w14:textId="352F4319" w:rsidR="004D7C4F" w:rsidRDefault="004D7C4F" w:rsidP="004D7C4F">
      <w:pPr>
        <w:pStyle w:val="ListParagraph"/>
        <w:numPr>
          <w:ilvl w:val="0"/>
          <w:numId w:val="22"/>
        </w:numPr>
      </w:pPr>
      <w:r>
        <w:t>Identificar, cuantificar y graficar sumideros</w:t>
      </w:r>
      <w:r>
        <w:t>,</w:t>
      </w:r>
      <w:r>
        <w:t xml:space="preserve"> a través de la diferencia de elevaciones del DEM rellenado y DEM original.</w:t>
      </w:r>
    </w:p>
    <w:p w14:paraId="11411CE7" w14:textId="77777777" w:rsidR="004D7C4F" w:rsidRDefault="004D7C4F" w:rsidP="004D7C4F">
      <w:pPr>
        <w:pStyle w:val="ListParagraph"/>
        <w:numPr>
          <w:ilvl w:val="0"/>
          <w:numId w:val="22"/>
        </w:numPr>
      </w:pPr>
      <w:r>
        <w:t>Conocer diferentes herramientas para relleno de sumideros.</w:t>
      </w:r>
    </w:p>
    <w:p w14:paraId="327D8225" w14:textId="09FE92FA" w:rsidR="00F67897" w:rsidRDefault="004D7C4F" w:rsidP="004D7C4F">
      <w:pPr>
        <w:pStyle w:val="ListParagraph"/>
        <w:numPr>
          <w:ilvl w:val="0"/>
          <w:numId w:val="22"/>
        </w:numPr>
      </w:pPr>
      <w:r>
        <w:t>Visualizar y comparar perfiles de modelos digitales de elevación con y sin relleno de sumideros.</w:t>
      </w:r>
    </w:p>
    <w:p w14:paraId="00B28D3E" w14:textId="712DF0D1" w:rsidR="009638D5" w:rsidRDefault="009638D5" w:rsidP="00DD6764"/>
    <w:p w14:paraId="0A7C80DC" w14:textId="77777777" w:rsidR="004D7C4F" w:rsidRDefault="004D7C4F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2B9D69E" w:rsidR="007A73D8" w:rsidRDefault="00B60FF7" w:rsidP="00B60FF7">
      <w:r>
        <w:t xml:space="preserve">El diagrama mostrado en pantalla, contiene el procedimiento general para </w:t>
      </w:r>
      <w:r w:rsidR="004D7C4F">
        <w:t>el relleno de sumideros, y la identificación de las zonas de encharcamiento.</w:t>
      </w:r>
    </w:p>
    <w:p w14:paraId="17A6CD4C" w14:textId="77777777" w:rsidR="007A73D8" w:rsidRDefault="007A73D8" w:rsidP="00B60FF7"/>
    <w:p w14:paraId="43C4365E" w14:textId="0C9E60B5" w:rsidR="008352C4" w:rsidRDefault="004411FF" w:rsidP="00B60FF7">
      <w:r>
        <w:t>Para iniciar, cargue en un mapa los modelos digitales de elevación reacondicionados, ASTER G DEM, S R T M y ALOS PALSAR.</w:t>
      </w:r>
    </w:p>
    <w:p w14:paraId="1B7B9460" w14:textId="32F0C776" w:rsidR="004411FF" w:rsidRDefault="004411FF" w:rsidP="00B60FF7"/>
    <w:p w14:paraId="5A20CD30" w14:textId="76B9EEB8" w:rsidR="004411FF" w:rsidRDefault="00196F56" w:rsidP="00B60FF7">
      <w:r>
        <w:t>Ejecute la herramienta de relleno de sumideros, Fill Sinks, disponible en la barra de herramientas Hec geo h m s de ArcGIS for desktop. Rellene los sumideros de los 3 modelos de terreno indicados anteriormente.</w:t>
      </w:r>
    </w:p>
    <w:p w14:paraId="5607FE55" w14:textId="0BB4D587" w:rsidR="00196F56" w:rsidRDefault="00196F56" w:rsidP="00B60FF7"/>
    <w:p w14:paraId="33705CEF" w14:textId="1E51E72D" w:rsidR="00196F56" w:rsidRDefault="00196F56" w:rsidP="00B60FF7">
      <w:r w:rsidRPr="00196F56">
        <w:t>Utilizando algebra de mapas, calcule la diferencia entre el mapa de relleno de sumideros y el mapa reacondicionado</w:t>
      </w:r>
      <w:r>
        <w:t>,</w:t>
      </w:r>
      <w:r w:rsidRPr="00196F56">
        <w:t xml:space="preserve"> para conocer la localización específica de las zonas rellenadas</w:t>
      </w:r>
      <w:r>
        <w:t>, por ejemplo,</w:t>
      </w:r>
      <w:r w:rsidRPr="00196F56">
        <w:t xml:space="preserve"> entre 1 y 50 metros.</w:t>
      </w:r>
    </w:p>
    <w:p w14:paraId="471E6810" w14:textId="748B08EC" w:rsidR="00196F56" w:rsidRDefault="00196F56" w:rsidP="00B60FF7"/>
    <w:p w14:paraId="14E24125" w14:textId="5C8B72D4" w:rsidR="00196F56" w:rsidRDefault="00196F56" w:rsidP="00B60FF7">
      <w:r w:rsidRPr="00196F56">
        <w:t xml:space="preserve">Visualice la tabla de atributos de la grilla </w:t>
      </w:r>
      <w:r>
        <w:t xml:space="preserve">de diferencias y </w:t>
      </w:r>
      <w:r w:rsidRPr="00196F56">
        <w:t>cree una gráfica de barras</w:t>
      </w:r>
      <w:r>
        <w:t xml:space="preserve"> para contar el número de celdas por diferencias cada 1 metro.</w:t>
      </w:r>
    </w:p>
    <w:p w14:paraId="6CC10CD3" w14:textId="1D7413AD" w:rsidR="00196F56" w:rsidRDefault="00196F56" w:rsidP="00B60FF7"/>
    <w:p w14:paraId="0923A141" w14:textId="4FB09E57" w:rsidR="0009615C" w:rsidRDefault="0009615C" w:rsidP="00B60FF7">
      <w:r w:rsidRPr="0009615C">
        <w:t>Se recomienda desarrollar el relleno de sumideros</w:t>
      </w:r>
      <w:r>
        <w:t>,</w:t>
      </w:r>
      <w:r w:rsidRPr="0009615C">
        <w:t xml:space="preserve"> con el mismo grupo de herramientas donde desarrollo el reacondicionamiento, </w:t>
      </w:r>
      <w:r>
        <w:t xml:space="preserve">por ejemplo, </w:t>
      </w:r>
      <w:r w:rsidRPr="0009615C">
        <w:t>si el Agree</w:t>
      </w:r>
      <w:r>
        <w:t xml:space="preserve"> </w:t>
      </w:r>
      <w:r w:rsidRPr="0009615C">
        <w:t>DEM fu</w:t>
      </w:r>
      <w:r>
        <w:t xml:space="preserve">e </w:t>
      </w:r>
      <w:r w:rsidRPr="0009615C">
        <w:t>generado directamente con Arc Hydro Tools Pro de ArcGIS Pro, ejecute el relleno con las mismas herramientas</w:t>
      </w:r>
      <w:r>
        <w:t xml:space="preserve"> de</w:t>
      </w:r>
      <w:r w:rsidRPr="0009615C">
        <w:t xml:space="preserve"> Terrain Processing.</w:t>
      </w:r>
    </w:p>
    <w:p w14:paraId="5EBA3236" w14:textId="77777777" w:rsidR="0009615C" w:rsidRDefault="0009615C" w:rsidP="00B60FF7"/>
    <w:p w14:paraId="30B25BEB" w14:textId="6DFF8A41" w:rsidR="00196F56" w:rsidRDefault="00196F56" w:rsidP="00B60FF7">
      <w:r>
        <w:t xml:space="preserve">Para finalizar, </w:t>
      </w:r>
      <w:r w:rsidRPr="00196F56">
        <w:t>cree y visualice perfiles de terreno con y sin relleno de sumideros</w:t>
      </w:r>
      <w:r>
        <w:t>.</w:t>
      </w:r>
    </w:p>
    <w:p w14:paraId="3993F16C" w14:textId="77777777" w:rsidR="004411FF" w:rsidRDefault="004411FF" w:rsidP="00B60FF7"/>
    <w:p w14:paraId="745BD68D" w14:textId="410155D0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 se explica el procedimiento detallado a través de jec geo ache eme ese</w:t>
      </w:r>
      <w:r w:rsidR="00196F56">
        <w:rPr>
          <w:i/>
          <w:iCs/>
          <w:color w:val="7030A0"/>
        </w:rPr>
        <w:t xml:space="preserve"> sobre ArcGIS y el resultado de ejecución del mapa de diferencias obtenido con </w:t>
      </w:r>
      <w:r w:rsidR="00196F56" w:rsidRPr="008352C4">
        <w:rPr>
          <w:i/>
          <w:iCs/>
          <w:color w:val="7030A0"/>
        </w:rPr>
        <w:t>jec ache eme ese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292BF476" w14:textId="164E1914" w:rsidR="0009615C" w:rsidRDefault="0009615C" w:rsidP="00B60FF7"/>
    <w:p w14:paraId="4D24CF4F" w14:textId="77777777" w:rsidR="0009615C" w:rsidRDefault="0009615C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40930C6D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A69C1">
        <w:rPr>
          <w:i/>
          <w:iCs/>
          <w:color w:val="7030A0"/>
        </w:rPr>
        <w:t xml:space="preserve">el </w:t>
      </w:r>
      <w:r w:rsidR="00196F56">
        <w:rPr>
          <w:i/>
          <w:iCs/>
          <w:color w:val="7030A0"/>
        </w:rPr>
        <w:t xml:space="preserve">relleno de sumideros en </w:t>
      </w:r>
      <w:r w:rsidR="007A69C1">
        <w:rPr>
          <w:i/>
          <w:iCs/>
          <w:color w:val="7030A0"/>
        </w:rPr>
        <w:t>modelos digitales de elevación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3E75" w14:textId="77777777" w:rsidR="00BB72DF" w:rsidRDefault="00BB72DF" w:rsidP="00D754C3">
      <w:r>
        <w:separator/>
      </w:r>
    </w:p>
  </w:endnote>
  <w:endnote w:type="continuationSeparator" w:id="0">
    <w:p w14:paraId="7CB1B874" w14:textId="77777777" w:rsidR="00BB72DF" w:rsidRDefault="00BB72DF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A091" w14:textId="77777777" w:rsidR="00BB72DF" w:rsidRDefault="00BB72DF" w:rsidP="00D754C3">
      <w:r>
        <w:separator/>
      </w:r>
    </w:p>
  </w:footnote>
  <w:footnote w:type="continuationSeparator" w:id="0">
    <w:p w14:paraId="045AE8D3" w14:textId="77777777" w:rsidR="00BB72DF" w:rsidRDefault="00BB72DF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7"/>
  </w:num>
  <w:num w:numId="2" w16cid:durableId="1641809366">
    <w:abstractNumId w:val="14"/>
  </w:num>
  <w:num w:numId="3" w16cid:durableId="55668462">
    <w:abstractNumId w:val="21"/>
  </w:num>
  <w:num w:numId="4" w16cid:durableId="1388796809">
    <w:abstractNumId w:val="12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0"/>
  </w:num>
  <w:num w:numId="11" w16cid:durableId="1428964282">
    <w:abstractNumId w:val="18"/>
  </w:num>
  <w:num w:numId="12" w16cid:durableId="1297682645">
    <w:abstractNumId w:val="19"/>
  </w:num>
  <w:num w:numId="13" w16cid:durableId="316689396">
    <w:abstractNumId w:val="1"/>
  </w:num>
  <w:num w:numId="14" w16cid:durableId="1445684966">
    <w:abstractNumId w:val="16"/>
  </w:num>
  <w:num w:numId="15" w16cid:durableId="529999892">
    <w:abstractNumId w:val="11"/>
  </w:num>
  <w:num w:numId="16" w16cid:durableId="1901016796">
    <w:abstractNumId w:val="15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3"/>
  </w:num>
  <w:num w:numId="20" w16cid:durableId="1944922259">
    <w:abstractNumId w:val="7"/>
  </w:num>
  <w:num w:numId="21" w16cid:durableId="2033649809">
    <w:abstractNumId w:val="13"/>
  </w:num>
  <w:num w:numId="22" w16cid:durableId="123242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9615C"/>
    <w:rsid w:val="000B1062"/>
    <w:rsid w:val="000F46C4"/>
    <w:rsid w:val="00132DA7"/>
    <w:rsid w:val="00133C30"/>
    <w:rsid w:val="00181012"/>
    <w:rsid w:val="00196F56"/>
    <w:rsid w:val="00196F71"/>
    <w:rsid w:val="001A38C4"/>
    <w:rsid w:val="001A4EFD"/>
    <w:rsid w:val="001B7AE4"/>
    <w:rsid w:val="001C38CF"/>
    <w:rsid w:val="001E1BD2"/>
    <w:rsid w:val="00221481"/>
    <w:rsid w:val="00237950"/>
    <w:rsid w:val="00295F64"/>
    <w:rsid w:val="00296B3A"/>
    <w:rsid w:val="002A5947"/>
    <w:rsid w:val="002E1429"/>
    <w:rsid w:val="002E426B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411FF"/>
    <w:rsid w:val="0047713C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69C1"/>
    <w:rsid w:val="007A73D8"/>
    <w:rsid w:val="007C14CE"/>
    <w:rsid w:val="007C6795"/>
    <w:rsid w:val="008148D1"/>
    <w:rsid w:val="00815EC8"/>
    <w:rsid w:val="008352C4"/>
    <w:rsid w:val="00844B88"/>
    <w:rsid w:val="00844E46"/>
    <w:rsid w:val="00857F9B"/>
    <w:rsid w:val="008609D6"/>
    <w:rsid w:val="008B040B"/>
    <w:rsid w:val="008C3047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B72DF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C442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145</cp:revision>
  <cp:lastPrinted>2023-01-24T16:26:00Z</cp:lastPrinted>
  <dcterms:created xsi:type="dcterms:W3CDTF">2023-01-05T15:14:00Z</dcterms:created>
  <dcterms:modified xsi:type="dcterms:W3CDTF">2023-01-31T16:40:00Z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