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DOCUMENTO DE REVISIÓN Y CORRECCIÓN – POSTMORTEM FASE 2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de Entregas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Fase:</w:t>
      </w:r>
      <w:r w:rsidDel="00000000" w:rsidR="00000000" w:rsidRPr="00000000">
        <w:rPr>
          <w:rtl w:val="0"/>
        </w:rPr>
        <w:t xml:space="preserve"> Postmortem (Fase 2)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23/11/2025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Registrar las revisiones realizadas sobre los artefactos correspondientes al Postmortem de la Fase 2, incluyendo tanto la presentación como el informe escrito. Se evidencia la retroalimentación recibida, los ajustes aplicados y se deja constancia de que los documentos finales cumplen con los lineamientos establecidos para la fase de cierre.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Alcance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Aplica 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Presentación Postmortem Fase 2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Informe Postmortem Fase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Consolidado de hallazgos y oportunidades de mejora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Evidencias de ajustes y control de versiones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Revisión Realizada</w:t>
      </w:r>
    </w:p>
    <w:tbl>
      <w:tblPr>
        <w:tblStyle w:val="Table1"/>
        <w:tblW w:w="8838.0" w:type="dxa"/>
        <w:jc w:val="left"/>
        <w:tblLayout w:type="fixed"/>
        <w:tblLook w:val="0400"/>
      </w:tblPr>
      <w:tblGrid>
        <w:gridCol w:w="2045"/>
        <w:gridCol w:w="3039"/>
        <w:gridCol w:w="1341"/>
        <w:gridCol w:w="2413"/>
        <w:tblGridChange w:id="0">
          <w:tblGrid>
            <w:gridCol w:w="2045"/>
            <w:gridCol w:w="3039"/>
            <w:gridCol w:w="1341"/>
            <w:gridCol w:w="24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 Revisado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Detectado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Postmortem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Falta de claridad en conclusiones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Redacción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Revisión interna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Postmortem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 se evidenciaban métricas de la 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Omisión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 profesor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Informe Postmortem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Inconsistencias con actividades de la Fase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Coherencia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Retroalimentación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Informe Postmortem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Faltaba detallar riesgos y aprendizajes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Omisión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Revisión interna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4. Correcciones Implementadas</w:t>
      </w:r>
    </w:p>
    <w:tbl>
      <w:tblPr>
        <w:tblStyle w:val="Table2"/>
        <w:tblW w:w="8838.0" w:type="dxa"/>
        <w:jc w:val="left"/>
        <w:tblLayout w:type="fixed"/>
        <w:tblLook w:val="0400"/>
      </w:tblPr>
      <w:tblGrid>
        <w:gridCol w:w="1440"/>
        <w:gridCol w:w="4974"/>
        <w:gridCol w:w="2424"/>
        <w:tblGridChange w:id="0">
          <w:tblGrid>
            <w:gridCol w:w="1440"/>
            <w:gridCol w:w="4974"/>
            <w:gridCol w:w="24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 Realizada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Se reescribieron las conclusiones y se incluyeron métricas de desempeño de la fase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Versión 2.0 de la presentación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Presentación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 agregó la sección de análisis de aciertos y fallas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Diapositivas actualizadas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 alineó la descripción con las actividades reales de la Fase 2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Informe ajustado versión 2.0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Informe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 añadieron riesgos identificados y aprendizajes generales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Informe Postmortem actualizado</w:t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Resultados Finales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Todos los documentos del Postmortem Fase 2 fueron revisados y corregidos.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 presentación y el informe quedaron unificados en terminología, secuencia y conclusiones.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garantizó correspondencia entre las actividades ejecutadas y el análisis retrospectivo.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Se fortaleció la claridad de los resultados obtenidos y las oportunidades de mejora.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Conclusiones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El Postmortem Fase 2 versión 2.0 queda finalizado y documentado correctamente. Los ajustes realizados permiten una interpretación más precisa del proceso, mejor trazabilidad y una base sólida para la mejora continua en las siguientes fases del proyecto.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Anexos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Presentación Postmortem versión 2.0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Informe Postmortem versión 2.0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Evidencias de cambios, retroalimentación y control de versiones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D11A6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D11A6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D11A6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D11A6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D11A6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D11A6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D11A6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D11A6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D11A6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D11A6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D11A6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D11A6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D11A6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D11A6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D11A6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D11A6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D11A6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D11A6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D11A6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11A6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D11A6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KpaLmlna3Q6Rjqv2gnFC/JLgbg==">CgMxLjA4AHIhMTRPN2plN0l1VXVqeGdpNVdTeEVDcERYVnV0YnpUaTVK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2025-11-22T21:41:00Z</dcterms:created>
  <dc:creator>Nicolas Calvo</dc:creator>
</cp:coreProperties>
</file>