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Desempeño: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Requerimientos asociados: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El sistema debe generar la notificación interna en menos de 2 segundos tras el cambio de estado.</w:t>
        <w:br w:type="textWrapping"/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Escabilidad: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Requerimientos asociados: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El sistema debe soportar al menos 1000 notificaciones concurrentes sin degradar el rendimiento.</w:t>
        <w:br w:type="textWrapping"/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Disponibilidad: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Requerimientos asociados: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módulo de notificaciones debe estar disponible 24/7.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tiempo máximo de recuperación ante fallo no debe superar los 5 minutos.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Usabilidad: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Requerimientos asociados: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usuario debe poder visualizar nuevas notificaciones en un máximo de 2 pasos.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interfaz de notificaciones debe ser intuitiva y accesible desde dispositivos móviles y escritorio.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Seguridad: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Requerimientos asociados: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debe garantizar que solo el usuario o destinatario correspondiente pueda ver su notificación.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debe mantener un registro de auditoría de todas las notificaciones generadas y enviadas.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Extensibilidad: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Requerimientos asociados:</w:t>
        <w:br w:type="textWrapping"/>
        <w:t xml:space="preserve">*Se debe generar un mensaje en la barra del teléfono sobre el envío.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HOI4ENKQ/kqtEY1nLb7g6SQKVQ==">CgMxLjA4AHIhMTI2ZnlZcG00NUZKdlgyVzZJaktWNWRXWkRqTjNPV2pp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2025-08-27T00:30:00Z</dcterms:created>
  <dc:creator>NICOLAS ESTEBAN CALVO OSPINA</dc:creator>
</cp:coreProperties>
</file>