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0B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GZ4kLbYX20qUQ8aC0O7Z319Lg==">CgMxLjA4AHIhMWR2YzlEZ3BmZ1RkOHd2ejVjYVMyLUR0Z1ZDcTRFU2Uy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