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asignaciones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contexto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diagrama de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revision de 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especificacion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especificacion de diseño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Generalidades del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 realizo los generalidades del documento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parte de la arquitectura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detallado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diseño detallado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Implementacion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plan de Implementacion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 Plan de Pruebas Unitarias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excel de Plan de Pruebas Unitarias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documento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de casos de prueba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casos de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Pruebas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Se completo la plantilla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control de asignaciones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 defecto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script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8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informe de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Se hizo el documento informe de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Presentacion de Postmortem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Se hizo la presentacion de Postmortem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revisiones de los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Se hizo las correcion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9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7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9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7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8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B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E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4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F6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YOnS9MeHpKlnQByGe5au5vMyg==">CgMxLjA4AHIhMUFNNTFZVUxkN1lHUlByR2RwQi1jNEdPVXk3YmJpT19V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