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Plan de Implementación – Sistema de Encomiendas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Soporte de Ejecución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1.1 Definir criterios de completitud del diseño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Cobertura funcional: todos los casos de uso priorizados (UC-001 a UC-006) y las historias de usuario implementadas están representados en el diseño.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Consistencia y trazabilidad: los requisitos funcionales tienen un elemento de diseño asociado y no existen contradicciones entre diagramas.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Validación: se realizó al menos una sesión de revisión con stakeholders y el equipo de desarrollo verificó la viabilidad técnica.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Métricas de calidad: cobertura de diseño ≥ 80%, tiempo de respuesta ≤ 5 segundos en operaciones críticas.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1.2 Estándares de implementación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1.Convenciones de codificación: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Clases en PascalCase → LoginActivity, RegisterActivity, DbHelper.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Métodos y variables en camelCase → validarUsuario(), numeroGuia.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Constantes en MAYÚSCULAS_CON_GUIONES → MAX_INTENTOS_LOGIN.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Paquetes en minúsculas y organizados por funcionalidad: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db → acceso a datos (DbHelper).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ui → pantallas de usuario (LoginActivity, RegisterActivity, TrackingActivity, etc.).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util → clases auxiliares.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Uso de Javadoc para documentar clases y métodos.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2.Uso de control de versiones (Git)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*Se utilizó Git para llevar un control histórico del proyecto en Android Studio.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*El repositorio se mantuvo en GitHub/GitLab (o local en el equipo de desarrollo).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*Solo hubo un desarrollador principal, por lo que no se implementaron revisiones por pares ni pull requests.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*Se siguió la convención de commits claros y en español, por ejemplo: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-feat: crear tabla shipments en DbHelper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-fix: corregir validación en LoginActivity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-style: ajustar nombres de variables en RegisterActivity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*La rama principal utilizada fue main, sin necesidad de múltiples ramas de integración.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*Git permitió versionar cambios importantes, hacer retrocesos cuando fue necesario y mantener un registro del avance del proyecto.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3.Lineamientos de seguridad y rendimiento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*Validación de formularios en RegisterActivity, LoginActivity y demás pantallas críticas.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*Tiempo máximo de respuesta: ≤ 5 segundos en operaciones críticas como registrar encomienda o consultar estado.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*Uso de una sola base de datos SQLite 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ingsoft_logistics.db</w:t>
      </w:r>
      <w:r w:rsidDel="00000000" w:rsidR="00000000" w:rsidRPr="00000000">
        <w:rPr>
          <w:b w:val="1"/>
          <w:rtl w:val="0"/>
        </w:rPr>
        <w:t xml:space="preserve">) que integra: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-users → autenticación y gestión de perfiles.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-shipments, tracking_events → gestión y seguimiento de envíos.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-guides, trucks, collectors, pickups, route_assignments → soporte logístico.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-Consultas optimizadas con índices en columnas críticas (email, shipment_id, code).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-Separación de acceso a datos en repositorios/DAO para cada entidad.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1.3 Estrategia de implementación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Fase 1 – Configuración inicial:Creación del proyecto en Android Studio, definición de paquetes (db, ui, util) y configuración del repositorio Git.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Fase 2 – Implementación de la base de datos SQLite:Definición de la clase DbHelper con la creación de las tablas (users, shipments, guides, trucks, collectors, pickups, route_assignments, tracking_events). Implementación de métodos para insertar, consultar, actualizar y eliminar registros.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Fase 3 – Funcionalidades de autenticación y gestión de usuarios:Desarrollo de pantallas de registro y login (RegisterActivity, LoginActivity).Validación de credenciales contra la tabla users.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Fase 4 – Funcionalidades de gestión de envíos y logística:Desarrollo de casos de uso principales (UC-001 a UC-006):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*Registrar encomienda.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*Consultar estado.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*Confirmar entrega.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*Generar guías de envío.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*Gestionar reparto de camiones.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*Actualizar estado de envíos.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Fase 5 – Seguridad y rendimiento:Validaciones de entrada en formularios, optimización de consultas a la BD local.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Fase 6 – Pruebas e inspecciones:Pruebas unitarias en DbHelper y lógica de negocio, pruebas instrumentadas de interfaz en Android (Espresso), y validación final del sistema.</w:t>
      </w:r>
    </w:p>
    <w:p w:rsidR="00000000" w:rsidDel="00000000" w:rsidP="00000000" w:rsidRDefault="00000000" w:rsidRPr="00000000" w14:paraId="00000035">
      <w:pPr>
        <w:pStyle w:val="Heading2"/>
        <w:rPr/>
      </w:pPr>
      <w:r w:rsidDel="00000000" w:rsidR="00000000" w:rsidRPr="00000000">
        <w:rPr>
          <w:rtl w:val="0"/>
        </w:rPr>
        <w:t xml:space="preserve">1.4 Revisiones e inspecciones de código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*Al ser un proyecto desarrollado por un solo integrante, se realizaron autorrevisiones periódicas del código en lugar de revisiones por pares.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*Se emplearon las herramientas de Android Studio, como Lint y el Inspector de Código,también se utilizo Chatgpt para identificar problemas de estilo, posibles fugas de memoria y malas prácticas.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*Los criterios de aceptación definidos fueron: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1.Código comentado y documentado con Javadoc.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2.Ejecución correcta de pruebas manuales sobre las funciones implementadas.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*Cumplimiento de los estándares de codificación establecidos (nombres, estructura de paquetes, validaciones en formularios, etc.).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*Los hallazgos detectados (advertencias del IDE o errores en pruebas) se corrigieron antes de avanzar a la siguiente fase, asegurando una mejora continua del proyecto.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0CLldUl8kVIc3wJKLEN2H5+VNw==">CgMxLjA4AHIhMXFmQkxUU3U2WDVDX3hSVkNaRDJpOXNMMFk3TDRHQXZG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