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t xml:space="preserve">1. </w:t>
      </w:r>
      <w:r>
        <w:rPr>
          <w:lang w:val="es-ES"/>
        </w:rPr>
        <w:drawing>
          <wp:inline distT="0" distB="0" distL="0" distR="0">
            <wp:extent cx="5210902" cy="80021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Se </w:t>
      </w:r>
      <w:bookmarkStart w:id="0" w:name="_GoBack"/>
      <w:bookmarkEnd w:id="0"/>
      <w:r>
        <w:rPr>
          <w:lang w:val="es-ES"/>
        </w:rPr>
        <w:t>imprime primero el constructor de la clase abstracta al crear el objeto de la subclase. Luego, el método abstracto se ejecuta porque fue implementado en la subclase, y el método normal se ejecuta porque fue heredado de la clase abstracta.</w:t>
      </w: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3CFC8-A625-44CF-BB9A-9848421E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2026-03-24T10:58:00Z</dcterms:created>
  <dcterms:modified xsi:type="dcterms:W3CDTF">2026-03-24T10:59:00Z</dcterms:modified>
</cp:coreProperties>
</file>