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€56.000 — Cofinanziamento EMSy (30%): €24.000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con schede video per inferenza LLM on-premise h24 (€10.000) e 2× display AR binoculare XREAL 1S per prototipazione interfaccia clinica in AR (€918).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  <w:tc>
          <w:tcPr/>
          <w:p>
            <w:pPr>
              <w:pStyle w:val="Compact"/>
            </w:pPr>
            <w:r>
              <w:t xml:space="preserve">Buffer variazioni costi Fase 1 (€1.395) + spese legali certificazioni (~€1.000), consulenza clinica esterna Dott. Carenzo (~€1.500), ricerca medica e test eventi (~€670) — Fase 2 (€3.170).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margine-di-riserva"/>
    <w:p>
      <w:pPr>
        <w:pStyle w:val="Heading2"/>
      </w:pPr>
      <w:r>
        <w:t xml:space="preserve">Dettaglio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— validazione clinica indipendente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on-premise h24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€3.000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€275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2026-06-14T09:39:19Z</dcterms:created>
  <dcterms:modified xsi:type="dcterms:W3CDTF">2026-06-14T09:39:19Z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