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piano-di-sviluppo-emsy-s.r.l."/>
    <w:p>
      <w:pPr>
        <w:pStyle w:val="Heading1"/>
      </w:pPr>
      <w:r>
        <w:t xml:space="preserve">Piano di Sviluppo — EMSy S.r.l.</w:t>
      </w:r>
    </w:p>
    <w:p>
      <w:pPr>
        <w:pStyle w:val="FirstParagraph"/>
      </w:pPr>
      <w:r>
        <w:rPr>
          <w:b/>
          <w:bCs/>
        </w:rPr>
        <w:t xml:space="preserve">Bando FESR DGR 575/2025 — Sostegno alle startup innovative — Valle d’Aosta</w:t>
      </w:r>
      <w:r>
        <w:t xml:space="preserve"> </w:t>
      </w:r>
      <w:r>
        <w:rPr>
          <w:b/>
          <w:bCs/>
        </w:rPr>
        <w:t xml:space="preserve">Durata:</w:t>
      </w:r>
      <w:r>
        <w:t xml:space="preserve"> </w:t>
      </w:r>
      <w:r>
        <w:t xml:space="preserve">18 mesi |</w:t>
      </w:r>
      <w:r>
        <w:t xml:space="preserve"> </w:t>
      </w:r>
      <w:r>
        <w:rPr>
          <w:b/>
          <w:bCs/>
        </w:rPr>
        <w:t xml:space="preserve">Budget totale:</w:t>
      </w:r>
      <w:r>
        <w:t xml:space="preserve"> </w:t>
      </w:r>
      <w:r>
        <w:t xml:space="preserve">€80.000 |</w:t>
      </w:r>
      <w:r>
        <w:t xml:space="preserve"> </w:t>
      </w:r>
      <w:r>
        <w:rPr>
          <w:b/>
          <w:bCs/>
        </w:rPr>
        <w:t xml:space="preserve">Contributo richiesto:</w:t>
      </w:r>
      <w:r>
        <w:t xml:space="preserve"> </w:t>
      </w:r>
      <w:r>
        <w:t xml:space="preserve">€52.800 (70%)</w:t>
      </w:r>
      <w:r>
        <w:t xml:space="preserve"> </w:t>
      </w:r>
      <w:r>
        <w:rPr>
          <w:i/>
          <w:iCs/>
        </w:rPr>
        <w:t xml:space="preserve">Aggiornato: giugno 2026</w:t>
      </w:r>
    </w:p>
    <w:p>
      <w:r>
        <w:pict>
          <v:rect style="width:0;height:1.5pt" o:hralign="center" o:hrstd="t" o:hr="t"/>
        </w:pict>
      </w:r>
    </w:p>
    <w:bookmarkStart w:id="9" w:name="sommario-esecutivo"/>
    <w:p>
      <w:pPr>
        <w:pStyle w:val="Heading2"/>
      </w:pPr>
      <w:r>
        <w:t xml:space="preserve">1. Sommario Esecutivo</w:t>
      </w:r>
    </w:p>
    <w:p>
      <w:pPr>
        <w:pStyle w:val="FirstParagraph"/>
      </w:pPr>
      <w:r>
        <w:rPr>
          <w:b/>
          <w:bCs/>
        </w:rPr>
        <w:t xml:space="preserve">Titolo del progetto:</w:t>
      </w:r>
      <w:r>
        <w:t xml:space="preserve"> </w:t>
      </w:r>
      <w:r>
        <w:t xml:space="preserve">Sistema AI multi-agente per il supporto informativo all’emergenza preospedaliera in ambiente montano</w:t>
      </w:r>
    </w:p>
    <w:p>
      <w:pPr>
        <w:pStyle w:val="BodyText"/>
      </w:pPr>
      <w:r>
        <w:rPr>
          <w:b/>
          <w:bCs/>
        </w:rPr>
        <w:t xml:space="preserve">Finalità:</w:t>
      </w:r>
      <w:r>
        <w:t xml:space="preserve"> </w:t>
      </w: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hands-free per l’operatività in scenario.</w:t>
      </w:r>
    </w:p>
    <w:p>
      <w:pPr>
        <w:pStyle w:val="BodyText"/>
      </w:pPr>
      <w:r>
        <w:t xml:space="preserve">Il Piano di sviluppo ha durata di 18 mesi e si articola in tre direttrici principali:</w:t>
      </w:r>
      <w:r>
        <w:t xml:space="preserve"> </w:t>
      </w:r>
      <w:r>
        <w:t xml:space="preserve">1. Sviluppo e validazione del sistema AI multi-agente (</w:t>
      </w:r>
      <w:r>
        <w:rPr>
          <w:i/>
          <w:iCs/>
        </w:rPr>
        <w:t xml:space="preserve">AI Data Expert</w:t>
      </w:r>
      <w:r>
        <w:t xml:space="preserve">) con moduli specializzati per letteratura scientifica, predizione clinica su dati reali, analisi di segnali biomedici e sintesi contestualizzata</w:t>
      </w:r>
      <w:r>
        <w:t xml:space="preserve"> </w:t>
      </w:r>
      <w:r>
        <w:t xml:space="preserve">2. Prototipazione esplorativa di interfaccia hands-free su dispositivo AR indossabile (RealWear Navigator 520) per l’operatività in scenario di soccorso</w:t>
      </w:r>
      <w:r>
        <w:t xml:space="preserve"> </w:t>
      </w:r>
      <w:r>
        <w:t xml:space="preserve">3. Attivazione operativa della piattaforma in contesti reali valdostani con partner contrattualmente impegnati (GTC® e TORX® 2027)</w:t>
      </w:r>
    </w:p>
    <w:p>
      <w:pPr>
        <w:pStyle w:val="BlockText"/>
      </w:pPr>
      <w:r>
        <w:rPr>
          <w:b/>
          <w:bCs/>
        </w:rPr>
        <w:t xml:space="preserve">⚠️ NOTA INTERNA:</w:t>
      </w:r>
      <w:r>
        <w:t xml:space="preserve"> </w:t>
      </w:r>
      <w:r>
        <w:t xml:space="preserve">Ipotesi di avvio progetto: dicembre 2026 (best case dopo approvazione bando). GTC® luglio 2027 = mese 8 del progetto (Fase 2). TORX® settembre 2027 = mese 10 (Fase 2). Verificare con VDA Trailers la disponibilità a mantenere il partenariato per le edizioni 2027.</w:t>
      </w:r>
    </w:p>
    <w:p>
      <w:pPr>
        <w:pStyle w:val="FirstParagraph"/>
      </w:pPr>
      <w:r>
        <w:t xml:space="preserve">Il progetto si inserisce nelle aree prioritarie della Smart Specialization Strategy (S3) regionale 2021-2027 e produce ricadute occupazionali, tecnologiche e sanitarie dirette sul territorio valdostano.</w:t>
      </w:r>
    </w:p>
    <w:p>
      <w:r>
        <w:pict>
          <v:rect style="width:0;height:1.5pt" o:hralign="center" o:hrstd="t" o:hr="t"/>
        </w:pict>
      </w:r>
    </w:p>
    <w:bookmarkEnd w:id="9"/>
    <w:bookmarkStart w:id="14" w:name="contesto-e-motivazione"/>
    <w:p>
      <w:pPr>
        <w:pStyle w:val="Heading2"/>
      </w:pPr>
      <w:r>
        <w:t xml:space="preserve">2. Contesto e Motivazione</w:t>
      </w:r>
    </w:p>
    <w:bookmarkStart w:id="10" w:name="il-problema-clinico"/>
    <w:p>
      <w:pPr>
        <w:pStyle w:val="Heading3"/>
      </w:pPr>
      <w:r>
        <w:t xml:space="preserve">2.1 Il problema clinico</w:t>
      </w:r>
    </w:p>
    <w:p>
      <w:pPr>
        <w:pStyle w:val="FirstParagraph"/>
      </w:pPr>
      <w:r>
        <w:t xml:space="preserve">L’operatore sanitario preospedaliero — medico del 118, infermiere di emergenza, soccorritore avanzato — opera in condizioni che nessun altro professionista sanitario affronta: ambiente remoto o ostile, stress decisionale estremo, tempi compressi, connettività instabile, spesso le mani occupate durante le manovre di soccorso.</w:t>
      </w:r>
    </w:p>
    <w:p>
      <w:pPr>
        <w:pStyle w:val="BodyText"/>
      </w:pPr>
      <w:r>
        <w:t xml:space="preserve">In questo contesto, l’accesso alla letteratura medica aggiornata, ai protocolli operativi e agli strumenti di calcolo clinico è di fatto impossibile con gli strumenti digitali convenzionali. La conseguenza è una dipendenza dalla memoria individuale dell’operatore, con variabilità nella qualità delle cure inversamente proporzionale all’esperienza del singolo.</w:t>
      </w:r>
    </w:p>
    <w:bookmarkEnd w:id="10"/>
    <w:bookmarkStart w:id="11" w:name="il-gap-nella-ricerca-clinica"/>
    <w:p>
      <w:pPr>
        <w:pStyle w:val="Heading3"/>
      </w:pPr>
      <w:r>
        <w:t xml:space="preserve">2.2 Il gap nella ricerca clinica</w:t>
      </w:r>
    </w:p>
    <w:p>
      <w:pPr>
        <w:pStyle w:val="FirstParagraph"/>
      </w:pPr>
      <w:r>
        <w:t xml:space="preserve">Sul fronte della ricerca, esiste un</w:t>
      </w:r>
      <w:r>
        <w:t xml:space="preserve"> </w:t>
      </w:r>
      <w:r>
        <w:rPr>
          <w:b/>
          <w:bCs/>
        </w:rPr>
        <w:t xml:space="preserve">gap specifico</w:t>
      </w:r>
      <w:r>
        <w:t xml:space="preserve">: non sono disponibili modelli predittivi ML (Machine Learning — sistemi che apprendono dai dati per fare previsioni) validati sul contesto preospedaliero medicalizzato europeo per scenari ad alta complessità come l’arresto cardiaco extraospedaliero (OHCA — Out-of-Hospital Cardiac Arrest, arresto cardiaco fuori dall’ospedale). I modelli predittivi esistenti non sono sviluppati né calibrati per il sistema EMS italiano.</w:t>
      </w:r>
    </w:p>
    <w:p>
      <w:pPr>
        <w:pStyle w:val="BlockText"/>
      </w:pPr>
      <w:r>
        <w:rPr>
          <w:b/>
          <w:bCs/>
        </w:rPr>
        <w:t xml:space="preserve">⚠️ NOTA INTERNA:</w:t>
      </w:r>
      <w:r>
        <w:t xml:space="preserve"> </w:t>
      </w:r>
      <w:r>
        <w:t xml:space="preserve">Valutare se aggiungere un glossario dei termini tecnici in appendice o spiegare i termini inline come fatto qui. Decidere con Simon/Damiano l’approccio uniforme per tutto il documento.</w:t>
      </w:r>
    </w:p>
    <w:p>
      <w:pPr>
        <w:pStyle w:val="FirstParagraph"/>
      </w:pPr>
      <w:r>
        <w:t xml:space="preserve">EMSy colma questo gap sviluppando un modello ML preospedaliero-only validato su dati del sistema 118 italiano, con piena aderenza allo standard Utstein.</w:t>
      </w:r>
    </w:p>
    <w:bookmarkEnd w:id="11"/>
    <w:bookmarkStart w:id="12" w:name="il-gap-tecnologico-nelle-interfacce"/>
    <w:p>
      <w:pPr>
        <w:pStyle w:val="Heading3"/>
      </w:pPr>
      <w:r>
        <w:t xml:space="preserve">2.3 Il gap tecnologico nelle interfacce</w:t>
      </w:r>
    </w:p>
    <w:p>
      <w:pPr>
        <w:pStyle w:val="FirstParagraph"/>
      </w:pPr>
      <w:r>
        <w:t xml:space="preserve">Le interfacce digitali esistenti per il soccorso sono progettate per ambienti controllati. Nessuna piattaforma AI per la medicina d’emergenza offre oggi un’interfaccia operativa in realtà aumentata, hands-free, utilizzabile durante le manovre di rianimazione cardiopolmonare o di gestione del trauma. EMSy introduce questo paradigma tramite la prototipazione su RealWear Navigator 520.</w:t>
      </w:r>
    </w:p>
    <w:p>
      <w:pPr>
        <w:pStyle w:val="BlockText"/>
      </w:pPr>
      <w:r>
        <w:rPr>
          <w:b/>
          <w:bCs/>
        </w:rPr>
        <w:t xml:space="preserve">⚠️ NOTA INTERNA:</w:t>
      </w:r>
      <w:r>
        <w:t xml:space="preserve"> </w:t>
      </w:r>
      <w:r>
        <w:t xml:space="preserve">Verificare con Simon se il dispositivo AR che intende proporre è il RealWear Navigator 520 o un modello equivalente/superiore. Il dispositivo utilizzato nel Piano deve avere almeno le stesse caratteristiche: certificazione IP66, controllo vocale in ambienti rumorosi, display heads-up non ostruttivo.</w:t>
      </w:r>
    </w:p>
    <w:bookmarkEnd w:id="12"/>
    <w:bookmarkStart w:id="13" w:name="la-risposta-di-emsy"/>
    <w:p>
      <w:pPr>
        <w:pStyle w:val="Heading3"/>
      </w:pPr>
      <w:r>
        <w:t xml:space="preserve">2.4 La risposta di EMSy</w:t>
      </w:r>
    </w:p>
    <w:p>
      <w:pPr>
        <w:pStyle w:val="FirstParagraph"/>
      </w:pPr>
      <w:r>
        <w:t xml:space="preserve">EMSy è già in produzione con oltre 400 utenti registrati in più di 50 paesi e più di 1.000 consultazioni giornaliere. Il presente Piano di sviluppo rappresenta il salto evolutivo dalla piattaforma informativa esistente a un sistema AI predittivo e multi-modale, radicato nel contesto operativo valdostano.</w:t>
      </w:r>
    </w:p>
    <w:p>
      <w:pPr>
        <w:pStyle w:val="BlockText"/>
      </w:pPr>
      <w:r>
        <w:rPr>
          <w:b/>
          <w:bCs/>
        </w:rPr>
        <w:t xml:space="preserve">⚠️ NOTA INTERNA:</w:t>
      </w:r>
      <w:r>
        <w:t xml:space="preserve"> </w:t>
      </w:r>
      <w:r>
        <w:t xml:space="preserve">Dati da verificare con Simon prima della presentazione: utenti registrati, numero paesi, consultazioni giornaliere. Usare solo numeri confermati e aggiornati.</w:t>
      </w:r>
    </w:p>
    <w:p>
      <w:r>
        <w:pict>
          <v:rect style="width:0;height:1.5pt" o:hralign="center" o:hrstd="t" o:hr="t"/>
        </w:pict>
      </w:r>
    </w:p>
    <w:bookmarkEnd w:id="13"/>
    <w:bookmarkEnd w:id="14"/>
    <w:bookmarkStart w:id="17" w:name="obiettivi-del-piano"/>
    <w:p>
      <w:pPr>
        <w:pStyle w:val="Heading2"/>
      </w:pPr>
      <w:r>
        <w:t xml:space="preserve">3. Obiettivi del Piano</w:t>
      </w:r>
    </w:p>
    <w:bookmarkStart w:id="15" w:name="obiettivo-generale"/>
    <w:p>
      <w:pPr>
        <w:pStyle w:val="Heading3"/>
      </w:pPr>
      <w:r>
        <w:t xml:space="preserve">Obiettivo generale</w:t>
      </w:r>
    </w:p>
    <w:p>
      <w:pPr>
        <w:pStyle w:val="FirstParagraph"/>
      </w:pP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hands-free per l’operatività in scenario.</w:t>
      </w:r>
    </w:p>
    <w:bookmarkEnd w:id="15"/>
    <w:bookmarkStart w:id="16" w:name="obiettivi-specifici"/>
    <w:p>
      <w:pPr>
        <w:pStyle w:val="Heading3"/>
      </w:pPr>
      <w:r>
        <w:t xml:space="preserve">Obiettivi specifici</w:t>
      </w:r>
    </w:p>
    <w:tbl>
      <w:tblPr>
        <w:tblStyle w:val="Table"/>
        <w:tblW w:type="pct" w:w="5000"/>
        <w:tblLayout w:type="fixed"/>
        <w:tblLook w:firstRow="1" w:lastRow="0" w:firstColumn="0" w:lastColumn="0" w:noHBand="0" w:noVBand="0" w:val="0020"/>
      </w:tblPr>
      <w:tblGrid>
        <w:gridCol w:w="540"/>
        <w:gridCol w:w="1980"/>
        <w:gridCol w:w="1080"/>
        <w:gridCol w:w="4320"/>
      </w:tblGrid>
      <w:tr>
        <w:trPr>
          <w:tblHeader w:val="on"/>
        </w:trPr>
        <w:tc>
          <w:tcPr/>
          <w:p>
            <w:pPr>
              <w:pStyle w:val="Compact"/>
            </w:pPr>
            <w:r>
              <w:t xml:space="preserve">#</w:t>
            </w:r>
          </w:p>
        </w:tc>
        <w:tc>
          <w:tcPr/>
          <w:p>
            <w:pPr>
              <w:pStyle w:val="Compact"/>
            </w:pPr>
            <w:r>
              <w:t xml:space="preserve">Obiettivo</w:t>
            </w:r>
          </w:p>
        </w:tc>
        <w:tc>
          <w:tcPr/>
          <w:p>
            <w:pPr>
              <w:pStyle w:val="Compact"/>
            </w:pPr>
            <w:r>
              <w:t xml:space="preserve">Fase</w:t>
            </w:r>
          </w:p>
        </w:tc>
        <w:tc>
          <w:tcPr/>
          <w:p>
            <w:pPr>
              <w:pStyle w:val="Compact"/>
            </w:pPr>
            <w:r>
              <w:t xml:space="preserve">Indicatore di risultato</w:t>
            </w:r>
          </w:p>
        </w:tc>
      </w:tr>
      <w:tr>
        <w:tc>
          <w:tcPr/>
          <w:p>
            <w:pPr>
              <w:pStyle w:val="Compact"/>
            </w:pPr>
            <w:r>
              <w:t xml:space="preserve">OS1</w:t>
            </w:r>
          </w:p>
        </w:tc>
        <w:tc>
          <w:tcPr/>
          <w:p>
            <w:pPr>
              <w:pStyle w:val="Compact"/>
            </w:pPr>
            <w:r>
              <w:t xml:space="preserve">Sviluppare il modulo ML predittivo OHCA (Modulo predittivo)</w:t>
            </w:r>
          </w:p>
        </w:tc>
        <w:tc>
          <w:tcPr/>
          <w:p>
            <w:pPr>
              <w:pStyle w:val="Compact"/>
            </w:pPr>
            <w:r>
              <w:t xml:space="preserve">Fase 1</w:t>
            </w:r>
          </w:p>
        </w:tc>
        <w:tc>
          <w:tcPr/>
          <w:p>
            <w:pPr>
              <w:pStyle w:val="Compact"/>
            </w:pPr>
            <w:r>
              <w:t xml:space="preserve">AUC ≥ 0.75 su validation set ROC Epistry v3</w:t>
            </w:r>
          </w:p>
        </w:tc>
      </w:tr>
      <w:tr>
        <w:tc>
          <w:tcPr/>
          <w:p>
            <w:pPr>
              <w:pStyle w:val="Compact"/>
            </w:pPr>
            <w:r>
              <w:t xml:space="preserve">OS2</w:t>
            </w:r>
          </w:p>
        </w:tc>
        <w:tc>
          <w:tcPr/>
          <w:p>
            <w:pPr>
              <w:pStyle w:val="Compact"/>
            </w:pPr>
            <w:r>
              <w:t xml:space="preserve">Attivare EMSy Events su eventi VDA 2027</w:t>
            </w:r>
          </w:p>
        </w:tc>
        <w:tc>
          <w:tcPr/>
          <w:p>
            <w:pPr>
              <w:pStyle w:val="Compact"/>
            </w:pPr>
            <w:r>
              <w:t xml:space="preserve">Fase 2</w:t>
            </w:r>
          </w:p>
        </w:tc>
        <w:tc>
          <w:tcPr/>
          <w:p>
            <w:pPr>
              <w:pStyle w:val="Compact"/>
            </w:pPr>
            <w:r>
              <w:t xml:space="preserve">Sistema attivo su GTC® e TORX® 2027, ≥500 atleti gestiti</w:t>
            </w:r>
          </w:p>
        </w:tc>
      </w:tr>
      <w:tr>
        <w:tc>
          <w:tcPr/>
          <w:p>
            <w:pPr>
              <w:pStyle w:val="Compact"/>
            </w:pPr>
            <w:r>
              <w:t xml:space="preserve">OS3</w:t>
            </w:r>
          </w:p>
        </w:tc>
        <w:tc>
          <w:tcPr/>
          <w:p>
            <w:pPr>
              <w:pStyle w:val="Compact"/>
            </w:pPr>
            <w:r>
              <w:t xml:space="preserve">Rilasciare app mobile su App Store e Google Play</w:t>
            </w:r>
          </w:p>
        </w:tc>
        <w:tc>
          <w:tcPr/>
          <w:p>
            <w:pPr>
              <w:pStyle w:val="Compact"/>
            </w:pPr>
            <w:r>
              <w:t xml:space="preserve">Fase 1</w:t>
            </w:r>
          </w:p>
        </w:tc>
        <w:tc>
          <w:tcPr/>
          <w:p>
            <w:pPr>
              <w:pStyle w:val="Compact"/>
            </w:pPr>
            <w:r>
              <w:t xml:space="preserve">App live su entrambi gli store</w:t>
            </w:r>
          </w:p>
        </w:tc>
      </w:tr>
      <w:tr>
        <w:tc>
          <w:tcPr/>
          <w:p>
            <w:pPr>
              <w:pStyle w:val="Compact"/>
            </w:pPr>
            <w:r>
              <w:t xml:space="preserve">OS4</w:t>
            </w:r>
          </w:p>
        </w:tc>
        <w:tc>
          <w:tcPr/>
          <w:p>
            <w:pPr>
              <w:pStyle w:val="Compact"/>
            </w:pPr>
            <w:r>
              <w:t xml:space="preserve">Integrare i 4 moduli AI in architettura unificata LangGraph</w:t>
            </w:r>
          </w:p>
        </w:tc>
        <w:tc>
          <w:tcPr/>
          <w:p>
            <w:pPr>
              <w:pStyle w:val="Compact"/>
            </w:pPr>
            <w:r>
              <w:t xml:space="preserve">Fase 2</w:t>
            </w:r>
          </w:p>
        </w:tc>
        <w:tc>
          <w:tcPr/>
          <w:p>
            <w:pPr>
              <w:pStyle w:val="Compact"/>
            </w:pPr>
            <w:r>
              <w:t xml:space="preserve">Sistema end-to-end testato su ≥100 casi clinici reali</w:t>
            </w:r>
          </w:p>
        </w:tc>
      </w:tr>
    </w:tbl>
    <w:p>
      <w:pPr>
        <w:pStyle w:val="BlockText"/>
      </w:pPr>
      <w:r>
        <w:rPr>
          <w:b/>
          <w:bCs/>
        </w:rPr>
        <w:t xml:space="preserve">⚠️ NOTA INTERNA — OS2:</w:t>
      </w:r>
      <w:r>
        <w:t xml:space="preserve"> </w:t>
      </w:r>
      <w:r>
        <w:t xml:space="preserve">Verificare con VDA Trailers disponibilità a confermare partenariato per edizioni GTC® e TORX® 2027. Soglia ≥500 atleti: verificare con Damiano la fattibilità in base ai piani sanitari degli eventi 2027.</w:t>
      </w:r>
      <w:r>
        <w:t xml:space="preserve"> </w:t>
      </w:r>
      <w:r>
        <w:rPr>
          <w:b/>
          <w:bCs/>
        </w:rPr>
        <w:t xml:space="preserve">⚠️ NOTA INTERNA — OS3:</w:t>
      </w:r>
      <w:r>
        <w:t xml:space="preserve"> </w:t>
      </w:r>
      <w:r>
        <w:t xml:space="preserve">Verificare con Simon lo stato attuale della submission App Store e se l’app è già presente sugli store o da pubblicare ex novo.</w:t>
      </w:r>
      <w:r>
        <w:t xml:space="preserve"> </w:t>
      </w:r>
      <w:r>
        <w:rPr>
          <w:b/>
          <w:bCs/>
        </w:rPr>
        <w:t xml:space="preserve">⚠️ NOTA INTERNA — OS4:</w:t>
      </w:r>
      <w:r>
        <w:t xml:space="preserve"> </w:t>
      </w:r>
      <w:r>
        <w:t xml:space="preserve">Soglia ≥100 casi clinici reali: verificare con Damiano la disponibilità di dataset sufficienti per i test di validazione entro Fase 2.</w:t>
      </w:r>
      <w:r>
        <w:t xml:space="preserve"> </w:t>
      </w:r>
      <w:r>
        <w:t xml:space="preserve">| OS5 | Validare il modello OHCA su dati 118 italiani | Fase 2 | AUC validato su dataset europeo, report clinico prodotto |</w:t>
      </w:r>
      <w:r>
        <w:t xml:space="preserve"> </w:t>
      </w:r>
      <w:r>
        <w:t xml:space="preserve">| OS6 | Prototipare interfaccia AR hands-free su RealWear | Fase 2 | Prototipo funzionante con navigazione vocale su RealWear Navigator 520 |</w:t>
      </w:r>
      <w:r>
        <w:t xml:space="preserve"> </w:t>
      </w:r>
      <w:r>
        <w:t xml:space="preserve">| OS7 | Completare assessment tecnologico esterno | Fase 2 | Report di assessment consegnato entro mese 12 |</w:t>
      </w:r>
      <w:r>
        <w:t xml:space="preserve"> </w:t>
      </w:r>
      <w:r>
        <w:t xml:space="preserve">| OS8 | Certificare compliance GDPR del sistema PII | Fase 2 | Fascicolo documentale validato da consulente specializzato |</w:t>
      </w:r>
    </w:p>
    <w:p>
      <w:r>
        <w:pict>
          <v:rect style="width:0;height:1.5pt" o:hralign="center" o:hrstd="t" o:hr="t"/>
        </w:pict>
      </w:r>
    </w:p>
    <w:bookmarkEnd w:id="16"/>
    <w:bookmarkEnd w:id="17"/>
    <w:bookmarkStart w:id="21" w:name="architettura-tecnica-del-sistema"/>
    <w:p>
      <w:pPr>
        <w:pStyle w:val="Heading2"/>
      </w:pPr>
      <w:r>
        <w:t xml:space="preserve">4. Architettura Tecnica del Sistema</w:t>
      </w:r>
    </w:p>
    <w:bookmarkStart w:id="18" w:name="Xc59e8f711d09855ecf025ea43796a721d130646"/>
    <w:p>
      <w:pPr>
        <w:pStyle w:val="Heading3"/>
      </w:pPr>
      <w:r>
        <w:t xml:space="preserve">4.1 AI Data Expert — Sistema multi-intelligenza a 4 moduli</w:t>
      </w:r>
    </w:p>
    <w:p>
      <w:pPr>
        <w:pStyle w:val="FirstParagraph"/>
      </w:pPr>
      <w:r>
        <w:t xml:space="preserve">Il cuore del Piano di sviluppo è l’</w:t>
      </w:r>
      <w:r>
        <w:rPr>
          <w:i/>
          <w:iCs/>
        </w:rPr>
        <w:t xml:space="preserve">AI Data Expert</w:t>
      </w:r>
      <w:r>
        <w:t xml:space="preserve">, un sistema che integra quattro moduli AI specializzati orchestrati dal framework LangGraph (sistema software che coordina più agenti AI in sequenza logica, come un direttore d’orchestra). L’orchestratore analizza la domanda del clinico e attiva i moduli pertinenti, restituendo una risposta sintetica e contestualizzata.</w:t>
      </w:r>
    </w:p>
    <w:p>
      <w:pPr>
        <w:pStyle w:val="BlockText"/>
      </w:pPr>
      <w:r>
        <w:rPr>
          <w:b/>
          <w:bCs/>
        </w:rPr>
        <w:t xml:space="preserve">⚠️ NOTA INTERNA:</w:t>
      </w:r>
      <w:r>
        <w:t xml:space="preserve"> </w:t>
      </w:r>
      <w:r>
        <w:t xml:space="preserve">Valutare se aggiungere un glossario in appendice per i termini tecnici ricorrenti (LangGraph, RAG, ML, OHCA, AUC, SHAP, ecc.) oppure spiegarli tutti inline. Decisione da prendere con Simon prima della versione finale.</w:t>
      </w:r>
    </w:p>
    <w:p>
      <w:pPr>
        <w:pStyle w:val="SourceCode"/>
      </w:pPr>
      <w:r>
        <w:rPr>
          <w:rStyle w:val="VerbatimChar"/>
        </w:rPr>
        <w:t xml:space="preserve">                    OPERATORE SANITARIO</w:t>
      </w:r>
      <w:r>
        <w:br/>
      </w:r>
      <w:r>
        <w:rPr>
          <w:rStyle w:val="VerbatimChar"/>
        </w:rPr>
        <w:t xml:space="preserve">                    (medico 118, ricercatore)</w:t>
      </w:r>
      <w:r>
        <w:br/>
      </w:r>
      <w:r>
        <w:rPr>
          <w:rStyle w:val="VerbatimChar"/>
        </w:rPr>
        <w:t xml:space="preserve">                              |</w:t>
      </w:r>
      <w:r>
        <w:br/>
      </w:r>
      <w:r>
        <w:rPr>
          <w:rStyle w:val="VerbatimChar"/>
        </w:rPr>
        <w:t xml:space="preserve">                   [LangGraph Orchestrator]</w:t>
      </w:r>
      <w:r>
        <w:br/>
      </w:r>
      <w:r>
        <w:rPr>
          <w:rStyle w:val="VerbatimChar"/>
        </w:rPr>
        <w:t xml:space="preserve">                    Analizza la domanda e</w:t>
      </w:r>
      <w:r>
        <w:br/>
      </w:r>
      <w:r>
        <w:rPr>
          <w:rStyle w:val="VerbatimChar"/>
        </w:rPr>
        <w:t xml:space="preserve">                    attiva i moduli pertinenti</w:t>
      </w:r>
      <w:r>
        <w:br/>
      </w:r>
      <w:r>
        <w:rPr>
          <w:rStyle w:val="VerbatimChar"/>
        </w:rPr>
        <w:t xml:space="preserve">                   /          |          \</w:t>
      </w:r>
      <w:r>
        <w:br/>
      </w:r>
      <w:r>
        <w:rPr>
          <w:rStyle w:val="VerbatimChar"/>
        </w:rPr>
        <w:t xml:space="preserve">                  /           |           \</w:t>
      </w:r>
      <w:r>
        <w:br/>
      </w:r>
      <w:r>
        <w:rPr>
          <w:rStyle w:val="VerbatimChar"/>
        </w:rPr>
        <w:t xml:space="preserve">          MODULO 1        MODULO 2      MODULO 3</w:t>
      </w:r>
      <w:r>
        <w:br/>
      </w:r>
      <w:r>
        <w:rPr>
          <w:rStyle w:val="VerbatimChar"/>
        </w:rPr>
        <w:t xml:space="preserve">          LLM + RAG       ML classico   Deep Learning</w:t>
      </w:r>
      <w:r>
        <w:br/>
      </w:r>
      <w:r>
        <w:rPr>
          <w:rStyle w:val="VerbatimChar"/>
        </w:rPr>
        <w:t xml:space="preserve">          Letteratura     Dati OHCA     Segnali ECG/EEG</w:t>
      </w:r>
      <w:r>
        <w:br/>
      </w:r>
      <w:r>
        <w:rPr>
          <w:rStyle w:val="VerbatimChar"/>
        </w:rPr>
        <w:t xml:space="preserve">          scientifica     tabulari</w:t>
      </w:r>
      <w:r>
        <w:br/>
      </w:r>
      <w:r>
        <w:rPr>
          <w:rStyle w:val="VerbatimChar"/>
        </w:rPr>
        <w:t xml:space="preserve">                  \           |           /</w:t>
      </w:r>
      <w:r>
        <w:br/>
      </w:r>
      <w:r>
        <w:rPr>
          <w:rStyle w:val="VerbatimChar"/>
        </w:rPr>
        <w:t xml:space="preserve">                   \          |          /</w:t>
      </w:r>
      <w:r>
        <w:br/>
      </w:r>
      <w:r>
        <w:rPr>
          <w:rStyle w:val="VerbatimChar"/>
        </w:rPr>
        <w:t xml:space="preserve">                   [MODULO 4 — LLM Reasoning]</w:t>
      </w:r>
      <w:r>
        <w:br/>
      </w:r>
      <w:r>
        <w:rPr>
          <w:rStyle w:val="VerbatimChar"/>
        </w:rPr>
        <w:t xml:space="preserve">                    Sintesi clinica contestualizzata</w:t>
      </w:r>
      <w:r>
        <w:br/>
      </w:r>
      <w:r>
        <w:rPr>
          <w:rStyle w:val="VerbatimChar"/>
        </w:rPr>
        <w:t xml:space="preserve">                    in linguaggio naturale</w:t>
      </w:r>
    </w:p>
    <w:p>
      <w:pPr>
        <w:pStyle w:val="FirstParagraph"/>
      </w:pPr>
      <w:r>
        <w:rPr>
          <w:b/>
          <w:bCs/>
        </w:rPr>
        <w:t xml:space="preserve">Modulo 1 — LLM + RAG</w:t>
      </w:r>
      <w:r>
        <w:t xml:space="preserve"> </w:t>
      </w:r>
      <w:r>
        <w:rPr>
          <w:i/>
          <w:iCs/>
        </w:rPr>
        <w:t xml:space="preserve">(già attivo, da potenziare)</w:t>
      </w:r>
      <w:r>
        <w:t xml:space="preserve"> </w:t>
      </w:r>
      <w:r>
        <w:t xml:space="preserve">LLM (Large Language Model — modello AI che comprende e genera testo in linguaggio naturale) + RAG (Retrieval-Augmented Generation — sistema che recupera informazioni da una base documentale prima di rispondere, garantendo risposte basate su fonti verificate). Ricerca semantica su base di conoscenza medica specializzata: linee guida ERC/ILCOR/AHA, protocolli 118, farmaci EMA/FDA, letteratura PubMed. Vector database Pinecone, routing multi-modello via OpenRouter (Anthropic Claude, Google Gemini, Meta Llama).</w:t>
      </w:r>
    </w:p>
    <w:p>
      <w:pPr>
        <w:pStyle w:val="BodyText"/>
      </w:pPr>
      <w:r>
        <w:rPr>
          <w:b/>
          <w:bCs/>
        </w:rPr>
        <w:t xml:space="preserve">Modulo 2 — ML su dati strutturati</w:t>
      </w:r>
      <w:r>
        <w:t xml:space="preserve"> </w:t>
      </w:r>
      <w:r>
        <w:rPr>
          <w:i/>
          <w:iCs/>
        </w:rPr>
        <w:t xml:space="preserve">(sviluppo Fase 1 — priorità principale)</w:t>
      </w:r>
      <w:r>
        <w:t xml:space="preserve"> </w:t>
      </w:r>
      <w:r>
        <w:t xml:space="preserve">Modello predittivo XGBoost/Random Forest addestrato su dati tabulari OHCA secondo standard Utstein. Dataset primario: ROC Epistry v3 (120.000 casi, BioLINCC). Servito da microservizio Python FastAPI. SHAP values obbligatori per ogni predizione (explainability clinica).</w:t>
      </w:r>
    </w:p>
    <w:p>
      <w:pPr>
        <w:pStyle w:val="BodyText"/>
      </w:pPr>
      <w:r>
        <w:rPr>
          <w:b/>
          <w:bCs/>
        </w:rPr>
        <w:t xml:space="preserve">Modulo 3 — Deep Learning su segnali</w:t>
      </w:r>
      <w:r>
        <w:t xml:space="preserve"> </w:t>
      </w:r>
      <w:r>
        <w:rPr>
          <w:i/>
          <w:iCs/>
        </w:rPr>
        <w:t xml:space="preserve">(sviluppo Fase 2)</w:t>
      </w:r>
      <w:r>
        <w:t xml:space="preserve"> </w:t>
      </w:r>
      <w:r>
        <w:t xml:space="preserve">Analisi di segnali biomedici grezzi: ECG waveform per predizione efficacia defibrillazione, EEG post-ROSC per predizione esito neurologico. Framework PyTorch, compute su crediti NVIDIA/AWS già ricevuti.</w:t>
      </w:r>
    </w:p>
    <w:p>
      <w:pPr>
        <w:pStyle w:val="BodyText"/>
      </w:pPr>
      <w:r>
        <w:rPr>
          <w:b/>
          <w:bCs/>
        </w:rPr>
        <w:t xml:space="preserve">Modulo 4 — LLM Reasoning</w:t>
      </w:r>
      <w:r>
        <w:t xml:space="preserve"> </w:t>
      </w:r>
      <w:r>
        <w:rPr>
          <w:i/>
          <w:iCs/>
        </w:rPr>
        <w:t xml:space="preserve">(integrazione Fase 2)</w:t>
      </w:r>
      <w:r>
        <w:t xml:space="preserve"> </w:t>
      </w:r>
      <w:r>
        <w:t xml:space="preserve">Modulo di sintesi: riceve gli output dei Moduli 1-3 e genera una risposta clinica unica, contestualizzata e azionabile. Parzialmente presente nell’architettura attuale, da completare e integrare.</w:t>
      </w:r>
    </w:p>
    <w:bookmarkEnd w:id="18"/>
    <w:bookmarkStart w:id="19" w:name="X48f68bbb9b54b842910dff5d5e348a3cfb67a2c"/>
    <w:p>
      <w:pPr>
        <w:pStyle w:val="Heading3"/>
      </w:pPr>
      <w:r>
        <w:t xml:space="preserve">4.2 Interfaccia AR hands-free — RealWear Navigator 520</w:t>
      </w:r>
    </w:p>
    <w:p>
      <w:pPr>
        <w:pStyle w:val="FirstParagraph"/>
      </w:pPr>
      <w:r>
        <w:t xml:space="preserve">Il RealWear Navigator 520 è un dispositivo di realtà aumentata indossabile progettato per operatori in ambienti difficili: è certificato IP66 (impermeabile, resistente a polvere), funziona a comandi vocali in ambienti rumorosi, e monta un display davanti all’occhio che non ostruisce la visuale.</w:t>
      </w:r>
    </w:p>
    <w:p>
      <w:pPr>
        <w:pStyle w:val="BodyText"/>
      </w:pPr>
      <w:r>
        <w:t xml:space="preserve">Per il contesto del soccorso preospedaliero:</w:t>
      </w:r>
      <w:r>
        <w:t xml:space="preserve"> </w:t>
      </w:r>
      <w:r>
        <w:t xml:space="preserve">- L’operatore indossa il dispositivo durante l’intervento</w:t>
      </w:r>
      <w:r>
        <w:t xml:space="preserve"> </w:t>
      </w:r>
      <w:r>
        <w:t xml:space="preserve">- Tramite comandi vocali accede alle funzionalità di EMSy</w:t>
      </w:r>
      <w:r>
        <w:t xml:space="preserve"> </w:t>
      </w:r>
      <w:r>
        <w:t xml:space="preserve">- Il display mostra dosaggi, score clinici e risposte dell’AI senza interrompere le manovre</w:t>
      </w:r>
    </w:p>
    <w:p>
      <w:pPr>
        <w:pStyle w:val="BodyText"/>
      </w:pPr>
      <w:r>
        <w:t xml:space="preserve">Il Piano di sviluppo prevede la prototipazione dell’interfaccia EMSy ottimizzata per RealWear: schermo ridotto, navigazione vocale, UX semplificata per condizioni di stress, integrazione con l’AI Assistant tramite SDK RealWear.</w:t>
      </w:r>
    </w:p>
    <w:p>
      <w:pPr>
        <w:pStyle w:val="BlockText"/>
      </w:pPr>
      <w:r>
        <w:rPr>
          <w:b/>
          <w:bCs/>
        </w:rPr>
        <w:t xml:space="preserve">⚠️ NOTA INTERNA:</w:t>
      </w:r>
      <w:r>
        <w:t xml:space="preserve"> </w:t>
      </w:r>
      <w:r>
        <w:t xml:space="preserve">Verificare con Simon se il dispositivo scelto è confermato come RealWear Navigator 520 o se propone un modello alternativo/equivalente. Il dispositivo deve avere: certificazione IP66, controllo vocale in ambienti rumorosi, display heads-up non ostruttivo. Se cambia modello, aggiornare nome e prezzo nel budget (€1.800 attualmente previsto).</w:t>
      </w:r>
    </w:p>
    <w:bookmarkEnd w:id="19"/>
    <w:bookmarkStart w:id="20" w:name="stack-tecnologico"/>
    <w:p>
      <w:pPr>
        <w:pStyle w:val="Heading3"/>
      </w:pPr>
      <w:r>
        <w:t xml:space="preserve">4.3 Stack tecnologico</w:t>
      </w:r>
    </w:p>
    <w:tbl>
      <w:tblPr>
        <w:tblStyle w:val="Table"/>
        <w:tblW w:type="pct" w:w="5000"/>
        <w:tblLayout w:type="fixed"/>
        <w:tblLook w:firstRow="1" w:lastRow="0" w:firstColumn="0" w:lastColumn="0" w:noHBand="0" w:noVBand="0" w:val="0020"/>
      </w:tblPr>
      <w:tblGrid>
        <w:gridCol w:w="2217"/>
        <w:gridCol w:w="3484"/>
        <w:gridCol w:w="2217"/>
      </w:tblGrid>
      <w:tr>
        <w:trPr>
          <w:tblHeader w:val="on"/>
        </w:trPr>
        <w:tc>
          <w:tcPr/>
          <w:p>
            <w:pPr>
              <w:pStyle w:val="Compact"/>
            </w:pPr>
            <w:r>
              <w:t xml:space="preserve">Layer</w:t>
            </w:r>
          </w:p>
        </w:tc>
        <w:tc>
          <w:tcPr/>
          <w:p>
            <w:pPr>
              <w:pStyle w:val="Compact"/>
            </w:pPr>
            <w:r>
              <w:t xml:space="preserve">Tecnologia</w:t>
            </w:r>
          </w:p>
        </w:tc>
        <w:tc>
          <w:tcPr/>
          <w:p>
            <w:pPr>
              <w:pStyle w:val="Compact"/>
            </w:pPr>
            <w:r>
              <w:t xml:space="preserve">Stato</w:t>
            </w:r>
          </w:p>
        </w:tc>
      </w:tr>
      <w:tr>
        <w:tc>
          <w:tcPr/>
          <w:p>
            <w:pPr>
              <w:pStyle w:val="Compact"/>
            </w:pPr>
            <w:r>
              <w:t xml:space="preserve">Frontend web</w:t>
            </w:r>
          </w:p>
        </w:tc>
        <w:tc>
          <w:tcPr/>
          <w:p>
            <w:pPr>
              <w:pStyle w:val="Compact"/>
            </w:pPr>
            <w:r>
              <w:t xml:space="preserve">Next.js 15 + TypeScript</w:t>
            </w:r>
          </w:p>
        </w:tc>
        <w:tc>
          <w:tcPr/>
          <w:p>
            <w:pPr>
              <w:pStyle w:val="Compact"/>
            </w:pPr>
            <w:r>
              <w:t xml:space="preserve">In produzione</w:t>
            </w:r>
          </w:p>
        </w:tc>
      </w:tr>
      <w:tr>
        <w:tc>
          <w:tcPr/>
          <w:p>
            <w:pPr>
              <w:pStyle w:val="Compact"/>
            </w:pPr>
            <w:r>
              <w:t xml:space="preserve">Backend API</w:t>
            </w:r>
          </w:p>
        </w:tc>
        <w:tc>
          <w:tcPr/>
          <w:p>
            <w:pPr>
              <w:pStyle w:val="Compact"/>
            </w:pPr>
            <w:r>
              <w:t xml:space="preserve">Next.js API Routes + Python FastAPI</w:t>
            </w:r>
          </w:p>
        </w:tc>
        <w:tc>
          <w:tcPr/>
          <w:p>
            <w:pPr>
              <w:pStyle w:val="Compact"/>
            </w:pPr>
            <w:r>
              <w:t xml:space="preserve">In produzione + da sviluppare</w:t>
            </w:r>
          </w:p>
        </w:tc>
      </w:tr>
      <w:tr>
        <w:tc>
          <w:tcPr/>
          <w:p>
            <w:pPr>
              <w:pStyle w:val="Compact"/>
            </w:pPr>
            <w:r>
              <w:t xml:space="preserve">Database</w:t>
            </w:r>
          </w:p>
        </w:tc>
        <w:tc>
          <w:tcPr/>
          <w:p>
            <w:pPr>
              <w:pStyle w:val="Compact"/>
            </w:pPr>
            <w:r>
              <w:t xml:space="preserve">PostgreSQL + Prisma (Neon hosted)</w:t>
            </w:r>
          </w:p>
        </w:tc>
        <w:tc>
          <w:tcPr/>
          <w:p>
            <w:pPr>
              <w:pStyle w:val="Compact"/>
            </w:pPr>
            <w:r>
              <w:t xml:space="preserve">In produzione</w:t>
            </w:r>
          </w:p>
        </w:tc>
      </w:tr>
      <w:tr>
        <w:tc>
          <w:tcPr/>
          <w:p>
            <w:pPr>
              <w:pStyle w:val="Compact"/>
            </w:pPr>
            <w:r>
              <w:t xml:space="preserve">Vector DB</w:t>
            </w:r>
          </w:p>
        </w:tc>
        <w:tc>
          <w:tcPr/>
          <w:p>
            <w:pPr>
              <w:pStyle w:val="Compact"/>
            </w:pPr>
            <w:r>
              <w:t xml:space="preserve">Pinecone</w:t>
            </w:r>
          </w:p>
        </w:tc>
        <w:tc>
          <w:tcPr/>
          <w:p>
            <w:pPr>
              <w:pStyle w:val="Compact"/>
            </w:pPr>
            <w:r>
              <w:t xml:space="preserve">In produzione</w:t>
            </w:r>
          </w:p>
        </w:tc>
      </w:tr>
      <w:tr>
        <w:tc>
          <w:tcPr/>
          <w:p>
            <w:pPr>
              <w:pStyle w:val="Compact"/>
            </w:pPr>
            <w:r>
              <w:t xml:space="preserve">AI Orchestrazione</w:t>
            </w:r>
          </w:p>
        </w:tc>
        <w:tc>
          <w:tcPr/>
          <w:p>
            <w:pPr>
              <w:pStyle w:val="Compact"/>
            </w:pPr>
            <w:r>
              <w:t xml:space="preserve">LangChain + LangGraph</w:t>
            </w:r>
          </w:p>
        </w:tc>
        <w:tc>
          <w:tcPr/>
          <w:p>
            <w:pPr>
              <w:pStyle w:val="Compact"/>
            </w:pPr>
            <w:r>
              <w:t xml:space="preserve">In produzione (da estendere)</w:t>
            </w:r>
          </w:p>
        </w:tc>
      </w:tr>
      <w:tr>
        <w:tc>
          <w:tcPr/>
          <w:p>
            <w:pPr>
              <w:pStyle w:val="Compact"/>
            </w:pPr>
            <w:r>
              <w:t xml:space="preserve">LLM routing</w:t>
            </w:r>
          </w:p>
        </w:tc>
        <w:tc>
          <w:tcPr/>
          <w:p>
            <w:pPr>
              <w:pStyle w:val="Compact"/>
            </w:pPr>
            <w:r>
              <w:t xml:space="preserve">OpenRouter (multi-model)</w:t>
            </w:r>
          </w:p>
        </w:tc>
        <w:tc>
          <w:tcPr/>
          <w:p>
            <w:pPr>
              <w:pStyle w:val="Compact"/>
            </w:pPr>
            <w:r>
              <w:t xml:space="preserve">In produzione</w:t>
            </w:r>
          </w:p>
        </w:tc>
      </w:tr>
      <w:tr>
        <w:tc>
          <w:tcPr/>
          <w:p>
            <w:pPr>
              <w:pStyle w:val="Compact"/>
            </w:pPr>
            <w:r>
              <w:t xml:space="preserve">ML service</w:t>
            </w:r>
          </w:p>
        </w:tc>
        <w:tc>
          <w:tcPr/>
          <w:p>
            <w:pPr>
              <w:pStyle w:val="Compact"/>
            </w:pPr>
            <w:r>
              <w:t xml:space="preserve">Python FastAPI + XGBoost/PyTorch</w:t>
            </w:r>
          </w:p>
        </w:tc>
        <w:tc>
          <w:tcPr/>
          <w:p>
            <w:pPr>
              <w:pStyle w:val="Compact"/>
            </w:pPr>
            <w:r>
              <w:t xml:space="preserve">Da sviluppare</w:t>
            </w:r>
          </w:p>
        </w:tc>
      </w:tr>
      <w:tr>
        <w:tc>
          <w:tcPr/>
          <w:p>
            <w:pPr>
              <w:pStyle w:val="Compact"/>
            </w:pPr>
            <w:r>
              <w:t xml:space="preserve">Mobile</w:t>
            </w:r>
          </w:p>
        </w:tc>
        <w:tc>
          <w:tcPr/>
          <w:p>
            <w:pPr>
              <w:pStyle w:val="Compact"/>
            </w:pPr>
            <w:r>
              <w:t xml:space="preserve">Capacitor (iOS + Android)</w:t>
            </w:r>
          </w:p>
        </w:tc>
        <w:tc>
          <w:tcPr/>
          <w:p>
            <w:pPr>
              <w:pStyle w:val="Compact"/>
            </w:pPr>
            <w:r>
              <w:t xml:space="preserve">In sviluppo</w:t>
            </w:r>
          </w:p>
        </w:tc>
      </w:tr>
      <w:tr>
        <w:tc>
          <w:tcPr/>
          <w:p>
            <w:pPr>
              <w:pStyle w:val="Compact"/>
            </w:pPr>
            <w:r>
              <w:t xml:space="preserve">AR interface</w:t>
            </w:r>
          </w:p>
        </w:tc>
        <w:tc>
          <w:tcPr/>
          <w:p>
            <w:pPr>
              <w:pStyle w:val="Compact"/>
            </w:pPr>
            <w:r>
              <w:t xml:space="preserve">RealWear SDK + adattamento UI</w:t>
            </w:r>
          </w:p>
        </w:tc>
        <w:tc>
          <w:tcPr/>
          <w:p>
            <w:pPr>
              <w:pStyle w:val="Compact"/>
            </w:pPr>
            <w:r>
              <w:t xml:space="preserve">Da sviluppare</w:t>
            </w:r>
          </w:p>
        </w:tc>
      </w:tr>
      <w:tr>
        <w:tc>
          <w:tcPr/>
          <w:p>
            <w:pPr>
              <w:pStyle w:val="Compact"/>
            </w:pPr>
            <w:r>
              <w:t xml:space="preserve">Cloud compute</w:t>
            </w:r>
          </w:p>
        </w:tc>
        <w:tc>
          <w:tcPr/>
          <w:p>
            <w:pPr>
              <w:pStyle w:val="Compact"/>
            </w:pPr>
            <w:r>
              <w:t xml:space="preserve">AWS SageMaker + NVIDIA credits</w:t>
            </w:r>
          </w:p>
        </w:tc>
        <w:tc>
          <w:tcPr/>
          <w:p>
            <w:pPr>
              <w:pStyle w:val="Compact"/>
            </w:pPr>
            <w:r>
              <w:t xml:space="preserve">Crediti disponibili</w:t>
            </w:r>
          </w:p>
        </w:tc>
      </w:tr>
      <w:tr>
        <w:tc>
          <w:tcPr/>
          <w:p>
            <w:pPr>
              <w:pStyle w:val="Compact"/>
            </w:pPr>
            <w:r>
              <w:t xml:space="preserve">Privacy/GDPR</w:t>
            </w:r>
          </w:p>
        </w:tc>
        <w:tc>
          <w:tcPr/>
          <w:p>
            <w:pPr>
              <w:pStyle w:val="Compact"/>
            </w:pPr>
            <w:r>
              <w:t xml:space="preserve">OpenMed NER + pipeline PII</w:t>
            </w:r>
          </w:p>
        </w:tc>
        <w:tc>
          <w:tcPr/>
          <w:p>
            <w:pPr>
              <w:pStyle w:val="Compact"/>
            </w:pPr>
            <w:r>
              <w:t xml:space="preserve">In produzione</w:t>
            </w:r>
          </w:p>
        </w:tc>
      </w:tr>
    </w:tbl>
    <w:p>
      <w:r>
        <w:pict>
          <v:rect style="width:0;height:1.5pt" o:hralign="center" o:hrstd="t" o:hr="t"/>
        </w:pict>
      </w:r>
    </w:p>
    <w:bookmarkEnd w:id="20"/>
    <w:bookmarkEnd w:id="21"/>
    <w:bookmarkStart w:id="32" w:name="piano-di-lavoro"/>
    <w:p>
      <w:pPr>
        <w:pStyle w:val="Heading2"/>
      </w:pPr>
      <w:r>
        <w:t xml:space="preserve">5. Piano di Lavoro</w:t>
      </w:r>
    </w:p>
    <w:bookmarkStart w:id="26" w:name="fase-1-mesi-1-6-budget-27.210"/>
    <w:p>
      <w:pPr>
        <w:pStyle w:val="Heading3"/>
      </w:pPr>
      <w:r>
        <w:t xml:space="preserve">FASE 1 — Mesi 1-6 | Budget: €27.210</w:t>
      </w:r>
    </w:p>
    <w:bookmarkStart w:id="22" w:name="obiettivi-fase-1"/>
    <w:p>
      <w:pPr>
        <w:pStyle w:val="Heading4"/>
      </w:pPr>
      <w:r>
        <w:t xml:space="preserve">Obiettivi Fase 1</w:t>
      </w:r>
    </w:p>
    <w:p>
      <w:pPr>
        <w:pStyle w:val="Compact"/>
        <w:numPr>
          <w:ilvl w:val="0"/>
          <w:numId w:val="1001"/>
        </w:numPr>
      </w:pPr>
      <w:r>
        <w:t xml:space="preserve">Costruire le fondamenta del sistema ML (Modulo 2)</w:t>
      </w:r>
    </w:p>
    <w:p>
      <w:pPr>
        <w:pStyle w:val="Compact"/>
        <w:numPr>
          <w:ilvl w:val="0"/>
          <w:numId w:val="1001"/>
        </w:numPr>
      </w:pPr>
      <w:r>
        <w:t xml:space="preserve">Sviluppare e testare il modulo EMSy Events in preparazione all’attivazione operativa (Fase 2)</w:t>
      </w:r>
    </w:p>
    <w:p>
      <w:pPr>
        <w:pStyle w:val="Compact"/>
        <w:numPr>
          <w:ilvl w:val="0"/>
          <w:numId w:val="1001"/>
        </w:numPr>
      </w:pPr>
      <w:r>
        <w:t xml:space="preserve">Rilasciare l’app mobile su store ufficiali</w:t>
      </w:r>
    </w:p>
    <w:bookmarkEnd w:id="22"/>
    <w:bookmarkStart w:id="23" w:name="work-breakdown-structure-fase-1"/>
    <w:p>
      <w:pPr>
        <w:pStyle w:val="Heading4"/>
      </w:pPr>
      <w:r>
        <w:t xml:space="preserve">Work Breakdown Structure — Fase 1</w:t>
      </w:r>
    </w:p>
    <w:p>
      <w:pPr>
        <w:pStyle w:val="FirstParagraph"/>
      </w:pPr>
      <w:r>
        <w:rPr>
          <w:b/>
          <w:bCs/>
        </w:rPr>
        <w:t xml:space="preserve">WP1.1 — Data Foundation e ML Service (mesi 1-3)</w:t>
      </w:r>
      <w:r>
        <w:t xml:space="preserve"> </w:t>
      </w:r>
      <w:r>
        <w:t xml:space="preserve">- Definizione schema dati Utstein e struttura database DuckDB per dataset clinici</w:t>
      </w:r>
      <w:r>
        <w:t xml:space="preserve"> </w:t>
      </w:r>
      <w:r>
        <w:t xml:space="preserve">- Accesso e validazione dataset ROC Epistry v3 (BioLINCC)</w:t>
      </w:r>
      <w:r>
        <w:t xml:space="preserve"> </w:t>
      </w:r>
      <w:r>
        <w:t xml:space="preserve">- Sviluppo endpoint upload CSV con validazione colonne Utstein</w:t>
      </w:r>
      <w:r>
        <w:t xml:space="preserve"> </w:t>
      </w:r>
      <w:r>
        <w:t xml:space="preserve">- Pipeline di anonimizzazione e validazione all’ingestion</w:t>
      </w:r>
      <w:r>
        <w:t xml:space="preserve"> </w:t>
      </w:r>
      <w:r>
        <w:t xml:space="preserve">- Setup microservizio Python FastAPI (</w:t>
      </w:r>
      <w:r>
        <w:rPr>
          <w:rStyle w:val="VerbatimChar"/>
        </w:rPr>
        <w:t xml:space="preserve">emsy-ml-service/</w:t>
      </w:r>
      <w:r>
        <w:t xml:space="preserve">)</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WP1.2 — Modulo 2: Training e inference OHCA (mesi 2-4)</w:t>
      </w:r>
      <w:r>
        <w:t xml:space="preserve"> </w:t>
      </w:r>
      <w:r>
        <w:t xml:space="preserve">- Feature engineering su variabili preospedaliere Utstein</w:t>
      </w:r>
      <w:r>
        <w:t xml:space="preserve"> </w:t>
      </w:r>
      <w:r>
        <w:t xml:space="preserve">- Training modello XGBoost/Random Forest su ROC Epistry v3</w:t>
      </w:r>
      <w:r>
        <w:t xml:space="preserve"> </w:t>
      </w:r>
      <w:r>
        <w:t xml:space="preserve">- Endpoint</w:t>
      </w:r>
      <w:r>
        <w:t xml:space="preserve"> </w:t>
      </w:r>
      <w:r>
        <w:rPr>
          <w:rStyle w:val="VerbatimChar"/>
        </w:rPr>
        <w:t xml:space="preserve">/predict</w:t>
      </w:r>
      <w:r>
        <w:t xml:space="preserve"> </w:t>
      </w:r>
      <w:r>
        <w:t xml:space="preserve">(variabili → probabilità CPC 1-2)</w:t>
      </w:r>
      <w:r>
        <w:t xml:space="preserve"> </w:t>
      </w:r>
      <w:r>
        <w:t xml:space="preserve">- Endpoint</w:t>
      </w:r>
      <w:r>
        <w:t xml:space="preserve"> </w:t>
      </w:r>
      <w:r>
        <w:rPr>
          <w:rStyle w:val="VerbatimChar"/>
        </w:rPr>
        <w:t xml:space="preserve">/explain</w:t>
      </w:r>
      <w:r>
        <w:t xml:space="preserve"> </w:t>
      </w:r>
      <w:r>
        <w:t xml:space="preserve">(SHAP waterfall per singola predizione)</w:t>
      </w:r>
      <w:r>
        <w:t xml:space="preserve"> </w:t>
      </w:r>
      <w:r>
        <w:t xml:space="preserve">- Endpoint</w:t>
      </w:r>
      <w:r>
        <w:t xml:space="preserve"> </w:t>
      </w:r>
      <w:r>
        <w:rPr>
          <w:rStyle w:val="VerbatimChar"/>
        </w:rPr>
        <w:t xml:space="preserve">/stats</w:t>
      </w:r>
      <w:r>
        <w:t xml:space="preserve"> </w:t>
      </w:r>
      <w:r>
        <w:t xml:space="preserve">(statistiche descrittive, distribuzioni)</w:t>
      </w:r>
      <w:r>
        <w:t xml:space="preserve"> </w:t>
      </w:r>
      <w:r>
        <w:t xml:space="preserve">- Benchmark contro score esistenti (CAHP, R-EDByUS)</w:t>
      </w:r>
      <w:r>
        <w:t xml:space="preserve"> </w:t>
      </w:r>
      <w:r>
        <w:t xml:space="preserve">-</w:t>
      </w:r>
      <w:r>
        <w:t xml:space="preserve"> </w:t>
      </w:r>
      <w:r>
        <w:rPr>
          <w:i/>
          <w:iCs/>
        </w:rPr>
        <w:t xml:space="preserve">Responsabile:</w:t>
      </w:r>
      <w:r>
        <w:t xml:space="preserve"> </w:t>
      </w:r>
      <w:r>
        <w:t xml:space="preserve">Collaboratore Co.Co.Co + Simon + Damiano (validazione clinica)</w:t>
      </w:r>
    </w:p>
    <w:p>
      <w:pPr>
        <w:pStyle w:val="BodyText"/>
      </w:pPr>
      <w:r>
        <w:rPr>
          <w:b/>
          <w:bCs/>
        </w:rPr>
        <w:t xml:space="preserve">WP1.3 — EMSy Events: sviluppo e preparazione modulo (mesi 3-6)</w:t>
      </w:r>
      <w:r>
        <w:t xml:space="preserve"> </w:t>
      </w:r>
      <w:r>
        <w:t xml:space="preserve">- Finalizzazione modulo gestione emergenze in tempo reale</w:t>
      </w:r>
      <w:r>
        <w:t xml:space="preserve"> </w:t>
      </w:r>
      <w:r>
        <w:t xml:space="preserve">- Sviluppo dashboard centrale operativa web per coordinamento sanitario eventi</w:t>
      </w:r>
      <w:r>
        <w:t xml:space="preserve"> </w:t>
      </w:r>
      <w:r>
        <w:t xml:space="preserve">- Test interno del sistema su scenari simulati</w:t>
      </w:r>
      <w:r>
        <w:t xml:space="preserve"> </w:t>
      </w:r>
      <w:r>
        <w:t xml:space="preserve">- Integrazione con infrastruttura VDA Trailers in preparazione alle edizioni 2027</w:t>
      </w:r>
      <w:r>
        <w:t xml:space="preserve"> </w:t>
      </w:r>
      <w:r>
        <w:t xml:space="preserve">- Definizione protocolli operativi con Damiano per attivazione in gara</w:t>
      </w:r>
      <w:r>
        <w:t xml:space="preserve"> </w:t>
      </w:r>
      <w:r>
        <w:t xml:space="preserve">-</w:t>
      </w:r>
      <w:r>
        <w:t xml:space="preserve"> </w:t>
      </w:r>
      <w:r>
        <w:rPr>
          <w:i/>
          <w:iCs/>
        </w:rPr>
        <w:t xml:space="preserve">Responsabile:</w:t>
      </w:r>
      <w:r>
        <w:t xml:space="preserve"> </w:t>
      </w:r>
      <w:r>
        <w:t xml:space="preserve">Simon + Nicolò (coordinamento operativo) + Damiano (protocolli)</w:t>
      </w:r>
    </w:p>
    <w:p>
      <w:pPr>
        <w:pStyle w:val="BlockText"/>
      </w:pPr>
      <w:r>
        <w:rPr>
          <w:b/>
          <w:bCs/>
        </w:rPr>
        <w:t xml:space="preserve">⚠️ NOTA INTERNA:</w:t>
      </w:r>
      <w:r>
        <w:t xml:space="preserve"> </w:t>
      </w:r>
      <w:r>
        <w:t xml:space="preserve">L’attivazione operativa reale su GTC® e TORX® avverrà in Fase 2 (luglio 2027 e settembre 2027), non in Fase 1. Verificare con VDA Trailers la disponibilità a confermare il partenariato per le edizioni 2027. Vedere WP2.8.</w:t>
      </w:r>
    </w:p>
    <w:p>
      <w:pPr>
        <w:pStyle w:val="FirstParagraph"/>
      </w:pPr>
      <w:r>
        <w:rPr>
          <w:b/>
          <w:bCs/>
        </w:rPr>
        <w:t xml:space="preserve">WP1.4 — App mobile iOS/Android: rilascio pubblico (mesi 1-3)</w:t>
      </w:r>
      <w:r>
        <w:t xml:space="preserve"> </w:t>
      </w:r>
      <w:r>
        <w:t xml:space="preserve">- Finalizzazione build Capacitor iOS/Android</w:t>
      </w:r>
      <w:r>
        <w:t xml:space="preserve"> </w:t>
      </w:r>
      <w:r>
        <w:t xml:space="preserve">- Revisione Apple App Store + Google Play Store</w:t>
      </w:r>
      <w:r>
        <w:t xml:space="preserve"> </w:t>
      </w:r>
      <w:r>
        <w:t xml:space="preserve">- Rilascio versione 1.0 pubblica</w:t>
      </w:r>
      <w:r>
        <w:t xml:space="preserve"> </w:t>
      </w:r>
      <w:r>
        <w:t xml:space="preserve">-</w:t>
      </w:r>
      <w:r>
        <w:t xml:space="preserve"> </w:t>
      </w:r>
      <w:r>
        <w:rPr>
          <w:i/>
          <w:iCs/>
        </w:rPr>
        <w:t xml:space="preserve">Responsabile:</w:t>
      </w:r>
      <w:r>
        <w:t xml:space="preserve"> </w:t>
      </w:r>
      <w:r>
        <w:t xml:space="preserve">Simon + Nicolò</w:t>
      </w:r>
    </w:p>
    <w:p>
      <w:pPr>
        <w:pStyle w:val="BlockText"/>
      </w:pPr>
      <w:r>
        <w:rPr>
          <w:b/>
          <w:bCs/>
        </w:rPr>
        <w:t xml:space="preserve">⚠️ NOTA INTERNA:</w:t>
      </w:r>
      <w:r>
        <w:t xml:space="preserve"> </w:t>
      </w:r>
      <w:r>
        <w:t xml:space="preserve">Verificare con Simon lo stato attuale: l’app è già presente sugli store o è da pubblicare ex novo? Se già presente, aggiornare la milestone come</w:t>
      </w:r>
      <w:r>
        <w:t xml:space="preserve"> </w:t>
      </w:r>
      <w:r>
        <w:t xml:space="preserve">“aggiornamento versione major”</w:t>
      </w:r>
      <w:r>
        <w:t xml:space="preserve"> </w:t>
      </w:r>
      <w:r>
        <w:t xml:space="preserve">anziché</w:t>
      </w:r>
      <w:r>
        <w:t xml:space="preserve"> </w:t>
      </w:r>
      <w:r>
        <w:t xml:space="preserve">“rilascio”</w:t>
      </w:r>
      <w:r>
        <w:t xml:space="preserve">.</w:t>
      </w:r>
    </w:p>
    <w:bookmarkEnd w:id="23"/>
    <w:bookmarkStart w:id="24" w:name="milestone-fase-1"/>
    <w:p>
      <w:pPr>
        <w:pStyle w:val="Heading4"/>
      </w:pPr>
      <w:r>
        <w:t xml:space="preserve">Milestone Fase 1</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M1.1</w:t>
            </w:r>
          </w:p>
        </w:tc>
        <w:tc>
          <w:tcPr/>
          <w:p>
            <w:pPr>
              <w:pStyle w:val="Compact"/>
            </w:pPr>
            <w:r>
              <w:t xml:space="preserve">Mese 2</w:t>
            </w:r>
          </w:p>
        </w:tc>
        <w:tc>
          <w:tcPr/>
          <w:p>
            <w:pPr>
              <w:pStyle w:val="Compact"/>
            </w:pPr>
            <w:r>
              <w:t xml:space="preserve">Pipeline ingestion dati Utstein operativa</w:t>
            </w:r>
          </w:p>
        </w:tc>
      </w:tr>
      <w:tr>
        <w:tc>
          <w:tcPr/>
          <w:p>
            <w:pPr>
              <w:pStyle w:val="Compact"/>
            </w:pPr>
            <w:r>
              <w:t xml:space="preserve">M1.2</w:t>
            </w:r>
          </w:p>
        </w:tc>
        <w:tc>
          <w:tcPr/>
          <w:p>
            <w:pPr>
              <w:pStyle w:val="Compact"/>
            </w:pPr>
            <w:r>
              <w:t xml:space="preserve">Mese 3</w:t>
            </w:r>
          </w:p>
        </w:tc>
        <w:tc>
          <w:tcPr/>
          <w:p>
            <w:pPr>
              <w:pStyle w:val="Compact"/>
            </w:pPr>
            <w:r>
              <w:t xml:space="preserve">Microservizio ML endpoint</w:t>
            </w:r>
            <w:r>
              <w:t xml:space="preserve"> </w:t>
            </w:r>
            <w:r>
              <w:rPr>
                <w:rStyle w:val="VerbatimChar"/>
              </w:rPr>
              <w:t xml:space="preserve">/predict</w:t>
            </w:r>
            <w:r>
              <w:t xml:space="preserve"> </w:t>
            </w:r>
            <w:r>
              <w:t xml:space="preserve">attivo</w:t>
            </w:r>
          </w:p>
        </w:tc>
      </w:tr>
      <w:tr>
        <w:tc>
          <w:tcPr/>
          <w:p>
            <w:pPr>
              <w:pStyle w:val="Compact"/>
            </w:pPr>
            <w:r>
              <w:t xml:space="preserve">M1.3</w:t>
            </w:r>
          </w:p>
        </w:tc>
        <w:tc>
          <w:tcPr/>
          <w:p>
            <w:pPr>
              <w:pStyle w:val="Compact"/>
            </w:pPr>
            <w:r>
              <w:t xml:space="preserve">Mese 3</w:t>
            </w:r>
          </w:p>
        </w:tc>
        <w:tc>
          <w:tcPr/>
          <w:p>
            <w:pPr>
              <w:pStyle w:val="Compact"/>
            </w:pPr>
            <w:r>
              <w:t xml:space="preserve">App mobile live su App Store e Google Play</w:t>
            </w:r>
          </w:p>
        </w:tc>
      </w:tr>
      <w:tr>
        <w:tc>
          <w:tcPr/>
          <w:p>
            <w:pPr>
              <w:pStyle w:val="Compact"/>
            </w:pPr>
            <w:r>
              <w:t xml:space="preserve">M1.4</w:t>
            </w:r>
          </w:p>
        </w:tc>
        <w:tc>
          <w:tcPr/>
          <w:p>
            <w:pPr>
              <w:pStyle w:val="Compact"/>
            </w:pPr>
            <w:r>
              <w:t xml:space="preserve">Mese 4</w:t>
            </w:r>
          </w:p>
        </w:tc>
        <w:tc>
          <w:tcPr/>
          <w:p>
            <w:pPr>
              <w:pStyle w:val="Compact"/>
            </w:pPr>
            <w:r>
              <w:t xml:space="preserve">Modello OHCA trainato: AUC ≥ 0.75 su validation set</w:t>
            </w:r>
          </w:p>
        </w:tc>
      </w:tr>
      <w:tr>
        <w:tc>
          <w:tcPr/>
          <w:p>
            <w:pPr>
              <w:pStyle w:val="Compact"/>
            </w:pPr>
            <w:r>
              <w:t xml:space="preserve">M1.5</w:t>
            </w:r>
          </w:p>
        </w:tc>
        <w:tc>
          <w:tcPr/>
          <w:p>
            <w:pPr>
              <w:pStyle w:val="Compact"/>
            </w:pPr>
            <w:r>
              <w:t xml:space="preserve">Mese 5</w:t>
            </w:r>
          </w:p>
        </w:tc>
        <w:tc>
          <w:tcPr/>
          <w:p>
            <w:pPr>
              <w:pStyle w:val="Compact"/>
            </w:pPr>
            <w:r>
              <w:t xml:space="preserve">Modulo EMSy Events completato e testato internamente</w:t>
            </w:r>
          </w:p>
        </w:tc>
      </w:tr>
      <w:tr>
        <w:tc>
          <w:tcPr/>
          <w:p>
            <w:pPr>
              <w:pStyle w:val="Compact"/>
            </w:pPr>
            <w:r>
              <w:t xml:space="preserve">M1.6</w:t>
            </w:r>
          </w:p>
        </w:tc>
        <w:tc>
          <w:tcPr/>
          <w:p>
            <w:pPr>
              <w:pStyle w:val="Compact"/>
            </w:pPr>
            <w:r>
              <w:t xml:space="preserve">Mese 6</w:t>
            </w:r>
          </w:p>
        </w:tc>
        <w:tc>
          <w:tcPr/>
          <w:p>
            <w:pPr>
              <w:pStyle w:val="Compact"/>
            </w:pPr>
            <w:r>
              <w:t xml:space="preserve">Protocolli operativi Events validati con Damiano — sistema pronto per attivazione in gara</w:t>
            </w:r>
          </w:p>
        </w:tc>
      </w:tr>
    </w:tbl>
    <w:bookmarkEnd w:id="24"/>
    <w:bookmarkStart w:id="25" w:name="budget-fase-1"/>
    <w:p>
      <w:pPr>
        <w:pStyle w:val="Heading4"/>
      </w:pPr>
      <w:r>
        <w:t xml:space="preserve">Budget Fase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6 mesi)</w:t>
            </w:r>
          </w:p>
        </w:tc>
        <w:tc>
          <w:tcPr/>
          <w:p>
            <w:pPr>
              <w:pStyle w:val="Compact"/>
            </w:pPr>
            <w:r>
              <w:t xml:space="preserve">€10.800</w:t>
            </w:r>
          </w:p>
        </w:tc>
      </w:tr>
      <w:tr>
        <w:tc>
          <w:tcPr/>
          <w:p>
            <w:pPr>
              <w:pStyle w:val="Compact"/>
            </w:pPr>
            <w:r>
              <w:t xml:space="preserve">Prestazioni soci (33% del totale)</w:t>
            </w:r>
          </w:p>
        </w:tc>
        <w:tc>
          <w:tcPr/>
          <w:p>
            <w:pPr>
              <w:pStyle w:val="Compact"/>
            </w:pPr>
            <w:r>
              <w:t xml:space="preserve">€5.320</w:t>
            </w:r>
          </w:p>
        </w:tc>
      </w:tr>
      <w:tr>
        <w:tc>
          <w:tcPr/>
          <w:p>
            <w:pPr>
              <w:pStyle w:val="Compact"/>
            </w:pPr>
            <w:r>
              <w:t xml:space="preserve">Spese generali (15% × €10.800)</w:t>
            </w:r>
          </w:p>
        </w:tc>
        <w:tc>
          <w:tcPr/>
          <w:p>
            <w:pPr>
              <w:pStyle w:val="Compact"/>
            </w:pPr>
            <w:r>
              <w:t xml:space="preserve">€1.620</w:t>
            </w:r>
          </w:p>
        </w:tc>
      </w:tr>
      <w:tr>
        <w:tc>
          <w:tcPr/>
          <w:p>
            <w:pPr>
              <w:pStyle w:val="Compact"/>
            </w:pPr>
            <w:r>
              <w:t xml:space="preserve">Hardware (acquisto MBP + RealWear — quota 18/60)</w:t>
            </w:r>
          </w:p>
        </w:tc>
        <w:tc>
          <w:tcPr/>
          <w:p>
            <w:pPr>
              <w:pStyle w:val="Compact"/>
            </w:pPr>
            <w:r>
              <w:t xml:space="preserve">€1.500</w:t>
            </w:r>
          </w:p>
        </w:tc>
      </w:tr>
      <w:tr>
        <w:tc>
          <w:tcPr/>
          <w:p>
            <w:pPr>
              <w:pStyle w:val="Compact"/>
            </w:pPr>
            <w:r>
              <w:t xml:space="preserve">Software / Licenze LLM (€800 × 6 mesi)</w:t>
            </w:r>
          </w:p>
        </w:tc>
        <w:tc>
          <w:tcPr/>
          <w:p>
            <w:pPr>
              <w:pStyle w:val="Compact"/>
            </w:pPr>
            <w:r>
              <w:t xml:space="preserve">€4.800</w:t>
            </w:r>
          </w:p>
        </w:tc>
      </w:tr>
      <w:tr>
        <w:tc>
          <w:tcPr/>
          <w:p>
            <w:pPr>
              <w:pStyle w:val="Compact"/>
            </w:pPr>
            <w:r>
              <w:t xml:space="preserve">Margine di riserva Fase 1</w:t>
            </w:r>
          </w:p>
        </w:tc>
        <w:tc>
          <w:tcPr/>
          <w:p>
            <w:pPr>
              <w:pStyle w:val="Compact"/>
            </w:pPr>
            <w:r>
              <w:t xml:space="preserve">€3.170</w:t>
            </w:r>
          </w:p>
        </w:tc>
      </w:tr>
      <w:tr>
        <w:tc>
          <w:tcPr/>
          <w:p>
            <w:pPr>
              <w:pStyle w:val="Compact"/>
            </w:pPr>
            <w:r>
              <w:rPr>
                <w:b/>
                <w:bCs/>
              </w:rPr>
              <w:t xml:space="preserve">Totale Fase 1</w:t>
            </w:r>
          </w:p>
        </w:tc>
        <w:tc>
          <w:tcPr/>
          <w:p>
            <w:pPr>
              <w:pStyle w:val="Compact"/>
            </w:pPr>
            <w:r>
              <w:rPr>
                <w:b/>
                <w:bCs/>
              </w:rPr>
              <w:t xml:space="preserve">€27.210</w:t>
            </w:r>
          </w:p>
        </w:tc>
      </w:tr>
    </w:tbl>
    <w:p>
      <w:r>
        <w:pict>
          <v:rect style="width:0;height:1.5pt" o:hralign="center" o:hrstd="t" o:hr="t"/>
        </w:pict>
      </w:r>
    </w:p>
    <w:bookmarkEnd w:id="25"/>
    <w:bookmarkEnd w:id="26"/>
    <w:bookmarkStart w:id="31" w:name="fase-2-mesi-7-18-budget-52.790"/>
    <w:p>
      <w:pPr>
        <w:pStyle w:val="Heading3"/>
      </w:pPr>
      <w:r>
        <w:t xml:space="preserve">FASE 2 — Mesi 7-18 | Budget: €52.790</w:t>
      </w:r>
    </w:p>
    <w:bookmarkStart w:id="27" w:name="obiettivi-fase-2"/>
    <w:p>
      <w:pPr>
        <w:pStyle w:val="Heading4"/>
      </w:pPr>
      <w:r>
        <w:t xml:space="preserve">Obiettivi Fase 2</w:t>
      </w:r>
    </w:p>
    <w:p>
      <w:pPr>
        <w:pStyle w:val="Compact"/>
        <w:numPr>
          <w:ilvl w:val="0"/>
          <w:numId w:val="1002"/>
        </w:numPr>
      </w:pPr>
      <w:r>
        <w:t xml:space="preserve">Integrare i 4 moduli AI in architettura unificata</w:t>
      </w:r>
    </w:p>
    <w:p>
      <w:pPr>
        <w:pStyle w:val="Compact"/>
        <w:numPr>
          <w:ilvl w:val="0"/>
          <w:numId w:val="1002"/>
        </w:numPr>
      </w:pPr>
      <w:r>
        <w:t xml:space="preserve">Validare il modello OHCA su dati 118 italiani</w:t>
      </w:r>
    </w:p>
    <w:p>
      <w:pPr>
        <w:pStyle w:val="Compact"/>
        <w:numPr>
          <w:ilvl w:val="0"/>
          <w:numId w:val="1002"/>
        </w:numPr>
      </w:pPr>
      <w:r>
        <w:t xml:space="preserve">Prototipare l’interfaccia AR hands-free</w:t>
      </w:r>
    </w:p>
    <w:p>
      <w:pPr>
        <w:pStyle w:val="Compact"/>
        <w:numPr>
          <w:ilvl w:val="0"/>
          <w:numId w:val="1002"/>
        </w:numPr>
      </w:pPr>
      <w:r>
        <w:t xml:space="preserve">Attivare operativamente EMSy Events su GTC® (luglio 2027) e TORX® (settembre 2027)</w:t>
      </w:r>
    </w:p>
    <w:p>
      <w:pPr>
        <w:pStyle w:val="Compact"/>
        <w:numPr>
          <w:ilvl w:val="0"/>
          <w:numId w:val="1002"/>
        </w:numPr>
      </w:pPr>
      <w:r>
        <w:t xml:space="preserve">Espandere a un secondo dominio clinico</w:t>
      </w:r>
    </w:p>
    <w:p>
      <w:pPr>
        <w:pStyle w:val="Compact"/>
        <w:numPr>
          <w:ilvl w:val="0"/>
          <w:numId w:val="1002"/>
        </w:numPr>
      </w:pPr>
      <w:r>
        <w:t xml:space="preserve">Completare assessment tecnologico e compliance GDPR</w:t>
      </w:r>
    </w:p>
    <w:bookmarkEnd w:id="27"/>
    <w:bookmarkStart w:id="28" w:name="work-breakdown-structure-fase-2"/>
    <w:p>
      <w:pPr>
        <w:pStyle w:val="Heading4"/>
      </w:pPr>
      <w:r>
        <w:t xml:space="preserve">Work Breakdown Structure — Fase 2</w:t>
      </w:r>
    </w:p>
    <w:p>
      <w:pPr>
        <w:pStyle w:val="FirstParagraph"/>
      </w:pPr>
      <w:r>
        <w:rPr>
          <w:b/>
          <w:bCs/>
        </w:rPr>
        <w:t xml:space="preserve">WP2.1 — Integrazione LangGraph multi-modulo (mesi 7-10)</w:t>
      </w:r>
      <w:r>
        <w:t xml:space="preserve"> </w:t>
      </w:r>
      <w:r>
        <w:t xml:space="preserve">- Sviluppo tool LangGraph:</w:t>
      </w:r>
      <w:r>
        <w:t xml:space="preserve"> </w:t>
      </w:r>
      <w:r>
        <w:rPr>
          <w:rStyle w:val="VerbatimChar"/>
        </w:rPr>
        <w:t xml:space="preserve">query_dataset</w:t>
      </w:r>
      <w:r>
        <w:t xml:space="preserve">,</w:t>
      </w:r>
      <w:r>
        <w:t xml:space="preserve"> </w:t>
      </w:r>
      <w:r>
        <w:rPr>
          <w:rStyle w:val="VerbatimChar"/>
        </w:rPr>
        <w:t xml:space="preserve">predict_ohca</w:t>
      </w:r>
      <w:r>
        <w:t xml:space="preserve">,</w:t>
      </w:r>
      <w:r>
        <w:t xml:space="preserve"> </w:t>
      </w:r>
      <w:r>
        <w:rPr>
          <w:rStyle w:val="VerbatimChar"/>
        </w:rPr>
        <w:t xml:space="preserve">explain_prediction</w:t>
      </w:r>
      <w:r>
        <w:t xml:space="preserve">,</w:t>
      </w:r>
      <w:r>
        <w:t xml:space="preserve"> </w:t>
      </w:r>
      <w:r>
        <w:rPr>
          <w:rStyle w:val="VerbatimChar"/>
        </w:rPr>
        <w:t xml:space="preserve">generate_chart</w:t>
      </w:r>
      <w:r>
        <w:t xml:space="preserve"> </w:t>
      </w:r>
      <w:r>
        <w:t xml:space="preserve">- Aggiornamento classifier per routing automatico (domande analitiche vs. letteratura)</w:t>
      </w:r>
      <w:r>
        <w:t xml:space="preserve"> </w:t>
      </w:r>
      <w:r>
        <w:t xml:space="preserve">- Integrazione Modulo 4 (LLM Reasoning): sintesi output ML + RAG in risposta unica</w:t>
      </w:r>
      <w:r>
        <w:t xml:space="preserve"> </w:t>
      </w:r>
      <w:r>
        <w:t xml:space="preserve">- Test end-to-end sistema integrato su casi clinici documentati</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WP2.2 — Validazione clinica modello OHCA su dati 118 (mesi 8-12)</w:t>
      </w:r>
      <w:r>
        <w:t xml:space="preserve"> </w:t>
      </w:r>
      <w:r>
        <w:t xml:space="preserve">- Accesso e preparazione dataset 118 proprietario (centinaia di casi, sistema EMS europeo medicalizzato)</w:t>
      </w:r>
      <w:r>
        <w:t xml:space="preserve"> </w:t>
      </w:r>
      <w:r>
        <w:t xml:space="preserve">- External validation modello OHCA: calcolo AUC su dati italiani</w:t>
      </w:r>
      <w:r>
        <w:t xml:space="preserve"> </w:t>
      </w:r>
      <w:r>
        <w:t xml:space="preserve">- Calibrazione modello e implementazione guardrail (confidence intervals, warning campioni piccoli, k-anonymity)</w:t>
      </w:r>
      <w:r>
        <w:t xml:space="preserve"> </w:t>
      </w:r>
      <w:r>
        <w:t xml:space="preserve">- Confronto performance vs. score clinici esistenti</w:t>
      </w:r>
      <w:r>
        <w:t xml:space="preserve"> </w:t>
      </w:r>
      <w:r>
        <w:t xml:space="preserve">- Produzione report di validazione clinica</w:t>
      </w:r>
      <w:r>
        <w:t xml:space="preserve"> </w:t>
      </w:r>
      <w:r>
        <w:t xml:space="preserve">-</w:t>
      </w:r>
      <w:r>
        <w:t xml:space="preserve"> </w:t>
      </w:r>
      <w:r>
        <w:rPr>
          <w:i/>
          <w:iCs/>
        </w:rPr>
        <w:t xml:space="preserve">Responsabile:</w:t>
      </w:r>
      <w:r>
        <w:t xml:space="preserve"> </w:t>
      </w:r>
      <w:r>
        <w:t xml:space="preserve">Damiano (Medical Director) + Collaboratore Co.Co.Co</w:t>
      </w:r>
    </w:p>
    <w:p>
      <w:pPr>
        <w:pStyle w:val="BodyText"/>
      </w:pPr>
      <w:r>
        <w:rPr>
          <w:b/>
          <w:bCs/>
        </w:rPr>
        <w:t xml:space="preserve">WP2.3 — Prototipo interfaccia AR hands-free (mesi 9-14)</w:t>
      </w:r>
      <w:r>
        <w:t xml:space="preserve"> </w:t>
      </w:r>
      <w:r>
        <w:t xml:space="preserve">- Setup SDK RealWear Navigator 520 e ambiente di sviluppo</w:t>
      </w:r>
      <w:r>
        <w:t xml:space="preserve"> </w:t>
      </w:r>
      <w:r>
        <w:t xml:space="preserve">- Adattamento interfaccia EMSy per display AR (schermo ridotto, alta leggibilità)</w:t>
      </w:r>
      <w:r>
        <w:t xml:space="preserve"> </w:t>
      </w:r>
      <w:r>
        <w:t xml:space="preserve">- Implementazione navigazione a comandi vocali</w:t>
      </w:r>
      <w:r>
        <w:t xml:space="preserve"> </w:t>
      </w:r>
      <w:r>
        <w:t xml:space="preserve">- Test operativi in scenario simulato di soccorso</w:t>
      </w:r>
      <w:r>
        <w:t xml:space="preserve"> </w:t>
      </w:r>
      <w:r>
        <w:t xml:space="preserve">- Documentazione tecnica del prototipo</w:t>
      </w:r>
      <w:r>
        <w:t xml:space="preserve"> </w:t>
      </w:r>
      <w:r>
        <w:t xml:space="preserve">-</w:t>
      </w:r>
      <w:r>
        <w:t xml:space="preserve"> </w:t>
      </w:r>
      <w:r>
        <w:rPr>
          <w:i/>
          <w:iCs/>
        </w:rPr>
        <w:t xml:space="preserve">Responsabile:</w:t>
      </w:r>
      <w:r>
        <w:t xml:space="preserve"> </w:t>
      </w:r>
      <w:r>
        <w:t xml:space="preserve">Simon + Nicolò (coordinamento)</w:t>
      </w:r>
    </w:p>
    <w:p>
      <w:pPr>
        <w:pStyle w:val="BodyText"/>
      </w:pPr>
      <w:r>
        <w:rPr>
          <w:b/>
          <w:bCs/>
        </w:rPr>
        <w:t xml:space="preserve">WP2.4 — Modulo 3: Deep Learning su segnali ECG/EEG (mesi 10-16)</w:t>
      </w:r>
      <w:r>
        <w:t xml:space="preserve"> </w:t>
      </w:r>
      <w:r>
        <w:t xml:space="preserve">- Accesso dataset I-CARE/PhysioNet (EEG post-ROSC, 607-1.020 casi)</w:t>
      </w:r>
      <w:r>
        <w:t xml:space="preserve"> </w:t>
      </w:r>
      <w:r>
        <w:t xml:space="preserve">- Accesso dataset Cardially Brescia (ECG OHCA italiano, 260 casi)</w:t>
      </w:r>
      <w:r>
        <w:t xml:space="preserve"> </w:t>
      </w:r>
      <w:r>
        <w:t xml:space="preserve">- Training modelli PyTorch su GPU (crediti NVIDIA/AWS SageMaker)</w:t>
      </w:r>
      <w:r>
        <w:t xml:space="preserve"> </w:t>
      </w:r>
      <w:r>
        <w:t xml:space="preserve">- Integrazione come modulo aggiuntivo in LangGraph</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WP2.5 — Espansione secondo dominio clinico (mesi 14-18)</w:t>
      </w:r>
      <w:r>
        <w:t xml:space="preserve"> </w:t>
      </w:r>
      <w:r>
        <w:t xml:space="preserve">- Adattamento architettura ML a dataset STEMI o trauma preospedaliero</w:t>
      </w:r>
      <w:r>
        <w:t xml:space="preserve"> </w:t>
      </w:r>
      <w:r>
        <w:t xml:space="preserve">- Identificazione e coinvolgimento ≥1 partner clinico validatore</w:t>
      </w:r>
      <w:r>
        <w:t xml:space="preserve"> </w:t>
      </w:r>
      <w:r>
        <w:t xml:space="preserve">- Primo modello funzionante su secondo dominio</w:t>
      </w:r>
      <w:r>
        <w:t xml:space="preserve"> </w:t>
      </w:r>
      <w:r>
        <w:t xml:space="preserve">-</w:t>
      </w:r>
      <w:r>
        <w:t xml:space="preserve"> </w:t>
      </w:r>
      <w:r>
        <w:rPr>
          <w:i/>
          <w:iCs/>
        </w:rPr>
        <w:t xml:space="preserve">Responsabile:</w:t>
      </w:r>
      <w:r>
        <w:t xml:space="preserve"> </w:t>
      </w:r>
      <w:r>
        <w:t xml:space="preserve">Damiano + Collaboratore Co.Co.Co</w:t>
      </w:r>
    </w:p>
    <w:p>
      <w:pPr>
        <w:pStyle w:val="BodyText"/>
      </w:pPr>
      <w:r>
        <w:rPr>
          <w:b/>
          <w:bCs/>
        </w:rPr>
        <w:t xml:space="preserve">WP2.8 — EMSy Events: attivazione operativa GTC® e TORX® 2027 (mesi 7-11)</w:t>
      </w:r>
      <w:r>
        <w:t xml:space="preserve"> </w:t>
      </w:r>
      <w:r>
        <w:t xml:space="preserve">- Coordinamento finale con VDA Trailers per GTC® (luglio 2027) e TORX® with Kailas (settembre 2027)</w:t>
      </w:r>
      <w:r>
        <w:t xml:space="preserve"> </w:t>
      </w:r>
      <w:r>
        <w:t xml:space="preserve">- Attivazione sistema Events in condizioni reali di gara</w:t>
      </w:r>
      <w:r>
        <w:t xml:space="preserve"> </w:t>
      </w:r>
      <w:r>
        <w:t xml:space="preserve">- Raccolta dati sanitari de-identificati per validazione sistema</w:t>
      </w:r>
      <w:r>
        <w:t xml:space="preserve"> </w:t>
      </w:r>
      <w:r>
        <w:t xml:space="preserve">- Report post-evento con metriche operative (atleti gestiti, interventi, performance sistema)</w:t>
      </w:r>
      <w:r>
        <w:t xml:space="preserve"> </w:t>
      </w:r>
      <w:r>
        <w:t xml:space="preserve">-</w:t>
      </w:r>
      <w:r>
        <w:t xml:space="preserve"> </w:t>
      </w:r>
      <w:r>
        <w:rPr>
          <w:i/>
          <w:iCs/>
        </w:rPr>
        <w:t xml:space="preserve">Responsabile:</w:t>
      </w:r>
      <w:r>
        <w:t xml:space="preserve"> </w:t>
      </w:r>
      <w:r>
        <w:t xml:space="preserve">Nicolò (coordinamento operativo) + Damiano (protocolli clinici) + Simon (supporto tecnico)</w:t>
      </w:r>
    </w:p>
    <w:p>
      <w:pPr>
        <w:pStyle w:val="BodyText"/>
      </w:pPr>
      <w:r>
        <w:rPr>
          <w:b/>
          <w:bCs/>
        </w:rPr>
        <w:t xml:space="preserve">WP2.6 — Assessment tecnologico esterno (mesi 8-12)</w:t>
      </w:r>
      <w:r>
        <w:t xml:space="preserve"> </w:t>
      </w:r>
      <w:r>
        <w:t xml:space="preserve">- Selezione esperto esterno indipendente (≥5 anni esperienza in technology assessment o gestione startup innovative nel settore AI/medicale)</w:t>
      </w:r>
      <w:r>
        <w:t xml:space="preserve"> </w:t>
      </w:r>
      <w:r>
        <w:t xml:space="preserve">- Affidamento formale incarico</w:t>
      </w:r>
      <w:r>
        <w:t xml:space="preserve"> </w:t>
      </w:r>
      <w:r>
        <w:t xml:space="preserve">- Conduzione assessment e produzione report</w:t>
      </w:r>
      <w:r>
        <w:t xml:space="preserve"> </w:t>
      </w:r>
      <w:r>
        <w:t xml:space="preserve">-</w:t>
      </w:r>
      <w:r>
        <w:t xml:space="preserve"> </w:t>
      </w:r>
      <w:r>
        <w:rPr>
          <w:i/>
          <w:iCs/>
        </w:rPr>
        <w:t xml:space="preserve">Responsabile:</w:t>
      </w:r>
      <w:r>
        <w:t xml:space="preserve"> </w:t>
      </w:r>
      <w:r>
        <w:t xml:space="preserve">Simon (coordinamento) + esperto esterno</w:t>
      </w:r>
    </w:p>
    <w:p>
      <w:pPr>
        <w:pStyle w:val="BodyText"/>
      </w:pPr>
      <w:r>
        <w:rPr>
          <w:b/>
          <w:bCs/>
        </w:rPr>
        <w:t xml:space="preserve">WP2.7 — Compliance GDPR: validazione e certificazione (mesi 10-14)</w:t>
      </w:r>
      <w:r>
        <w:t xml:space="preserve"> </w:t>
      </w:r>
      <w:r>
        <w:t xml:space="preserve">- Incarico a consulente specializzato GDPR per validazione sistema PII</w:t>
      </w:r>
      <w:r>
        <w:t xml:space="preserve"> </w:t>
      </w:r>
      <w:r>
        <w:t xml:space="preserve">- Produzione fascicolo documentale: diagramma architetturale, versioni esatte componenti, risultati validazione su campione rappresentativo</w:t>
      </w:r>
      <w:r>
        <w:t xml:space="preserve"> </w:t>
      </w:r>
      <w:r>
        <w:t xml:space="preserve">- Data retention policy formalizzata</w:t>
      </w:r>
      <w:r>
        <w:t xml:space="preserve"> </w:t>
      </w:r>
      <w:r>
        <w:t xml:space="preserve">- DPA Google Cloud e region pinning documentati</w:t>
      </w:r>
      <w:r>
        <w:t xml:space="preserve"> </w:t>
      </w:r>
      <w:r>
        <w:t xml:space="preserve">-</w:t>
      </w:r>
      <w:r>
        <w:t xml:space="preserve"> </w:t>
      </w:r>
      <w:r>
        <w:rPr>
          <w:i/>
          <w:iCs/>
        </w:rPr>
        <w:t xml:space="preserve">Responsabile:</w:t>
      </w:r>
      <w:r>
        <w:t xml:space="preserve"> </w:t>
      </w:r>
      <w:r>
        <w:t xml:space="preserve">Nicolò (coordinamento) + consulente esterno</w:t>
      </w:r>
    </w:p>
    <w:bookmarkEnd w:id="28"/>
    <w:bookmarkStart w:id="29" w:name="milestone-fase-2"/>
    <w:p>
      <w:pPr>
        <w:pStyle w:val="Heading4"/>
      </w:pPr>
      <w:r>
        <w:t xml:space="preserve">Milestone Fase 2</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M2.1</w:t>
            </w:r>
          </w:p>
        </w:tc>
        <w:tc>
          <w:tcPr/>
          <w:p>
            <w:pPr>
              <w:pStyle w:val="Compact"/>
            </w:pPr>
            <w:r>
              <w:t xml:space="preserve">Mese 9</w:t>
            </w:r>
          </w:p>
        </w:tc>
        <w:tc>
          <w:tcPr/>
          <w:p>
            <w:pPr>
              <w:pStyle w:val="Compact"/>
            </w:pPr>
            <w:r>
              <w:t xml:space="preserve">Sistema 4 moduli integrato in LangGraph — test end-to-end completato</w:t>
            </w:r>
          </w:p>
        </w:tc>
      </w:tr>
      <w:tr>
        <w:tc>
          <w:tcPr/>
          <w:p>
            <w:pPr>
              <w:pStyle w:val="Compact"/>
            </w:pPr>
            <w:r>
              <w:t xml:space="preserve">M2.2</w:t>
            </w:r>
          </w:p>
        </w:tc>
        <w:tc>
          <w:tcPr/>
          <w:p>
            <w:pPr>
              <w:pStyle w:val="Compact"/>
            </w:pPr>
            <w:r>
              <w:t xml:space="preserve">Mese 10</w:t>
            </w:r>
          </w:p>
        </w:tc>
        <w:tc>
          <w:tcPr/>
          <w:p>
            <w:pPr>
              <w:pStyle w:val="Compact"/>
            </w:pPr>
            <w:r>
              <w:t xml:space="preserve">Prototipo AR hands-free: navigazione vocale funzionante su RealWear</w:t>
            </w:r>
          </w:p>
        </w:tc>
      </w:tr>
      <w:tr>
        <w:tc>
          <w:tcPr/>
          <w:p>
            <w:pPr>
              <w:pStyle w:val="Compact"/>
            </w:pPr>
            <w:r>
              <w:t xml:space="preserve">M2.3</w:t>
            </w:r>
          </w:p>
        </w:tc>
        <w:tc>
          <w:tcPr/>
          <w:p>
            <w:pPr>
              <w:pStyle w:val="Compact"/>
            </w:pPr>
            <w:r>
              <w:t xml:space="preserve">Mese 11</w:t>
            </w:r>
          </w:p>
        </w:tc>
        <w:tc>
          <w:tcPr/>
          <w:p>
            <w:pPr>
              <w:pStyle w:val="Compact"/>
            </w:pPr>
            <w:r>
              <w:t xml:space="preserve">Modello OHCA validato su dati 118 italiani — AUC documentato</w:t>
            </w:r>
          </w:p>
        </w:tc>
      </w:tr>
      <w:tr>
        <w:tc>
          <w:tcPr/>
          <w:p>
            <w:pPr>
              <w:pStyle w:val="Compact"/>
            </w:pPr>
            <w:r>
              <w:t xml:space="preserve">M2.4</w:t>
            </w:r>
          </w:p>
        </w:tc>
        <w:tc>
          <w:tcPr/>
          <w:p>
            <w:pPr>
              <w:pStyle w:val="Compact"/>
            </w:pPr>
            <w:r>
              <w:t xml:space="preserve">Mese 12</w:t>
            </w:r>
          </w:p>
        </w:tc>
        <w:tc>
          <w:tcPr/>
          <w:p>
            <w:pPr>
              <w:pStyle w:val="Compact"/>
            </w:pPr>
            <w:r>
              <w:t xml:space="preserve">Assessment tecnologico esterno completato — report consegnato</w:t>
            </w:r>
          </w:p>
        </w:tc>
      </w:tr>
      <w:tr>
        <w:tc>
          <w:tcPr/>
          <w:p>
            <w:pPr>
              <w:pStyle w:val="Compact"/>
            </w:pPr>
            <w:r>
              <w:t xml:space="preserve">M2.5</w:t>
            </w:r>
          </w:p>
        </w:tc>
        <w:tc>
          <w:tcPr/>
          <w:p>
            <w:pPr>
              <w:pStyle w:val="Compact"/>
            </w:pPr>
            <w:r>
              <w:t xml:space="preserve">Mese 14</w:t>
            </w:r>
          </w:p>
        </w:tc>
        <w:tc>
          <w:tcPr/>
          <w:p>
            <w:pPr>
              <w:pStyle w:val="Compact"/>
            </w:pPr>
            <w:r>
              <w:t xml:space="preserve">Fascicolo GDPR validato da consulente</w:t>
            </w:r>
          </w:p>
        </w:tc>
      </w:tr>
      <w:tr>
        <w:tc>
          <w:tcPr/>
          <w:p>
            <w:pPr>
              <w:pStyle w:val="Compact"/>
            </w:pPr>
            <w:r>
              <w:t xml:space="preserve">M2.6</w:t>
            </w:r>
          </w:p>
        </w:tc>
        <w:tc>
          <w:tcPr/>
          <w:p>
            <w:pPr>
              <w:pStyle w:val="Compact"/>
            </w:pPr>
            <w:r>
              <w:t xml:space="preserve">Mese 8</w:t>
            </w:r>
          </w:p>
        </w:tc>
        <w:tc>
          <w:tcPr/>
          <w:p>
            <w:pPr>
              <w:pStyle w:val="Compact"/>
            </w:pPr>
            <w:r>
              <w:t xml:space="preserve">EMSy Events attivo su GTC® (luglio 2027) — report post-evento</w:t>
            </w:r>
          </w:p>
        </w:tc>
      </w:tr>
      <w:tr>
        <w:tc>
          <w:tcPr/>
          <w:p>
            <w:pPr>
              <w:pStyle w:val="Compact"/>
            </w:pPr>
            <w:r>
              <w:t xml:space="preserve">M2.7</w:t>
            </w:r>
          </w:p>
        </w:tc>
        <w:tc>
          <w:tcPr/>
          <w:p>
            <w:pPr>
              <w:pStyle w:val="Compact"/>
            </w:pPr>
            <w:r>
              <w:t xml:space="preserve">Mese 10</w:t>
            </w:r>
          </w:p>
        </w:tc>
        <w:tc>
          <w:tcPr/>
          <w:p>
            <w:pPr>
              <w:pStyle w:val="Compact"/>
            </w:pPr>
            <w:r>
              <w:t xml:space="preserve">EMSy Events attivo su TORX® (settembre 2027) — report post-evento</w:t>
            </w:r>
          </w:p>
        </w:tc>
      </w:tr>
      <w:tr>
        <w:tc>
          <w:tcPr/>
          <w:p>
            <w:pPr>
              <w:pStyle w:val="Compact"/>
            </w:pPr>
            <w:r>
              <w:t xml:space="preserve">M2.8</w:t>
            </w:r>
          </w:p>
        </w:tc>
        <w:tc>
          <w:tcPr/>
          <w:p>
            <w:pPr>
              <w:pStyle w:val="Compact"/>
            </w:pPr>
            <w:r>
              <w:t xml:space="preserve">Mese 17</w:t>
            </w:r>
          </w:p>
        </w:tc>
        <w:tc>
          <w:tcPr/>
          <w:p>
            <w:pPr>
              <w:pStyle w:val="Compact"/>
            </w:pPr>
            <w:r>
              <w:t xml:space="preserve">Modulo Deep Learning (ECG/EEG) integrato nel sistema</w:t>
            </w:r>
          </w:p>
        </w:tc>
      </w:tr>
      <w:tr>
        <w:tc>
          <w:tcPr/>
          <w:p>
            <w:pPr>
              <w:pStyle w:val="Compact"/>
            </w:pPr>
            <w:r>
              <w:t xml:space="preserve">M2.9</w:t>
            </w:r>
          </w:p>
        </w:tc>
        <w:tc>
          <w:tcPr/>
          <w:p>
            <w:pPr>
              <w:pStyle w:val="Compact"/>
            </w:pPr>
            <w:r>
              <w:t xml:space="preserve">Mese 18</w:t>
            </w:r>
          </w:p>
        </w:tc>
        <w:tc>
          <w:tcPr/>
          <w:p>
            <w:pPr>
              <w:pStyle w:val="Compact"/>
            </w:pPr>
            <w:r>
              <w:t xml:space="preserve">Secondo dominio clinico attivo — ≥1 partner validatore identificato</w:t>
            </w:r>
          </w:p>
        </w:tc>
      </w:tr>
    </w:tbl>
    <w:bookmarkEnd w:id="29"/>
    <w:bookmarkStart w:id="30" w:name="budget-fase-2"/>
    <w:p>
      <w:pPr>
        <w:pStyle w:val="Heading4"/>
      </w:pPr>
      <w:r>
        <w:t xml:space="preserve">Budget Fase 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12 mesi)</w:t>
            </w:r>
          </w:p>
        </w:tc>
        <w:tc>
          <w:tcPr/>
          <w:p>
            <w:pPr>
              <w:pStyle w:val="Compact"/>
            </w:pPr>
            <w:r>
              <w:t xml:space="preserve">€21.600</w:t>
            </w:r>
          </w:p>
        </w:tc>
      </w:tr>
      <w:tr>
        <w:tc>
          <w:tcPr/>
          <w:p>
            <w:pPr>
              <w:pStyle w:val="Compact"/>
            </w:pPr>
            <w:r>
              <w:t xml:space="preserve">Prestazioni soci (67% del totale)</w:t>
            </w:r>
          </w:p>
        </w:tc>
        <w:tc>
          <w:tcPr/>
          <w:p>
            <w:pPr>
              <w:pStyle w:val="Compact"/>
            </w:pPr>
            <w:r>
              <w:t xml:space="preserve">€10.680</w:t>
            </w:r>
          </w:p>
        </w:tc>
      </w:tr>
      <w:tr>
        <w:tc>
          <w:tcPr/>
          <w:p>
            <w:pPr>
              <w:pStyle w:val="Compact"/>
            </w:pPr>
            <w:r>
              <w:t xml:space="preserve">Spese generali (15% × €21.600)</w:t>
            </w:r>
          </w:p>
        </w:tc>
        <w:tc>
          <w:tcPr/>
          <w:p>
            <w:pPr>
              <w:pStyle w:val="Compact"/>
            </w:pPr>
            <w:r>
              <w:t xml:space="preserve">€3.240</w:t>
            </w:r>
          </w:p>
        </w:tc>
      </w:tr>
      <w:tr>
        <w:tc>
          <w:tcPr/>
          <w:p>
            <w:pPr>
              <w:pStyle w:val="Compact"/>
            </w:pPr>
            <w:r>
              <w:t xml:space="preserve">Software / Licenze LLM (€800 × 12 mesi)</w:t>
            </w:r>
          </w:p>
        </w:tc>
        <w:tc>
          <w:tcPr/>
          <w:p>
            <w:pPr>
              <w:pStyle w:val="Compact"/>
            </w:pPr>
            <w:r>
              <w:t xml:space="preserve">€9.600</w:t>
            </w:r>
          </w:p>
        </w:tc>
      </w:tr>
      <w:tr>
        <w:tc>
          <w:tcPr/>
          <w:p>
            <w:pPr>
              <w:pStyle w:val="Compact"/>
            </w:pPr>
            <w:r>
              <w:t xml:space="preserve">Assessment tecnologico</w:t>
            </w:r>
          </w:p>
        </w:tc>
        <w:tc>
          <w:tcPr/>
          <w:p>
            <w:pPr>
              <w:pStyle w:val="Compact"/>
            </w:pPr>
            <w:r>
              <w:t xml:space="preserve">€4.500</w:t>
            </w:r>
          </w:p>
        </w:tc>
      </w:tr>
      <w:tr>
        <w:tc>
          <w:tcPr/>
          <w:p>
            <w:pPr>
              <w:pStyle w:val="Compact"/>
            </w:pPr>
            <w:r>
              <w:t xml:space="preserve">Margine di riserva Fase 2</w:t>
            </w:r>
          </w:p>
        </w:tc>
        <w:tc>
          <w:tcPr/>
          <w:p>
            <w:pPr>
              <w:pStyle w:val="Compact"/>
            </w:pPr>
            <w:r>
              <w:t xml:space="preserve">€3.170</w:t>
            </w:r>
          </w:p>
        </w:tc>
      </w:tr>
      <w:tr>
        <w:tc>
          <w:tcPr/>
          <w:p>
            <w:pPr>
              <w:pStyle w:val="Compact"/>
            </w:pPr>
            <w:r>
              <w:rPr>
                <w:b/>
                <w:bCs/>
              </w:rPr>
              <w:t xml:space="preserve">Totale Fase 2</w:t>
            </w:r>
          </w:p>
        </w:tc>
        <w:tc>
          <w:tcPr/>
          <w:p>
            <w:pPr>
              <w:pStyle w:val="Compact"/>
            </w:pPr>
            <w:r>
              <w:rPr>
                <w:b/>
                <w:bCs/>
              </w:rPr>
              <w:t xml:space="preserve">€52.790</w:t>
            </w:r>
          </w:p>
        </w:tc>
      </w:tr>
    </w:tbl>
    <w:p>
      <w:r>
        <w:pict>
          <v:rect style="width:0;height:1.5pt" o:hralign="center" o:hrstd="t" o:hr="t"/>
        </w:pict>
      </w:r>
    </w:p>
    <w:bookmarkEnd w:id="30"/>
    <w:bookmarkEnd w:id="31"/>
    <w:bookmarkEnd w:id="32"/>
    <w:bookmarkStart w:id="33" w:name="deliverables-finali"/>
    <w:p>
      <w:pPr>
        <w:pStyle w:val="Heading2"/>
      </w:pPr>
      <w:r>
        <w:t xml:space="preserve">6. Deliverables Finali</w:t>
      </w:r>
    </w:p>
    <w:tbl>
      <w:tblPr>
        <w:tblStyle w:val="Table"/>
        <w:tblW w:type="pct" w:w="5000"/>
        <w:tblLayout w:type="fixed"/>
        <w:tblLook w:firstRow="1" w:lastRow="0" w:firstColumn="0" w:lastColumn="0" w:noHBand="0" w:noVBand="0" w:val="0020"/>
      </w:tblPr>
      <w:tblGrid>
        <w:gridCol w:w="579"/>
        <w:gridCol w:w="2511"/>
        <w:gridCol w:w="1159"/>
        <w:gridCol w:w="3670"/>
      </w:tblGrid>
      <w:tr>
        <w:trPr>
          <w:tblHeader w:val="on"/>
        </w:trPr>
        <w:tc>
          <w:tcPr/>
          <w:p>
            <w:pPr>
              <w:pStyle w:val="Compact"/>
            </w:pPr>
            <w:r>
              <w:t xml:space="preserve">#</w:t>
            </w:r>
          </w:p>
        </w:tc>
        <w:tc>
          <w:tcPr/>
          <w:p>
            <w:pPr>
              <w:pStyle w:val="Compact"/>
            </w:pPr>
            <w:r>
              <w:t xml:space="preserve">Deliverable</w:t>
            </w:r>
          </w:p>
        </w:tc>
        <w:tc>
          <w:tcPr/>
          <w:p>
            <w:pPr>
              <w:pStyle w:val="Compact"/>
            </w:pPr>
            <w:r>
              <w:t xml:space="preserve">Fase</w:t>
            </w:r>
          </w:p>
        </w:tc>
        <w:tc>
          <w:tcPr/>
          <w:p>
            <w:pPr>
              <w:pStyle w:val="Compact"/>
            </w:pPr>
            <w:r>
              <w:t xml:space="preserve">Metrica di verifica</w:t>
            </w:r>
          </w:p>
        </w:tc>
      </w:tr>
      <w:tr>
        <w:tc>
          <w:tcPr/>
          <w:p>
            <w:pPr>
              <w:pStyle w:val="Compact"/>
            </w:pPr>
            <w:r>
              <w:t xml:space="preserve">D1</w:t>
            </w:r>
          </w:p>
        </w:tc>
        <w:tc>
          <w:tcPr/>
          <w:p>
            <w:pPr>
              <w:pStyle w:val="Compact"/>
            </w:pPr>
            <w:r>
              <w:t xml:space="preserve">Modulo ML predittivo OHCA (Modulo predittivo) — MVP</w:t>
            </w:r>
          </w:p>
        </w:tc>
        <w:tc>
          <w:tcPr/>
          <w:p>
            <w:pPr>
              <w:pStyle w:val="Compact"/>
            </w:pPr>
            <w:r>
              <w:t xml:space="preserve">1</w:t>
            </w:r>
          </w:p>
        </w:tc>
        <w:tc>
          <w:tcPr/>
          <w:p>
            <w:pPr>
              <w:pStyle w:val="Compact"/>
            </w:pPr>
            <w:r>
              <w:t xml:space="preserve">AUC ≥ 0.75; SHAP su 100% predizioni</w:t>
            </w:r>
          </w:p>
        </w:tc>
      </w:tr>
      <w:tr>
        <w:tc>
          <w:tcPr/>
          <w:p>
            <w:pPr>
              <w:pStyle w:val="Compact"/>
            </w:pPr>
            <w:r>
              <w:t xml:space="preserve">D2</w:t>
            </w:r>
          </w:p>
        </w:tc>
        <w:tc>
          <w:tcPr/>
          <w:p>
            <w:pPr>
              <w:pStyle w:val="Compact"/>
            </w:pPr>
            <w:r>
              <w:t xml:space="preserve">EMSy Events attivo su GTC® e TORX® 2027</w:t>
            </w:r>
          </w:p>
        </w:tc>
        <w:tc>
          <w:tcPr/>
          <w:p>
            <w:pPr>
              <w:pStyle w:val="Compact"/>
            </w:pPr>
            <w:r>
              <w:t xml:space="preserve">2</w:t>
            </w:r>
          </w:p>
        </w:tc>
        <w:tc>
          <w:tcPr/>
          <w:p>
            <w:pPr>
              <w:pStyle w:val="Compact"/>
            </w:pPr>
            <w:r>
              <w:t xml:space="preserve">Sistema live; dati su ≥500 atleti; report post-evento</w:t>
            </w:r>
          </w:p>
        </w:tc>
      </w:tr>
      <w:tr>
        <w:tc>
          <w:tcPr/>
          <w:p>
            <w:pPr>
              <w:pStyle w:val="Compact"/>
            </w:pPr>
            <w:r>
              <w:t xml:space="preserve">D3</w:t>
            </w:r>
          </w:p>
        </w:tc>
        <w:tc>
          <w:tcPr/>
          <w:p>
            <w:pPr>
              <w:pStyle w:val="Compact"/>
            </w:pPr>
            <w:r>
              <w:t xml:space="preserve">App mobile EMSy su App Store e Google Play</w:t>
            </w:r>
          </w:p>
        </w:tc>
        <w:tc>
          <w:tcPr/>
          <w:p>
            <w:pPr>
              <w:pStyle w:val="Compact"/>
            </w:pPr>
            <w:r>
              <w:t xml:space="preserve">1</w:t>
            </w:r>
          </w:p>
        </w:tc>
        <w:tc>
          <w:tcPr/>
          <w:p>
            <w:pPr>
              <w:pStyle w:val="Compact"/>
            </w:pPr>
            <w:r>
              <w:t xml:space="preserve">App pubblicata su entrambi gli store</w:t>
            </w:r>
          </w:p>
        </w:tc>
      </w:tr>
      <w:tr>
        <w:tc>
          <w:tcPr/>
          <w:p>
            <w:pPr>
              <w:pStyle w:val="Compact"/>
            </w:pPr>
            <w:r>
              <w:t xml:space="preserve">D4</w:t>
            </w:r>
          </w:p>
        </w:tc>
        <w:tc>
          <w:tcPr/>
          <w:p>
            <w:pPr>
              <w:pStyle w:val="Compact"/>
            </w:pPr>
            <w:r>
              <w:t xml:space="preserve">Sistema AI Data Expert integrato (4 moduli)</w:t>
            </w:r>
          </w:p>
        </w:tc>
        <w:tc>
          <w:tcPr/>
          <w:p>
            <w:pPr>
              <w:pStyle w:val="Compact"/>
            </w:pPr>
            <w:r>
              <w:t xml:space="preserve">2</w:t>
            </w:r>
          </w:p>
        </w:tc>
        <w:tc>
          <w:tcPr/>
          <w:p>
            <w:pPr>
              <w:pStyle w:val="Compact"/>
            </w:pPr>
            <w:r>
              <w:t xml:space="preserve">Test su ≥100 casi clinici reali documentati</w:t>
            </w:r>
          </w:p>
        </w:tc>
      </w:tr>
      <w:tr>
        <w:tc>
          <w:tcPr/>
          <w:p>
            <w:pPr>
              <w:pStyle w:val="Compact"/>
            </w:pPr>
            <w:r>
              <w:t xml:space="preserve">D5</w:t>
            </w:r>
          </w:p>
        </w:tc>
        <w:tc>
          <w:tcPr/>
          <w:p>
            <w:pPr>
              <w:pStyle w:val="Compact"/>
            </w:pPr>
            <w:r>
              <w:t xml:space="preserve">Validazione clinica OHCA su dati 118 italiani</w:t>
            </w:r>
          </w:p>
        </w:tc>
        <w:tc>
          <w:tcPr/>
          <w:p>
            <w:pPr>
              <w:pStyle w:val="Compact"/>
            </w:pPr>
            <w:r>
              <w:t xml:space="preserve">2</w:t>
            </w:r>
          </w:p>
        </w:tc>
        <w:tc>
          <w:tcPr/>
          <w:p>
            <w:pPr>
              <w:pStyle w:val="Compact"/>
            </w:pPr>
            <w:r>
              <w:t xml:space="preserve">AUC su dataset europeo; report di validazione</w:t>
            </w:r>
          </w:p>
        </w:tc>
      </w:tr>
      <w:tr>
        <w:tc>
          <w:tcPr/>
          <w:p>
            <w:pPr>
              <w:pStyle w:val="Compact"/>
            </w:pPr>
            <w:r>
              <w:t xml:space="preserve">D6</w:t>
            </w:r>
          </w:p>
        </w:tc>
        <w:tc>
          <w:tcPr/>
          <w:p>
            <w:pPr>
              <w:pStyle w:val="Compact"/>
            </w:pPr>
            <w:r>
              <w:t xml:space="preserve">Prototipo AR hands-free RealWear Navigator 520</w:t>
            </w:r>
          </w:p>
        </w:tc>
        <w:tc>
          <w:tcPr/>
          <w:p>
            <w:pPr>
              <w:pStyle w:val="Compact"/>
            </w:pPr>
            <w:r>
              <w:t xml:space="preserve">2</w:t>
            </w:r>
          </w:p>
        </w:tc>
        <w:tc>
          <w:tcPr/>
          <w:p>
            <w:pPr>
              <w:pStyle w:val="Compact"/>
            </w:pPr>
            <w:r>
              <w:t xml:space="preserve">Navigazione vocale funzionante in scenario simulato</w:t>
            </w:r>
          </w:p>
        </w:tc>
      </w:tr>
      <w:tr>
        <w:tc>
          <w:tcPr/>
          <w:p>
            <w:pPr>
              <w:pStyle w:val="Compact"/>
            </w:pPr>
            <w:r>
              <w:t xml:space="preserve">D7</w:t>
            </w:r>
          </w:p>
        </w:tc>
        <w:tc>
          <w:tcPr/>
          <w:p>
            <w:pPr>
              <w:pStyle w:val="Compact"/>
            </w:pPr>
            <w:r>
              <w:t xml:space="preserve">Assessment tecnologico esterno</w:t>
            </w:r>
          </w:p>
        </w:tc>
        <w:tc>
          <w:tcPr/>
          <w:p>
            <w:pPr>
              <w:pStyle w:val="Compact"/>
            </w:pPr>
            <w:r>
              <w:t xml:space="preserve">2</w:t>
            </w:r>
          </w:p>
        </w:tc>
        <w:tc>
          <w:tcPr/>
          <w:p>
            <w:pPr>
              <w:pStyle w:val="Compact"/>
            </w:pPr>
            <w:r>
              <w:t xml:space="preserve">Report consegnato entro mese 12</w:t>
            </w:r>
          </w:p>
        </w:tc>
      </w:tr>
      <w:tr>
        <w:tc>
          <w:tcPr/>
          <w:p>
            <w:pPr>
              <w:pStyle w:val="Compact"/>
            </w:pPr>
            <w:r>
              <w:t xml:space="preserve">D8</w:t>
            </w:r>
          </w:p>
        </w:tc>
        <w:tc>
          <w:tcPr/>
          <w:p>
            <w:pPr>
              <w:pStyle w:val="Compact"/>
            </w:pPr>
            <w:r>
              <w:t xml:space="preserve">Fascicolo GDPR validato</w:t>
            </w:r>
          </w:p>
        </w:tc>
        <w:tc>
          <w:tcPr/>
          <w:p>
            <w:pPr>
              <w:pStyle w:val="Compact"/>
            </w:pPr>
            <w:r>
              <w:t xml:space="preserve">2</w:t>
            </w:r>
          </w:p>
        </w:tc>
        <w:tc>
          <w:tcPr/>
          <w:p>
            <w:pPr>
              <w:pStyle w:val="Compact"/>
            </w:pPr>
            <w:r>
              <w:t xml:space="preserve">Audit completato; data retention policy formalizzata</w:t>
            </w:r>
          </w:p>
        </w:tc>
      </w:tr>
    </w:tbl>
    <w:p>
      <w:r>
        <w:pict>
          <v:rect style="width:0;height:1.5pt" o:hralign="center" o:hrstd="t" o:hr="t"/>
        </w:pict>
      </w:r>
    </w:p>
    <w:bookmarkEnd w:id="33"/>
    <w:bookmarkStart w:id="37" w:name="team-e-competenze"/>
    <w:p>
      <w:pPr>
        <w:pStyle w:val="Heading2"/>
      </w:pPr>
      <w:r>
        <w:t xml:space="preserve">7. Team e Competenze</w:t>
      </w:r>
    </w:p>
    <w:bookmarkStart w:id="34" w:name="soci-fondatori"/>
    <w:p>
      <w:pPr>
        <w:pStyle w:val="Heading3"/>
      </w:pPr>
      <w:r>
        <w:t xml:space="preserve">Soci fondatori</w:t>
      </w:r>
    </w:p>
    <w:tbl>
      <w:tblPr>
        <w:tblStyle w:val="Table"/>
        <w:tblW w:type="pct" w:w="5000"/>
        <w:tblLayout w:type="fixed"/>
        <w:tblLook w:firstRow="1" w:lastRow="0" w:firstColumn="0" w:lastColumn="0" w:noHBand="0" w:noVBand="0" w:val="0020"/>
      </w:tblPr>
      <w:tblGrid>
        <w:gridCol w:w="880"/>
        <w:gridCol w:w="2346"/>
        <w:gridCol w:w="1466"/>
        <w:gridCol w:w="3226"/>
      </w:tblGrid>
      <w:tr>
        <w:trPr>
          <w:tblHeader w:val="on"/>
        </w:trPr>
        <w:tc>
          <w:tcPr/>
          <w:p>
            <w:pPr>
              <w:pStyle w:val="Compact"/>
            </w:pPr>
            <w:r>
              <w:t xml:space="preserve">Nome</w:t>
            </w:r>
          </w:p>
        </w:tc>
        <w:tc>
          <w:tcPr/>
          <w:p>
            <w:pPr>
              <w:pStyle w:val="Compact"/>
            </w:pPr>
            <w:r>
              <w:t xml:space="preserve">Ruolo nel Piano</w:t>
            </w:r>
          </w:p>
        </w:tc>
        <w:tc>
          <w:tcPr/>
          <w:p>
            <w:pPr>
              <w:pStyle w:val="Compact"/>
            </w:pPr>
            <w:r>
              <w:t xml:space="preserve">Ore/mese</w:t>
            </w:r>
          </w:p>
        </w:tc>
        <w:tc>
          <w:tcPr/>
          <w:p>
            <w:pPr>
              <w:pStyle w:val="Compact"/>
            </w:pPr>
            <w:r>
              <w:t xml:space="preserve">Competenze specifiche</w:t>
            </w:r>
          </w:p>
        </w:tc>
      </w:tr>
      <w:tr>
        <w:tc>
          <w:tcPr/>
          <w:p>
            <w:pPr>
              <w:pStyle w:val="Compact"/>
            </w:pPr>
            <w:r>
              <w:rPr>
                <w:b/>
                <w:bCs/>
              </w:rPr>
              <w:t xml:space="preserve">Simon Grosjean</w:t>
            </w:r>
          </w:p>
        </w:tc>
        <w:tc>
          <w:tcPr/>
          <w:p>
            <w:pPr>
              <w:pStyle w:val="Compact"/>
            </w:pPr>
            <w:r>
              <w:t xml:space="preserve">Ideatore del progetto, sviluppo architettura AI, LangGraph, ML service, AR SDK</w:t>
            </w:r>
          </w:p>
        </w:tc>
        <w:tc>
          <w:tcPr/>
          <w:p>
            <w:pPr>
              <w:pStyle w:val="Compact"/>
            </w:pPr>
            <w:r>
              <w:t xml:space="preserve">~15 h/mese</w:t>
            </w:r>
          </w:p>
        </w:tc>
        <w:tc>
          <w:tcPr/>
          <w:p>
            <w:pPr>
              <w:pStyle w:val="Compact"/>
            </w:pPr>
            <w:r>
              <w:t xml:space="preserve">Medico del 118, fullstack senior, Python ML, LangChain/LangGraph, Capacitor</w:t>
            </w:r>
          </w:p>
        </w:tc>
      </w:tr>
      <w:tr>
        <w:tc>
          <w:tcPr/>
          <w:p>
            <w:pPr>
              <w:pStyle w:val="Compact"/>
            </w:pPr>
            <w:r>
              <w:rPr>
                <w:b/>
                <w:bCs/>
              </w:rPr>
              <w:t xml:space="preserve">Damiano Presciani</w:t>
            </w:r>
          </w:p>
        </w:tc>
        <w:tc>
          <w:tcPr/>
          <w:p>
            <w:pPr>
              <w:pStyle w:val="Compact"/>
            </w:pPr>
            <w:r>
              <w:t xml:space="preserve">Validazione clinica modelli, protocolli, dataset 118</w:t>
            </w:r>
          </w:p>
        </w:tc>
        <w:tc>
          <w:tcPr/>
          <w:p>
            <w:pPr>
              <w:pStyle w:val="Compact"/>
            </w:pPr>
            <w:r>
              <w:t xml:space="preserve">~8 h/mese</w:t>
            </w:r>
          </w:p>
        </w:tc>
        <w:tc>
          <w:tcPr/>
          <w:p>
            <w:pPr>
              <w:pStyle w:val="Compact"/>
            </w:pPr>
            <w:r>
              <w:t xml:space="preserve">Medico del 118, ideatore di EMSy Events, EMS medicalizzato, standard Utstein, OHCA</w:t>
            </w:r>
          </w:p>
        </w:tc>
      </w:tr>
      <w:tr>
        <w:tc>
          <w:tcPr/>
          <w:p>
            <w:pPr>
              <w:pStyle w:val="Compact"/>
            </w:pPr>
            <w:r>
              <w:rPr>
                <w:b/>
                <w:bCs/>
              </w:rPr>
              <w:t xml:space="preserve">Nicolò Balzani</w:t>
            </w:r>
          </w:p>
        </w:tc>
        <w:tc>
          <w:tcPr/>
          <w:p>
            <w:pPr>
              <w:pStyle w:val="Compact"/>
            </w:pPr>
            <w:r>
              <w:t xml:space="preserve">Marketing, comunicazione, gestione operativa del progetto, referente societario FESR</w:t>
            </w:r>
          </w:p>
        </w:tc>
        <w:tc>
          <w:tcPr/>
          <w:p>
            <w:pPr>
              <w:pStyle w:val="Compact"/>
            </w:pPr>
            <w:r>
              <w:t xml:space="preserve">~4 h/mese</w:t>
            </w:r>
          </w:p>
        </w:tc>
        <w:tc>
          <w:tcPr/>
          <w:p>
            <w:pPr>
              <w:pStyle w:val="Compact"/>
            </w:pPr>
            <w:r>
              <w:t xml:space="preserve">Coordinamento operativo, marketing, comunicazione, compliance</w:t>
            </w:r>
          </w:p>
        </w:tc>
      </w:tr>
    </w:tbl>
    <w:bookmarkEnd w:id="34"/>
    <w:bookmarkStart w:id="35" w:name="collaboratore-co.co.co"/>
    <w:p>
      <w:pPr>
        <w:pStyle w:val="Heading3"/>
      </w:pPr>
      <w:r>
        <w:t xml:space="preserve">Collaboratore Co.Co.Co</w:t>
      </w:r>
    </w:p>
    <w:p>
      <w:pPr>
        <w:pStyle w:val="FirstParagraph"/>
      </w:pPr>
      <w:r>
        <w:t xml:space="preserve">Sviluppatore AI junior (profilo studente universitario, nessun altro impiego), inserito per la durata del Piano (18 mesi). Mansioni: sviluppo microservizio ML FastAPI, pipeline dati, integrazione LangGraph, test. Sede operativa in Valle d’Aosta, max 20% smart working.</w:t>
      </w:r>
    </w:p>
    <w:bookmarkEnd w:id="35"/>
    <w:bookmarkStart w:id="36" w:name="esperti-esterni"/>
    <w:p>
      <w:pPr>
        <w:pStyle w:val="Heading3"/>
      </w:pPr>
      <w:r>
        <w:t xml:space="preserve">Esperti esterni</w:t>
      </w:r>
    </w:p>
    <w:p>
      <w:pPr>
        <w:pStyle w:val="Compact"/>
        <w:numPr>
          <w:ilvl w:val="0"/>
          <w:numId w:val="1003"/>
        </w:numPr>
      </w:pPr>
      <w:r>
        <w:rPr>
          <w:b/>
          <w:bCs/>
        </w:rPr>
        <w:t xml:space="preserve">Esperto assessment tecnologico:</w:t>
      </w:r>
      <w:r>
        <w:t xml:space="preserve"> </w:t>
      </w:r>
      <w:r>
        <w:t xml:space="preserve">profilo TBD, ≥5 anni esperienza in technology assessment o incubatori/startup innovative nel settore AI/medicale (da identificare entro avvio Piano, incarico entro mese 6)</w:t>
      </w:r>
    </w:p>
    <w:p>
      <w:pPr>
        <w:pStyle w:val="Compact"/>
        <w:numPr>
          <w:ilvl w:val="0"/>
          <w:numId w:val="1003"/>
        </w:numPr>
      </w:pPr>
      <w:r>
        <w:rPr>
          <w:b/>
          <w:bCs/>
        </w:rPr>
        <w:t xml:space="preserve">Consulente GDPR:</w:t>
      </w:r>
      <w:r>
        <w:t xml:space="preserve"> </w:t>
      </w:r>
      <w:r>
        <w:t xml:space="preserve">specialista in compliance dati sanitari, validazione sistema PII, redazione fascicoli tecnici</w:t>
      </w:r>
    </w:p>
    <w:p>
      <w:r>
        <w:pict>
          <v:rect style="width:0;height:1.5pt" o:hralign="center" o:hrstd="t" o:hr="t"/>
        </w:pict>
      </w:r>
    </w:p>
    <w:bookmarkEnd w:id="36"/>
    <w:bookmarkEnd w:id="37"/>
    <w:bookmarkStart w:id="38" w:name="gestione-dei-rischi"/>
    <w:p>
      <w:pPr>
        <w:pStyle w:val="Heading2"/>
      </w:pPr>
      <w:r>
        <w:t xml:space="preserve">8. Gestione dei Rischi</w:t>
      </w:r>
    </w:p>
    <w:tbl>
      <w:tblPr>
        <w:tblStyle w:val="Table"/>
        <w:tblW w:type="pct" w:w="5000"/>
        <w:tblLayout w:type="fixed"/>
        <w:tblLook w:firstRow="1" w:lastRow="0" w:firstColumn="0" w:lastColumn="0" w:noHBand="0" w:noVBand="0" w:val="0020"/>
      </w:tblPr>
      <w:tblGrid>
        <w:gridCol w:w="1620"/>
        <w:gridCol w:w="2340"/>
        <w:gridCol w:w="1620"/>
        <w:gridCol w:w="2340"/>
      </w:tblGrid>
      <w:tr>
        <w:trPr>
          <w:tblHeader w:val="on"/>
        </w:trPr>
        <w:tc>
          <w:tcPr/>
          <w:p>
            <w:pPr>
              <w:pStyle w:val="Compact"/>
            </w:pPr>
            <w:r>
              <w:t xml:space="preserve">Rischio</w:t>
            </w:r>
          </w:p>
        </w:tc>
        <w:tc>
          <w:tcPr/>
          <w:p>
            <w:pPr>
              <w:pStyle w:val="Compact"/>
            </w:pPr>
            <w:r>
              <w:t xml:space="preserve">Probabilità</w:t>
            </w:r>
          </w:p>
        </w:tc>
        <w:tc>
          <w:tcPr/>
          <w:p>
            <w:pPr>
              <w:pStyle w:val="Compact"/>
            </w:pPr>
            <w:r>
              <w:t xml:space="preserve">Impatto</w:t>
            </w:r>
          </w:p>
        </w:tc>
        <w:tc>
          <w:tcPr/>
          <w:p>
            <w:pPr>
              <w:pStyle w:val="Compact"/>
            </w:pPr>
            <w:r>
              <w:t xml:space="preserve">Mitigazione</w:t>
            </w:r>
          </w:p>
        </w:tc>
      </w:tr>
      <w:tr>
        <w:tc>
          <w:tcPr/>
          <w:p>
            <w:pPr>
              <w:pStyle w:val="Compact"/>
            </w:pPr>
            <w:r>
              <w:t xml:space="preserve">Dataset ROC Epistry v3 non disponibile nei tempi</w:t>
            </w:r>
          </w:p>
        </w:tc>
        <w:tc>
          <w:tcPr/>
          <w:p>
            <w:pPr>
              <w:pStyle w:val="Compact"/>
            </w:pPr>
            <w:r>
              <w:t xml:space="preserve">Media</w:t>
            </w:r>
          </w:p>
        </w:tc>
        <w:tc>
          <w:tcPr/>
          <w:p>
            <w:pPr>
              <w:pStyle w:val="Compact"/>
            </w:pPr>
            <w:r>
              <w:t xml:space="preserve">Alto</w:t>
            </w:r>
          </w:p>
        </w:tc>
        <w:tc>
          <w:tcPr/>
          <w:p>
            <w:pPr>
              <w:pStyle w:val="Compact"/>
            </w:pPr>
            <w:r>
              <w:t xml:space="preserve">Dataset WACAR (Mendeley, 814 casi) e DCAPS Korea (36k) già scaricabili come alternativa per avvio training</w:t>
            </w:r>
          </w:p>
        </w:tc>
      </w:tr>
      <w:tr>
        <w:tc>
          <w:tcPr/>
          <w:p>
            <w:pPr>
              <w:pStyle w:val="Compact"/>
            </w:pPr>
            <w:r>
              <w:t xml:space="preserve">AUC &lt; 0.75 al primo training</w:t>
            </w:r>
          </w:p>
        </w:tc>
        <w:tc>
          <w:tcPr/>
          <w:p>
            <w:pPr>
              <w:pStyle w:val="Compact"/>
            </w:pPr>
            <w:r>
              <w:t xml:space="preserve">Media</w:t>
            </w:r>
          </w:p>
        </w:tc>
        <w:tc>
          <w:tcPr/>
          <w:p>
            <w:pPr>
              <w:pStyle w:val="Compact"/>
            </w:pPr>
            <w:r>
              <w:t xml:space="preserve">Medio</w:t>
            </w:r>
          </w:p>
        </w:tc>
        <w:tc>
          <w:tcPr/>
          <w:p>
            <w:pPr>
              <w:pStyle w:val="Compact"/>
            </w:pPr>
            <w:r>
              <w:t xml:space="preserve">Feature engineering iterativo; possibilità di abbassare soglia a 0.70 con motivazione clinica; Damiano disponibile per revisione variabili</w:t>
            </w:r>
          </w:p>
        </w:tc>
      </w:tr>
      <w:tr>
        <w:tc>
          <w:tcPr/>
          <w:p>
            <w:pPr>
              <w:pStyle w:val="Compact"/>
            </w:pPr>
            <w:r>
              <w:t xml:space="preserve">Ritardo rilascio App Store (Apple review)</w:t>
            </w:r>
          </w:p>
        </w:tc>
        <w:tc>
          <w:tcPr/>
          <w:p>
            <w:pPr>
              <w:pStyle w:val="Compact"/>
            </w:pPr>
            <w:r>
              <w:t xml:space="preserve">Alta</w:t>
            </w:r>
          </w:p>
        </w:tc>
        <w:tc>
          <w:tcPr/>
          <w:p>
            <w:pPr>
              <w:pStyle w:val="Compact"/>
            </w:pPr>
            <w:r>
              <w:t xml:space="preserve">Basso</w:t>
            </w:r>
          </w:p>
        </w:tc>
        <w:tc>
          <w:tcPr/>
          <w:p>
            <w:pPr>
              <w:pStyle w:val="Compact"/>
            </w:pPr>
            <w:r>
              <w:t xml:space="preserve">Review Apple già avviata; build in submission; tempi medi 1-3 giorni, al massimo 2 settimane</w:t>
            </w:r>
          </w:p>
        </w:tc>
      </w:tr>
      <w:tr>
        <w:tc>
          <w:tcPr/>
          <w:p>
            <w:pPr>
              <w:pStyle w:val="Compact"/>
            </w:pPr>
            <w:r>
              <w:t xml:space="preserve">Difficoltà integrazione SDK RealWear</w:t>
            </w:r>
          </w:p>
        </w:tc>
        <w:tc>
          <w:tcPr/>
          <w:p>
            <w:pPr>
              <w:pStyle w:val="Compact"/>
            </w:pPr>
            <w:r>
              <w:t xml:space="preserve">Bassa</w:t>
            </w:r>
          </w:p>
        </w:tc>
        <w:tc>
          <w:tcPr/>
          <w:p>
            <w:pPr>
              <w:pStyle w:val="Compact"/>
            </w:pPr>
            <w:r>
              <w:t xml:space="preserve">Medio</w:t>
            </w:r>
          </w:p>
        </w:tc>
        <w:tc>
          <w:tcPr/>
          <w:p>
            <w:pPr>
              <w:pStyle w:val="Compact"/>
            </w:pPr>
            <w:r>
              <w:t xml:space="preserve">SDK ben documentato; comunità sviluppatori attiva; fallback su browser-based AR come alternativa</w:t>
            </w:r>
          </w:p>
        </w:tc>
      </w:tr>
      <w:tr>
        <w:tc>
          <w:tcPr/>
          <w:p>
            <w:pPr>
              <w:pStyle w:val="Compact"/>
            </w:pPr>
            <w:r>
              <w:t xml:space="preserve">Scostamento costi LLM oltre budget</w:t>
            </w:r>
          </w:p>
        </w:tc>
        <w:tc>
          <w:tcPr/>
          <w:p>
            <w:pPr>
              <w:pStyle w:val="Compact"/>
            </w:pPr>
            <w:r>
              <w:t xml:space="preserve">Bassa</w:t>
            </w:r>
          </w:p>
        </w:tc>
        <w:tc>
          <w:tcPr/>
          <w:p>
            <w:pPr>
              <w:pStyle w:val="Compact"/>
            </w:pPr>
            <w:r>
              <w:t xml:space="preserve">Basso</w:t>
            </w:r>
          </w:p>
        </w:tc>
        <w:tc>
          <w:tcPr/>
          <w:p>
            <w:pPr>
              <w:pStyle w:val="Compact"/>
            </w:pPr>
            <w:r>
              <w:t xml:space="preserve">Crediti AWS Activate e NVIDIA coprono i picchi iniziali; margine di riserva €6.340 disponibile</w:t>
            </w:r>
          </w:p>
        </w:tc>
      </w:tr>
      <w:tr>
        <w:tc>
          <w:tcPr/>
          <w:p>
            <w:pPr>
              <w:pStyle w:val="Compact"/>
            </w:pPr>
            <w:r>
              <w:t xml:space="preserve">Indisponibilità dati 118 per validazione</w:t>
            </w:r>
          </w:p>
        </w:tc>
        <w:tc>
          <w:tcPr/>
          <w:p>
            <w:pPr>
              <w:pStyle w:val="Compact"/>
            </w:pPr>
            <w:r>
              <w:t xml:space="preserve">Bassa</w:t>
            </w:r>
          </w:p>
        </w:tc>
        <w:tc>
          <w:tcPr/>
          <w:p>
            <w:pPr>
              <w:pStyle w:val="Compact"/>
            </w:pPr>
            <w:r>
              <w:t xml:space="preserve">Alto</w:t>
            </w:r>
          </w:p>
        </w:tc>
        <w:tc>
          <w:tcPr/>
          <w:p>
            <w:pPr>
              <w:pStyle w:val="Compact"/>
            </w:pPr>
            <w:r>
              <w:t xml:space="preserve">Damiano ha accesso diretto ai dati proprietari 118 come Medical Director</w:t>
            </w:r>
          </w:p>
        </w:tc>
      </w:tr>
    </w:tbl>
    <w:p>
      <w:r>
        <w:pict>
          <v:rect style="width:0;height:1.5pt" o:hralign="center" o:hrstd="t" o:hr="t"/>
        </w:pict>
      </w:r>
    </w:p>
    <w:bookmarkEnd w:id="38"/>
    <w:bookmarkStart w:id="43" w:name="compliance-normativa"/>
    <w:p>
      <w:pPr>
        <w:pStyle w:val="Heading2"/>
      </w:pPr>
      <w:r>
        <w:t xml:space="preserve">9. Compliance Normativa</w:t>
      </w:r>
    </w:p>
    <w:bookmarkStart w:id="39" w:name="gdpr-reg.-ue-2016679"/>
    <w:p>
      <w:pPr>
        <w:pStyle w:val="Heading3"/>
      </w:pPr>
      <w:r>
        <w:t xml:space="preserve">GDPR (Reg. UE 2016/679)</w:t>
      </w:r>
    </w:p>
    <w:p>
      <w:pPr>
        <w:pStyle w:val="FirstParagraph"/>
      </w:pPr>
      <w:r>
        <w:t xml:space="preserve">Sistema di anonimizzazione PII già in produzione con architettura a 3 layer indipendenti. Tutta l’infrastruttura in regioni EU. Nel Piano: validazione formale da consulente specializzato e produzione fascicolo documentale completo.</w:t>
      </w:r>
    </w:p>
    <w:bookmarkEnd w:id="39"/>
    <w:bookmarkStart w:id="40" w:name="eu-ai-act-reg.-ue-20241689"/>
    <w:p>
      <w:pPr>
        <w:pStyle w:val="Heading3"/>
      </w:pPr>
      <w:r>
        <w:t xml:space="preserve">EU AI Act (Reg. UE 2024/1689)</w:t>
      </w:r>
    </w:p>
    <w:p>
      <w:pPr>
        <w:pStyle w:val="FirstParagraph"/>
      </w:pPr>
      <w:r>
        <w:t xml:space="preserve">EMSy è classificato come strumento informativo ed educativo per professionisti sanitari. Rischio limitato (Art. 50): obbligo di trasparenza verso l’utente che il sistema è AI-assistito. Già rispettato nell’interfaccia corrente.</w:t>
      </w:r>
    </w:p>
    <w:bookmarkEnd w:id="40"/>
    <w:bookmarkStart w:id="41" w:name="dnsh-do-no-significant-harm"/>
    <w:p>
      <w:pPr>
        <w:pStyle w:val="Heading3"/>
      </w:pPr>
      <w:r>
        <w:t xml:space="preserve">DNSH — Do No Significant Harm</w:t>
      </w:r>
    </w:p>
    <w:p>
      <w:pPr>
        <w:pStyle w:val="FirstParagraph"/>
      </w:pPr>
      <w:r>
        <w:t xml:space="preserve">Il progetto è software-first: nessuna produzione manifatturiera, nessuna emissione diretta. Hardware acquistato da fornitori certificati RoHS (Direttiva 2011/65/UE) e WEEE (Direttiva 2012/19/UE). MacBook Pro 16” M4 Pro e RealWear Navigator 520 sono dispositivi con certificazione Energy Star e conformi agli standard Ecodesign.</w:t>
      </w:r>
    </w:p>
    <w:bookmarkEnd w:id="41"/>
    <w:bookmarkStart w:id="42" w:name="Xb60537d05df356f1dc72ec510e82e3b02244085"/>
    <w:p>
      <w:pPr>
        <w:pStyle w:val="Heading3"/>
      </w:pPr>
      <w:r>
        <w:t xml:space="preserve">ESPR — Ecodesign for Sustainable Products (Reg. UE 2024/1781)</w:t>
      </w:r>
    </w:p>
    <w:p>
      <w:pPr>
        <w:pStyle w:val="FirstParagraph"/>
      </w:pPr>
      <w:r>
        <w:t xml:space="preserve">L’hardware acquistato nel Piano è certificato Ecodesign, condizione per l’ottenimento della</w:t>
      </w:r>
      <w:r>
        <w:t xml:space="preserve"> </w:t>
      </w:r>
      <w:r>
        <w:rPr>
          <w:b/>
          <w:bCs/>
        </w:rPr>
        <w:t xml:space="preserve">premialità +5 punti</w:t>
      </w:r>
      <w:r>
        <w:t xml:space="preserve"> </w:t>
      </w:r>
      <w:r>
        <w:t xml:space="preserve">prevista dal bando.</w:t>
      </w:r>
    </w:p>
    <w:p>
      <w:r>
        <w:pict>
          <v:rect style="width:0;height:1.5pt" o:hralign="center" o:hrstd="t" o:hr="t"/>
        </w:pict>
      </w:r>
    </w:p>
    <w:bookmarkEnd w:id="42"/>
    <w:bookmarkEnd w:id="43"/>
    <w:bookmarkStart w:id="47" w:name="Xa1c949877decc7000b054203ddbe69fe59a0d9b"/>
    <w:p>
      <w:pPr>
        <w:pStyle w:val="Heading2"/>
      </w:pPr>
      <w:r>
        <w:t xml:space="preserve">10. Coerenza con la S3 Valle d’Aosta 2021-2027</w:t>
      </w:r>
    </w:p>
    <w:p>
      <w:pPr>
        <w:pStyle w:val="FirstParagraph"/>
      </w:pPr>
      <w:r>
        <w:t xml:space="preserve">La Smart Specialization Strategy (S3) regionale 2021-2027 individua tre aree di specializzazione intelligente su cui concentrare gli investimenti FESR per rafforzare la competitività del sistema produttivo e dell’ecosistema innovativo valdostano. Il Piano di sviluppo EMSy si inserisce coerentemente in tutte e tre le aree, con contributi specifici e misurabili.</w:t>
      </w:r>
    </w:p>
    <w:p>
      <w:r>
        <w:pict>
          <v:rect style="width:0;height:1.5pt" o:hralign="center" o:hrstd="t" o:hr="t"/>
        </w:pict>
      </w:r>
    </w:p>
    <w:bookmarkStart w:id="44" w:name="montagna-intelligente"/>
    <w:p>
      <w:pPr>
        <w:pStyle w:val="Heading3"/>
      </w:pPr>
      <w:r>
        <w:t xml:space="preserve">Montagna intelligente</w:t>
      </w:r>
    </w:p>
    <w:p>
      <w:pPr>
        <w:pStyle w:val="FirstParagraph"/>
      </w:pPr>
      <w:r>
        <w:rPr>
          <w:i/>
          <w:iCs/>
        </w:rPr>
        <w:t xml:space="preserve">Digitalizzazione, intelligenza artificiale e tecnologie avanzate applicate al contesto alpino</w:t>
      </w:r>
    </w:p>
    <w:p>
      <w:pPr>
        <w:pStyle w:val="BodyText"/>
      </w:pPr>
      <w:r>
        <w:t xml:space="preserve">La S3 identifica nella digitalizzazione e nell’AI una leva strategica per valorizzare le specificità del territorio montano, in settori in cui la Valle d’Aosta può sviluppare vantaggi competitivi rispetto ad altri contesti.</w:t>
      </w:r>
    </w:p>
    <w:p>
      <w:pPr>
        <w:pStyle w:val="BodyText"/>
      </w:pPr>
      <w:r>
        <w:rPr>
          <w:b/>
          <w:bCs/>
        </w:rPr>
        <w:t xml:space="preserve">Come EMSy contribuisce:</w:t>
      </w:r>
      <w:r>
        <w:t xml:space="preserve"> </w:t>
      </w:r>
      <w:r>
        <w:t xml:space="preserve">- L’AI Data Expert è un sistema progettato esplicitamente per le criticità del contesto alpino: funziona con connettività ridotta o instabile, è ottimizzato per l’uso con i guanti, in condizioni meteo avverse, da parte di operatori sotto stress</w:t>
      </w:r>
      <w:r>
        <w:t xml:space="preserve"> </w:t>
      </w:r>
      <w:r>
        <w:t xml:space="preserve">- Il sistema multi-agente integra intelligenza artificiale avanzata (LLM, ML predittivo, Deep Learning su segnali biomedici) in un contesto operativo — il soccorso in montagna — in cui nessun prodotto analogo esiste oggi sul mercato</w:t>
      </w:r>
      <w:r>
        <w:t xml:space="preserve"> </w:t>
      </w:r>
      <w:r>
        <w:t xml:space="preserve">- La prototipazione dell’interfaccia AR hands-free su RealWear Navigator 520 introduce un paradigma di interazione uomo-AI inedito per la medicina d’emergenza alpina, trasferibile in futuro al soccorso alpino e speleologico valdostano (SAVALP)</w:t>
      </w:r>
      <w:r>
        <w:t xml:space="preserve"> </w:t>
      </w:r>
      <w:r>
        <w:t xml:space="preserve">- Il sistema raccoglie e analizza dati clinici provenienti da interventi reali in ambiente montano, creando un patrimonio informativo unico per la ricerca applicata al territorio</w:t>
      </w:r>
    </w:p>
    <w:p>
      <w:r>
        <w:pict>
          <v:rect style="width:0;height:1.5pt" o:hralign="center" o:hrstd="t" o:hr="t"/>
        </w:pict>
      </w:r>
    </w:p>
    <w:bookmarkEnd w:id="44"/>
    <w:bookmarkStart w:id="45" w:name="montagna-di-eccellenza"/>
    <w:p>
      <w:pPr>
        <w:pStyle w:val="Heading3"/>
      </w:pPr>
      <w:r>
        <w:t xml:space="preserve">Montagna di eccellenza</w:t>
      </w:r>
    </w:p>
    <w:p>
      <w:pPr>
        <w:pStyle w:val="FirstParagraph"/>
      </w:pPr>
      <w:r>
        <w:rPr>
          <w:i/>
          <w:iCs/>
        </w:rPr>
        <w:t xml:space="preserve">Qualità della vita, sicurezza, sanità e servizi ad alto valore aggiunto</w:t>
      </w:r>
    </w:p>
    <w:p>
      <w:pPr>
        <w:pStyle w:val="BodyText"/>
      </w:pPr>
      <w:r>
        <w:t xml:space="preserve">La S3 punta a consolidare la Valle d’Aosta come territorio di eccellenza nei servizi alla persona, con particolare attenzione alla sicurezza in montagna e alla qualità del sistema sanitario territoriale.</w:t>
      </w:r>
    </w:p>
    <w:p>
      <w:pPr>
        <w:pStyle w:val="BodyText"/>
      </w:pPr>
      <w:r>
        <w:rPr>
          <w:b/>
          <w:bCs/>
        </w:rPr>
        <w:t xml:space="preserve">Come EMSy contribuisce:</w:t>
      </w:r>
      <w:r>
        <w:t xml:space="preserve"> </w:t>
      </w:r>
      <w:r>
        <w:t xml:space="preserve">- Valle d’Aosta è sede del sistema di emergenza territoriale 118 e del Corpo Valdostano di Soccorso Alpino e Speleologico (SAVALP): un ecosistema di eccellenza operativa che EMSy valorizza portando innovazione tecnologica dove l’expertise umana è già alta</w:t>
      </w:r>
      <w:r>
        <w:t xml:space="preserve"> </w:t>
      </w:r>
      <w:r>
        <w:t xml:space="preserve">- Il Piano di sviluppo prevede la validazione clinica del modello OHCA su dati reali del sistema 118 italiano — un contributo scientifico concreto alla medicina d’urgenza preospedaliera europea, prodotto in Valle d’Aosta</w:t>
      </w:r>
      <w:r>
        <w:t xml:space="preserve"> </w:t>
      </w:r>
      <w:r>
        <w:t xml:space="preserve">- L’attivazione di EMSy Events su GTC® (Gran Trail Courmayeur, oltre 2.000 atleti da 50+ paesi) e TORX® with Kailas 2027 porta innovazione sanitaria diretta su eventi di rilevanza internazionale che si svolgono sul territorio valdostano, con Piano Sanitario approvato dall’AUSL Valle d’Aosta</w:t>
      </w:r>
      <w:r>
        <w:t xml:space="preserve"> </w:t>
      </w:r>
      <w:r>
        <w:t xml:space="preserve">- La piattaforma migliora la qualità e l’uniformità delle cure preospedaliere, riducendo la variabilità clinica legata all’esperienza del singolo operatore — un impatto diretto sulla sicurezza di residenti e turisti in Valle d’Aosta</w:t>
      </w:r>
      <w:r>
        <w:t xml:space="preserve"> </w:t>
      </w:r>
      <w:r>
        <w:t xml:space="preserve">- Il progetto crea occupazione qualificata nel settore AI/tecnologia in Valle d’Aosta, un profilo professionale ancora raro sul territorio</w:t>
      </w:r>
    </w:p>
    <w:p>
      <w:r>
        <w:pict>
          <v:rect style="width:0;height:1.5pt" o:hralign="center" o:hrstd="t" o:hr="t"/>
        </w:pict>
      </w:r>
    </w:p>
    <w:bookmarkEnd w:id="45"/>
    <w:bookmarkStart w:id="46" w:name="montagna-sostenibile"/>
    <w:p>
      <w:pPr>
        <w:pStyle w:val="Heading3"/>
      </w:pPr>
      <w:r>
        <w:t xml:space="preserve">Montagna sostenibile</w:t>
      </w:r>
    </w:p>
    <w:p>
      <w:pPr>
        <w:pStyle w:val="FirstParagraph"/>
      </w:pPr>
      <w:r>
        <w:rPr>
          <w:i/>
          <w:iCs/>
        </w:rPr>
        <w:t xml:space="preserve">Transizione ecologica, efficienza energetica e modelli produttivi a basso impatto ambientale</w:t>
      </w:r>
    </w:p>
    <w:p>
      <w:pPr>
        <w:pStyle w:val="BodyText"/>
      </w:pPr>
      <w:r>
        <w:t xml:space="preserve">La S3 promuove modelli di sviluppo economico compatibili con la fragilità dell’ecosistema alpino, privilegiando tecnologie a basso impatto ambientale e processi produttivi dematerializzati.</w:t>
      </w:r>
    </w:p>
    <w:p>
      <w:pPr>
        <w:pStyle w:val="BodyText"/>
      </w:pPr>
      <w:r>
        <w:rPr>
          <w:b/>
          <w:bCs/>
        </w:rPr>
        <w:t xml:space="preserve">Come EMSy contribuisce:</w:t>
      </w:r>
      <w:r>
        <w:t xml:space="preserve"> </w:t>
      </w:r>
      <w:r>
        <w:t xml:space="preserve">- Il modello di business è interamente</w:t>
      </w:r>
      <w:r>
        <w:t xml:space="preserve"> </w:t>
      </w:r>
      <w:r>
        <w:rPr>
          <w:b/>
          <w:bCs/>
        </w:rPr>
        <w:t xml:space="preserve">software-first e cloud-based</w:t>
      </w:r>
      <w:r>
        <w:t xml:space="preserve">: nessuna produzione manifatturiera, nessuna supply chain fisica, zero emissioni operative dirette legate allo sviluppo del prodotto</w:t>
      </w:r>
      <w:r>
        <w:t xml:space="preserve"> </w:t>
      </w:r>
      <w:r>
        <w:t xml:space="preserve">- L’infrastruttura cloud (Vercel EU, Neon, AWS) è ospitata in data center con certificazioni di efficienza energetica, localizzati in regioni EU con mix energetico a basse emissioni</w:t>
      </w:r>
      <w:r>
        <w:t xml:space="preserve"> </w:t>
      </w:r>
      <w:r>
        <w:t xml:space="preserve">- L’hardware acquistato nel Piano (MacBook Pro M4 Pro, RealWear Navigator 520) è certificato</w:t>
      </w:r>
      <w:r>
        <w:t xml:space="preserve"> </w:t>
      </w:r>
      <w:r>
        <w:rPr>
          <w:b/>
          <w:bCs/>
        </w:rPr>
        <w:t xml:space="preserve">Energy Star</w:t>
      </w:r>
      <w:r>
        <w:t xml:space="preserve"> </w:t>
      </w:r>
      <w:r>
        <w:t xml:space="preserve">e conforme agli standard</w:t>
      </w:r>
      <w:r>
        <w:t xml:space="preserve"> </w:t>
      </w:r>
      <w:r>
        <w:rPr>
          <w:b/>
          <w:bCs/>
        </w:rPr>
        <w:t xml:space="preserve">Ecodesign (ESPR, Reg. UE 2024/1781)</w:t>
      </w:r>
      <w:r>
        <w:t xml:space="preserve"> </w:t>
      </w:r>
      <w:r>
        <w:t xml:space="preserve">e</w:t>
      </w:r>
      <w:r>
        <w:t xml:space="preserve"> </w:t>
      </w:r>
      <w:r>
        <w:rPr>
          <w:b/>
          <w:bCs/>
        </w:rPr>
        <w:t xml:space="preserve">RoHS/WEEE</w:t>
      </w:r>
      <w:r>
        <w:t xml:space="preserve"> </w:t>
      </w:r>
      <w:r>
        <w:t xml:space="preserve">— condizione per l’ottenimento della premialità +5 punti prevista dal bando</w:t>
      </w:r>
      <w:r>
        <w:t xml:space="preserve"> </w:t>
      </w:r>
      <w:r>
        <w:t xml:space="preserve">- La piattaforma distribuisce conoscenza clinica in modalità digitale, eliminando la necessità di spostamenti fisici per la formazione continua degli operatori del soccorso (ECM digitale), con ricaduta diretta sulla riduzione delle emissioni legate alla mobilità formativa</w:t>
      </w:r>
      <w:r>
        <w:t xml:space="preserve"> </w:t>
      </w:r>
      <w:r>
        <w:t xml:space="preserve">- Il sistema di anonimizzazione PII a 3 layer garantisce che nessun dato sanitario grezzo lasci l’Unione Europea, in linea con i principi di sovranità digitale europea promossi dalla strategia GAIA-X</w:t>
      </w:r>
    </w:p>
    <w:p>
      <w:r>
        <w:pict>
          <v:rect style="width:0;height:1.5pt" o:hralign="center" o:hrstd="t" o:hr="t"/>
        </w:pict>
      </w:r>
    </w:p>
    <w:bookmarkEnd w:id="46"/>
    <w:bookmarkEnd w:id="47"/>
    <w:bookmarkStart w:id="48" w:name="assessment-tecnologico"/>
    <w:p>
      <w:pPr>
        <w:pStyle w:val="Heading2"/>
      </w:pPr>
      <w:r>
        <w:t xml:space="preserve">11. Assessment Tecnologico</w:t>
      </w:r>
    </w:p>
    <w:p>
      <w:pPr>
        <w:pStyle w:val="FirstParagraph"/>
      </w:pPr>
      <w:r>
        <w:t xml:space="preserve">Come previsto dall’Art. 12 dell’Avviso, il Piano di sviluppo include un</w:t>
      </w:r>
      <w:r>
        <w:t xml:space="preserve"> </w:t>
      </w:r>
      <w:r>
        <w:rPr>
          <w:b/>
          <w:bCs/>
        </w:rPr>
        <w:t xml:space="preserve">assessment tecnologico obbligatorio</w:t>
      </w:r>
      <w:r>
        <w:t xml:space="preserve"> </w:t>
      </w:r>
      <w:r>
        <w:t xml:space="preserve">condotto da esperto esterno indipendente con almeno 5 anni di esperienza documentata in assessment tecnologico, gestione di startup innovative o incubatori nel settore AI o medicale.</w:t>
      </w:r>
    </w:p>
    <w:p>
      <w:pPr>
        <w:pStyle w:val="BodyText"/>
      </w:pPr>
      <w:r>
        <w:rPr>
          <w:b/>
          <w:bCs/>
        </w:rPr>
        <w:t xml:space="preserve">Tempistica:</w:t>
      </w:r>
      <w:r>
        <w:t xml:space="preserve"> </w:t>
      </w:r>
      <w:r>
        <w:t xml:space="preserve">affidamento formale entro mese 6, assessment completato entro mese 12.</w:t>
      </w:r>
    </w:p>
    <w:p>
      <w:pPr>
        <w:pStyle w:val="BodyText"/>
      </w:pPr>
      <w:r>
        <w:rPr>
          <w:b/>
          <w:bCs/>
        </w:rPr>
        <w:t xml:space="preserve">Oggetto dell’assessment:</w:t>
      </w:r>
      <w:r>
        <w:t xml:space="preserve"> </w:t>
      </w:r>
      <w:r>
        <w:t xml:space="preserve">- Valutazione dell’architettura tecnica del sistema AI Data Expert</w:t>
      </w:r>
      <w:r>
        <w:t xml:space="preserve"> </w:t>
      </w:r>
      <w:r>
        <w:t xml:space="preserve">- Analisi del posizionamento competitivo rispetto alla letteratura scientifica internazionale</w:t>
      </w:r>
      <w:r>
        <w:t xml:space="preserve"> </w:t>
      </w:r>
      <w:r>
        <w:t xml:space="preserve">- Verifica della coerenza tra deliverables realizzati e Piano approvato</w:t>
      </w:r>
      <w:r>
        <w:t xml:space="preserve"> </w:t>
      </w:r>
      <w:r>
        <w:t xml:space="preserve">- Raccomandazioni per la fase di scale-up successiva al Piano</w:t>
      </w:r>
    </w:p>
    <w:p>
      <w:pPr>
        <w:pStyle w:val="BodyText"/>
      </w:pPr>
      <w:r>
        <w:rPr>
          <w:b/>
          <w:bCs/>
        </w:rPr>
        <w:t xml:space="preserve">Budget:</w:t>
      </w:r>
      <w:r>
        <w:t xml:space="preserve"> </w:t>
      </w:r>
      <w:r>
        <w:t xml:space="preserve">€4.500 (con margine del 20% per eventuale scostamento senza necessità di autorizzazione preventiva, ai sensi dell’Art. 10, comma 7 dell’Avviso).</w:t>
      </w:r>
    </w:p>
    <w:p>
      <w:r>
        <w:pict>
          <v:rect style="width:0;height:1.5pt" o:hralign="center" o:hrstd="t" o:hr="t"/>
        </w:pict>
      </w:r>
    </w:p>
    <w:bookmarkEnd w:id="48"/>
    <w:bookmarkStart w:id="49" w:name="obblighi-post-finanziamento"/>
    <w:p>
      <w:pPr>
        <w:pStyle w:val="Heading2"/>
      </w:pPr>
      <w:r>
        <w:t xml:space="preserve">12. Obblighi Post-Finanziamento</w:t>
      </w:r>
    </w:p>
    <w:p>
      <w:pPr>
        <w:pStyle w:val="FirstParagraph"/>
      </w:pPr>
      <w:r>
        <w:t xml:space="preserve">EMSy si impegna al rispetto di tutti gli obblighi previsti dall’Avviso:</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Obbligo</w:t>
            </w:r>
          </w:p>
        </w:tc>
        <w:tc>
          <w:tcPr/>
          <w:p>
            <w:pPr>
              <w:pStyle w:val="Compact"/>
            </w:pPr>
            <w:r>
              <w:t xml:space="preserve">Modalità di adempimento</w:t>
            </w:r>
          </w:p>
        </w:tc>
      </w:tr>
      <w:tr>
        <w:tc>
          <w:tcPr/>
          <w:p>
            <w:pPr>
              <w:pStyle w:val="Compact"/>
            </w:pPr>
            <w:r>
              <w:t xml:space="preserve">IBAN dedicato</w:t>
            </w:r>
          </w:p>
        </w:tc>
        <w:tc>
          <w:tcPr/>
          <w:p>
            <w:pPr>
              <w:pStyle w:val="Compact"/>
            </w:pPr>
            <w:r>
              <w:t xml:space="preserve">Apertura conto dedicato al progetto entro concessione contributo</w:t>
            </w:r>
          </w:p>
        </w:tc>
      </w:tr>
      <w:tr>
        <w:tc>
          <w:tcPr/>
          <w:p>
            <w:pPr>
              <w:pStyle w:val="Compact"/>
            </w:pPr>
            <w:r>
              <w:t xml:space="preserve">Contabilità separata</w:t>
            </w:r>
          </w:p>
        </w:tc>
        <w:tc>
          <w:tcPr/>
          <w:p>
            <w:pPr>
              <w:pStyle w:val="Compact"/>
            </w:pPr>
            <w:r>
              <w:t xml:space="preserve">Tutte le spese esclusivamente su IBAN dedicato, con CUP su ogni documento</w:t>
            </w:r>
          </w:p>
        </w:tc>
      </w:tr>
      <w:tr>
        <w:tc>
          <w:tcPr/>
          <w:p>
            <w:pPr>
              <w:pStyle w:val="Compact"/>
            </w:pPr>
            <w:r>
              <w:t xml:space="preserve">Rapportini orari</w:t>
            </w:r>
          </w:p>
        </w:tc>
        <w:tc>
          <w:tcPr/>
          <w:p>
            <w:pPr>
              <w:pStyle w:val="Compact"/>
            </w:pPr>
            <w:r>
              <w:t xml:space="preserve">Fogli presenza mensili per Co.Co.Co e soci, controfirmati</w:t>
            </w:r>
          </w:p>
        </w:tc>
      </w:tr>
      <w:tr>
        <w:tc>
          <w:tcPr/>
          <w:p>
            <w:pPr>
              <w:pStyle w:val="Compact"/>
            </w:pPr>
            <w:r>
              <w:t xml:space="preserve">Max 20% smart working</w:t>
            </w:r>
          </w:p>
        </w:tc>
        <w:tc>
          <w:tcPr/>
          <w:p>
            <w:pPr>
              <w:pStyle w:val="Compact"/>
            </w:pPr>
            <w:r>
              <w:t xml:space="preserve">Presenza fisica documentata in VdA per ≥80% delle ore rendicontate</w:t>
            </w:r>
          </w:p>
        </w:tc>
      </w:tr>
      <w:tr>
        <w:tc>
          <w:tcPr/>
          <w:p>
            <w:pPr>
              <w:pStyle w:val="Compact"/>
            </w:pPr>
            <w:r>
              <w:t xml:space="preserve">Hardware in VdA</w:t>
            </w:r>
          </w:p>
        </w:tc>
        <w:tc>
          <w:tcPr/>
          <w:p>
            <w:pPr>
              <w:pStyle w:val="Compact"/>
            </w:pPr>
            <w:r>
              <w:t xml:space="preserve">MBP e RealWear rimangono presso sede VdA per 3 anni post-progetto</w:t>
            </w:r>
          </w:p>
        </w:tc>
      </w:tr>
      <w:tr>
        <w:tc>
          <w:tcPr/>
          <w:p>
            <w:pPr>
              <w:pStyle w:val="Compact"/>
            </w:pPr>
            <w:r>
              <w:t xml:space="preserve">Assessment entro anno 1</w:t>
            </w:r>
          </w:p>
        </w:tc>
        <w:tc>
          <w:tcPr/>
          <w:p>
            <w:pPr>
              <w:pStyle w:val="Compact"/>
            </w:pPr>
            <w:r>
              <w:t xml:space="preserve">Pianificato entro mese 12 (vedi sezione 11)</w:t>
            </w:r>
          </w:p>
        </w:tc>
      </w:tr>
      <w:tr>
        <w:tc>
          <w:tcPr/>
          <w:p>
            <w:pPr>
              <w:pStyle w:val="Compact"/>
            </w:pPr>
            <w:r>
              <w:t xml:space="preserve">DNSH</w:t>
            </w:r>
          </w:p>
        </w:tc>
        <w:tc>
          <w:tcPr/>
          <w:p>
            <w:pPr>
              <w:pStyle w:val="Compact"/>
            </w:pPr>
            <w:r>
              <w:t xml:space="preserve">Hardware certificato RoHS/WEEE/Ecodesign (vedi sezione 9)</w:t>
            </w:r>
          </w:p>
        </w:tc>
      </w:tr>
    </w:tbl>
    <w:p>
      <w:r>
        <w:pict>
          <v:rect style="width:0;height:1.5pt" o:hralign="center" o:hrstd="t" o:hr="t"/>
        </w:pict>
      </w:r>
    </w:p>
    <w:p>
      <w:pPr>
        <w:pStyle w:val="FirstParagraph"/>
      </w:pPr>
      <w:r>
        <w:rPr>
          <w:i/>
          <w:iCs/>
        </w:rPr>
        <w:t xml:space="preserve">Documento interno EMSy S.r.l. — Aggiornato giugno 2026 — Non diffondere</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2026-06-12T12:50:58Z</dcterms:created>
  <dcterms:modified xsi:type="dcterms:W3CDTF">2026-06-12T12:50:58Z</dcterms:modified>
</cp:coreProperties>
</file>

<file path=docProps/custom.xml><?xml version="1.0" encoding="utf-8"?>
<Properties xmlns="http://schemas.openxmlformats.org/officeDocument/2006/custom-properties" xmlns:vt="http://schemas.openxmlformats.org/officeDocument/2006/docPropsVTypes"/>
</file>