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€6.195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€15.795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Consulenze specialistiche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€2.926 (88 ore)</w:t>
            </w:r>
          </w:p>
        </w:tc>
        <w:tc>
          <w:tcPr/>
          <w:p>
            <w:pPr>
              <w:pStyle w:val="Compact"/>
            </w:pPr>
            <w:r>
              <w:t xml:space="preserve">€5.874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€1.596 (48 ore)</w:t>
            </w:r>
          </w:p>
        </w:tc>
        <w:tc>
          <w:tcPr/>
          <w:p>
            <w:pPr>
              <w:pStyle w:val="Compact"/>
            </w:pPr>
            <w:r>
              <w:t xml:space="preserve">€3.204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€798 (24 ore)</w:t>
            </w:r>
          </w:p>
        </w:tc>
        <w:tc>
          <w:tcPr/>
          <w:p>
            <w:pPr>
              <w:pStyle w:val="Compact"/>
            </w:pPr>
            <w:r>
              <w:t xml:space="preserve">€1.602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€5.320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1920×1200/occhio, 52° FoV — strumento di prototipazione UI/UX interfaccia clinica in AR)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Server GPU: certificato Energy Star + ESPR Ecodesign →</w:t>
      </w:r>
      <w:r>
        <w:t xml:space="preserve"> </w:t>
      </w:r>
      <w:r>
        <w:rPr>
          <w:b/>
          <w:bCs/>
        </w:rPr>
        <w:t xml:space="preserve">+5 punti premialità</w:t>
      </w:r>
      <w:r>
        <w:t xml:space="preserve">; XREAL 1S: certificato CE/RoHS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variabilità cloud (+€1.395 Fase 1)</w:t>
            </w:r>
          </w:p>
        </w:tc>
        <w:tc>
          <w:tcPr/>
          <w:p>
            <w:pPr>
              <w:pStyle w:val="Compact"/>
            </w:pPr>
            <w:r>
              <w:t xml:space="preserve">Contingenza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€1.395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Software/Licenze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€6.195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€15.795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Il buffer di €1.395 in Fase 1 copre la variabilità dei prezzi cloud (AWS Bedrock, OpenRouter), soggetti a repricing trimestrale, senza necessità di autorizzazione preventiva (±20% per voce, Art. 10 Avviso).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nsulenze-specialistiche"/>
    <w:p>
      <w:pPr>
        <w:pStyle w:val="Heading2"/>
      </w:pPr>
      <w:r>
        <w:t xml:space="preserve">9. Consulenze Specialistiche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Validazione clinica indipendente (esperto esterno medicina d’emergenza)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 (MDR, cybersec)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prodotto con operatori durante eventi/esercitazioni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Consulenze specialistiche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€3.170</w:t>
            </w:r>
          </w:p>
        </w:tc>
      </w:tr>
    </w:tbl>
    <w:p>
      <w:pPr>
        <w:pStyle w:val="BodyText"/>
      </w:pPr>
      <w:r>
        <w:t xml:space="preserve">Tutte le consulenze sono imputate a Fase 2, dove si concentrano le attività di validazione e scaling. Importi soggetti a conferma preventivi — entro il ±20% per voce non è richiesta autorizzazione preventiva (Art. 10 Avviso).</w:t>
      </w:r>
    </w:p>
    <w:p>
      <w:r>
        <w:pict>
          <v:rect style="width:0;height:1.5pt" o:hralign="center" o:hrstd="t" o:hr="t"/>
        </w:pict>
      </w:r>
    </w:p>
    <w:bookmarkEnd w:id="20"/>
    <w:bookmarkStart w:id="21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1"/>
    <w:bookmarkStart w:id="22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D.L. 179/2012 art. 25 (+10%)</w:t>
            </w:r>
          </w:p>
        </w:tc>
        <w:tc>
          <w:tcPr/>
          <w:p>
            <w:pPr>
              <w:pStyle w:val="Compact"/>
            </w:pPr>
            <w:r>
              <w:t xml:space="preserve">€8.000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€56.000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2026-06-14T13:24:47Z</dcterms:created>
  <dcterms:modified xsi:type="dcterms:W3CDTF">2026-06-14T13:24:47Z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