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€4.565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€2.907 (88 ore)</w:t>
            </w:r>
          </w:p>
        </w:tc>
        <w:tc>
          <w:tcPr/>
          <w:p>
            <w:pPr>
              <w:pStyle w:val="Compact"/>
            </w:pPr>
            <w:r>
              <w:t xml:space="preserve">€5.893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€1.587 (48 ore)</w:t>
            </w:r>
          </w:p>
        </w:tc>
        <w:tc>
          <w:tcPr/>
          <w:p>
            <w:pPr>
              <w:pStyle w:val="Compact"/>
            </w:pPr>
            <w:r>
              <w:t xml:space="preserve">€3.213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€793 (24 ore)</w:t>
            </w:r>
          </w:p>
        </w:tc>
        <w:tc>
          <w:tcPr/>
          <w:p>
            <w:pPr>
              <w:pStyle w:val="Compact"/>
            </w:pPr>
            <w:r>
              <w:t xml:space="preserve">€1.607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€5.287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1920×1200/occhio, 52° FoV — strumento di prototipazione UI/UX interfaccia clinica in AR)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Server GPU: certificato Energy Star + ESPR Ecodesign →</w:t>
      </w:r>
      <w:r>
        <w:t xml:space="preserve"> </w:t>
      </w:r>
      <w:r>
        <w:rPr>
          <w:b/>
          <w:bCs/>
        </w:rPr>
        <w:t xml:space="preserve">+5 punti premialità</w:t>
      </w:r>
      <w:r>
        <w:t xml:space="preserve">; XREAL 1S: certificato CE/RoHS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margine-di-riserva"/>
    <w:p>
      <w:pPr>
        <w:pStyle w:val="Heading2"/>
      </w:pPr>
      <w:r>
        <w:t xml:space="preserve">9. Margine di Riserva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pPr>
        <w:pStyle w:val="BodyText"/>
      </w:pPr>
      <w:r>
        <w:t xml:space="preserve">Il margine copre variazioni di costo entro il</w:t>
      </w:r>
      <w:r>
        <w:t xml:space="preserve"> </w:t>
      </w:r>
      <w:r>
        <w:rPr>
          <w:b/>
          <w:bCs/>
        </w:rPr>
        <w:t xml:space="preserve">20% per voce per fase</w:t>
      </w:r>
      <w:r>
        <w:t xml:space="preserve"> </w:t>
      </w:r>
      <w:r>
        <w:t xml:space="preserve">senza necessità di autorizzazione preventiva (Art. 10, comma 7 dell’Avviso). Da formalizzare con il commercialista per l’allocazione nella categoria ammessa del formulario SISPREG2014.</w:t>
      </w:r>
    </w:p>
    <w:bookmarkStart w:id="20" w:name="X3585d83951baabc3ebeb22881f6a283f37071e5"/>
    <w:p>
      <w:pPr>
        <w:pStyle w:val="Heading3"/>
      </w:pPr>
      <w:r>
        <w:t xml:space="preserve">Destinazione prevista del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 Fase 1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(validazione clinica indipendente)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di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2"/>
    <w:bookmarkStart w:id="23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L.R. 14/2011 (+10%)</w:t>
            </w:r>
          </w:p>
        </w:tc>
        <w:tc>
          <w:tcPr/>
          <w:p>
            <w:pPr>
              <w:pStyle w:val="Compact"/>
            </w:pPr>
            <w:r>
              <w:t xml:space="preserve">€8.000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2026-06-13T09:10:37Z</dcterms:created>
  <dcterms:modified xsi:type="dcterms:W3CDTF">2026-06-13T09:10:37Z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