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d’emergenza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e app mobile (iOS/Android) con:</w:t>
      </w:r>
      <w:r>
        <w:t xml:space="preserve"> </w:t>
      </w:r>
      <w:r>
        <w:t xml:space="preserve">- AI Assistant (RAG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(OHCA,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multi-agente a moduli specializzati orchestrati da LangGraph:</w:t>
      </w:r>
      <w:r>
        <w:t xml:space="preserve"> </w:t>
      </w:r>
      <w:r>
        <w:t xml:space="preserve">- Modulo letteratura (attivo): LLM + RAG su letteratura medica</w:t>
      </w:r>
      <w:r>
        <w:t xml:space="preserve"> </w:t>
      </w:r>
      <w:r>
        <w:t xml:space="preserve">- Modulo predittivo (sviluppo Fase 1): ML classico su dati tabulari OHCA (XGBoost, SHAP explainability)</w:t>
      </w:r>
      <w:r>
        <w:t xml:space="preserve"> </w:t>
      </w:r>
      <w:r>
        <w:t xml:space="preserve">- Modulo segnali (sviluppo Fase 2): Deep Learning su segnali ECG/EEG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attivazione operativa con partner contrattuale VDA Trailers su GTC® (luglio 2026) e TORX® (settembre 2026).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2026, entrambi eventi valdostani di rilevanza internazionale con Piano Sanitario approvato dall’AUSL Valle d’Aosta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€52.800</w:t>
      </w:r>
      <w:r>
        <w:t xml:space="preserve"> </w:t>
      </w:r>
      <w:r>
        <w:t xml:space="preserve">(70% su €80.000) copre il 65% dei costi totali del Piano di sviluppo, con un cofinanziamento EMSy di €27.200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tecnologia AR</w:t>
      </w:r>
      <w:r>
        <w:t xml:space="preserve"> </w:t>
      </w:r>
      <w:r>
        <w:t xml:space="preserve">(RealWear Navigator 520) per applicazioni future nel soccorso alpino valdostano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2026-06-12T10:44:24Z</dcterms:created>
  <dcterms:modified xsi:type="dcterms:W3CDTF">2026-06-12T10:44:24Z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