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udget-forecast-dettagliato-emsy-s.r.l."/>
    <w:p>
      <w:pPr>
        <w:pStyle w:val="Heading1"/>
      </w:pPr>
      <w:r>
        <w:t xml:space="preserve">Budget Forecast Dettagliato — EMSy S.r.l.</w:t>
      </w:r>
    </w:p>
    <w:p>
      <w:pPr>
        <w:pStyle w:val="FirstParagraph"/>
      </w:pPr>
      <w:r>
        <w:rPr>
          <w:b/>
          <w:bCs/>
        </w:rPr>
        <w:t xml:space="preserve">Bando FESR DGR 575/2025 — Sostegno alle startup innovative — Valle d’Aosta</w:t>
      </w:r>
      <w:r>
        <w:t xml:space="preserve"> </w:t>
      </w:r>
      <w:r>
        <w:rPr>
          <w:b/>
          <w:bCs/>
        </w:rPr>
        <w:t xml:space="preserve">Progetto:</w:t>
      </w:r>
      <w:r>
        <w:t xml:space="preserve"> </w:t>
      </w:r>
      <w:r>
        <w:t xml:space="preserve">Sistema AI multi-agente per il supporto informativo all’emergenza preospedaliera in ambiente montano</w:t>
      </w:r>
      <w:r>
        <w:t xml:space="preserve"> </w:t>
      </w:r>
      <w:r>
        <w:rPr>
          <w:i/>
          <w:iCs/>
        </w:rPr>
        <w:t xml:space="preserve">Aggiornato: giugno 2026</w:t>
      </w:r>
    </w:p>
    <w:p>
      <w:r>
        <w:pict>
          <v:rect style="width:0;height:1.5pt" o:hralign="center" o:hrstd="t" o:hr="t"/>
        </w:pict>
      </w:r>
    </w:p>
    <w:bookmarkStart w:id="9" w:name="riepilogo-generale"/>
    <w:p>
      <w:pPr>
        <w:pStyle w:val="Heading2"/>
      </w:pPr>
      <w:r>
        <w:t xml:space="preserve">1. Riepilogo Generale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Fase 1 (mesi 1–6)</w:t>
            </w:r>
          </w:p>
        </w:tc>
        <w:tc>
          <w:tcPr/>
          <w:p>
            <w:pPr>
              <w:pStyle w:val="Compact"/>
            </w:pPr>
            <w:r>
              <w:t xml:space="preserve">Fase 2 (mesi 7–18)</w:t>
            </w:r>
          </w:p>
        </w:tc>
        <w:tc>
          <w:tcPr/>
          <w:p>
            <w:pPr>
              <w:pStyle w:val="Compac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 progetto</w:t>
            </w:r>
          </w:p>
        </w:tc>
        <w:tc>
          <w:tcPr/>
          <w:p>
            <w:pPr>
              <w:pStyle w:val="Compact"/>
            </w:pPr>
            <w:r>
              <w:t xml:space="preserve">€27.210</w:t>
            </w:r>
          </w:p>
        </w:tc>
        <w:tc>
          <w:tcPr/>
          <w:p>
            <w:pPr>
              <w:pStyle w:val="Compact"/>
            </w:pPr>
            <w:r>
              <w:t xml:space="preserve">€52.790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€80.000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Contributo FESR (70%)</w:t>
            </w:r>
          </w:p>
        </w:tc>
        <w:tc>
          <w:tcPr/>
          <w:p>
            <w:pPr>
              <w:pStyle w:val="Compact"/>
            </w:pPr>
            <w:r>
              <w:t xml:space="preserve">€19.047</w:t>
            </w:r>
          </w:p>
        </w:tc>
        <w:tc>
          <w:tcPr/>
          <w:p>
            <w:pPr>
              <w:pStyle w:val="Compact"/>
            </w:pPr>
            <w:r>
              <w:t xml:space="preserve">€36.953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€52.800</w:t>
            </w:r>
            <w:r>
              <w:t xml:space="preserve"> </w:t>
            </w:r>
            <w:r>
              <w:t xml:space="preserve">(arrotondato)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Cofinanziamento EMSy (30%)</w:t>
            </w:r>
          </w:p>
        </w:tc>
        <w:tc>
          <w:tcPr/>
          <w:p>
            <w:pPr>
              <w:pStyle w:val="Compact"/>
            </w:pPr>
            <w:r>
              <w:t xml:space="preserve">€8.163</w:t>
            </w:r>
          </w:p>
        </w:tc>
        <w:tc>
          <w:tcPr/>
          <w:p>
            <w:pPr>
              <w:pStyle w:val="Compact"/>
            </w:pPr>
            <w:r>
              <w:t xml:space="preserve">€15.837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€27.200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budget-per-voce-di-spesa"/>
    <w:p>
      <w:pPr>
        <w:pStyle w:val="Heading2"/>
      </w:pPr>
      <w:r>
        <w:t xml:space="preserve">2. Budget per Voce di Spesa</w:t>
      </w:r>
    </w:p>
    <w:bookmarkStart w:id="10" w:name="riepilogo-per-fase"/>
    <w:p>
      <w:pPr>
        <w:pStyle w:val="Heading3"/>
      </w:pPr>
      <w:r>
        <w:t xml:space="preserve">Riepilogo per fase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Co.Co.Co sviluppatore AI</w:t>
            </w:r>
          </w:p>
        </w:tc>
        <w:tc>
          <w:tcPr/>
          <w:p>
            <w:pPr>
              <w:pStyle w:val="Compact"/>
            </w:pPr>
            <w:r>
              <w:t xml:space="preserve">€10.800</w:t>
            </w:r>
          </w:p>
        </w:tc>
        <w:tc>
          <w:tcPr/>
          <w:p>
            <w:pPr>
              <w:pStyle w:val="Compact"/>
            </w:pPr>
            <w:r>
              <w:t xml:space="preserve">€21.600</w:t>
            </w:r>
          </w:p>
        </w:tc>
        <w:tc>
          <w:tcPr/>
          <w:p>
            <w:pPr>
              <w:pStyle w:val="Compact"/>
            </w:pPr>
            <w:r>
              <w:t xml:space="preserve">€32.400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Prestazioni soci (UCS)</w:t>
            </w:r>
          </w:p>
        </w:tc>
        <w:tc>
          <w:tcPr/>
          <w:p>
            <w:pPr>
              <w:pStyle w:val="Compact"/>
            </w:pPr>
            <w:r>
              <w:t xml:space="preserve">€5.320</w:t>
            </w:r>
          </w:p>
        </w:tc>
        <w:tc>
          <w:tcPr/>
          <w:p>
            <w:pPr>
              <w:pStyle w:val="Compact"/>
            </w:pPr>
            <w:r>
              <w:t xml:space="preserve">€10.680</w:t>
            </w:r>
          </w:p>
        </w:tc>
        <w:tc>
          <w:tcPr/>
          <w:p>
            <w:pPr>
              <w:pStyle w:val="Compact"/>
            </w:pPr>
            <w:r>
              <w:t xml:space="preserve">€16.000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Spese generali (15%)</w:t>
            </w:r>
          </w:p>
        </w:tc>
        <w:tc>
          <w:tcPr/>
          <w:p>
            <w:pPr>
              <w:pStyle w:val="Compact"/>
            </w:pPr>
            <w:r>
              <w:t xml:space="preserve">€1.620</w:t>
            </w:r>
          </w:p>
        </w:tc>
        <w:tc>
          <w:tcPr/>
          <w:p>
            <w:pPr>
              <w:pStyle w:val="Compact"/>
            </w:pPr>
            <w:r>
              <w:t xml:space="preserve">€3.240</w:t>
            </w:r>
          </w:p>
        </w:tc>
        <w:tc>
          <w:tcPr/>
          <w:p>
            <w:pPr>
              <w:pStyle w:val="Compact"/>
            </w:pPr>
            <w:r>
              <w:t xml:space="preserve">€4.860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(quota ammortamento)</w:t>
            </w:r>
          </w:p>
        </w:tc>
        <w:tc>
          <w:tcPr/>
          <w:p>
            <w:pPr>
              <w:pStyle w:val="Compact"/>
            </w:pPr>
            <w:r>
              <w:t xml:space="preserve">€3.275</w:t>
            </w:r>
          </w:p>
        </w:tc>
        <w:tc>
          <w:tcPr/>
          <w:p>
            <w:pPr>
              <w:pStyle w:val="Compact"/>
            </w:pPr>
            <w:r>
              <w:t xml:space="preserve">€0</w:t>
            </w:r>
          </w:p>
        </w:tc>
        <w:tc>
          <w:tcPr/>
          <w:p>
            <w:pPr>
              <w:pStyle w:val="Compact"/>
            </w:pPr>
            <w:r>
              <w:t xml:space="preserve">€3.275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/ Licenze LLM</w:t>
            </w:r>
          </w:p>
        </w:tc>
        <w:tc>
          <w:tcPr/>
          <w:p>
            <w:pPr>
              <w:pStyle w:val="Compact"/>
            </w:pPr>
            <w:r>
              <w:t xml:space="preserve">€4.800</w:t>
            </w:r>
          </w:p>
        </w:tc>
        <w:tc>
          <w:tcPr/>
          <w:p>
            <w:pPr>
              <w:pStyle w:val="Compact"/>
            </w:pPr>
            <w:r>
              <w:t xml:space="preserve">€9.600</w:t>
            </w:r>
          </w:p>
        </w:tc>
        <w:tc>
          <w:tcPr/>
          <w:p>
            <w:pPr>
              <w:pStyle w:val="Compact"/>
            </w:pPr>
            <w:r>
              <w:t xml:space="preserve">€14.400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tecnologico</w:t>
            </w:r>
          </w:p>
        </w:tc>
        <w:tc>
          <w:tcPr/>
          <w:p>
            <w:pPr>
              <w:pStyle w:val="Compact"/>
            </w:pPr>
            <w:r>
              <w:t xml:space="preserve">€0</w:t>
            </w:r>
          </w:p>
        </w:tc>
        <w:tc>
          <w:tcPr/>
          <w:p>
            <w:pPr>
              <w:pStyle w:val="Compact"/>
            </w:pPr>
            <w:r>
              <w:t xml:space="preserve">€4.500</w:t>
            </w:r>
          </w:p>
        </w:tc>
        <w:tc>
          <w:tcPr/>
          <w:p>
            <w:pPr>
              <w:pStyle w:val="Compact"/>
            </w:pPr>
            <w:r>
              <w:t xml:space="preserve">€4.500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Margine di riserva</w:t>
            </w:r>
          </w:p>
        </w:tc>
        <w:tc>
          <w:tcPr/>
          <w:p>
            <w:pPr>
              <w:pStyle w:val="Compact"/>
            </w:pPr>
            <w:r>
              <w:t xml:space="preserve">€1.395</w:t>
            </w:r>
          </w:p>
        </w:tc>
        <w:tc>
          <w:tcPr/>
          <w:p>
            <w:pPr>
              <w:pStyle w:val="Compact"/>
            </w:pPr>
            <w:r>
              <w:t xml:space="preserve">€3.170</w:t>
            </w:r>
          </w:p>
        </w:tc>
        <w:tc>
          <w:tcPr/>
          <w:p>
            <w:pPr>
              <w:pStyle w:val="Compact"/>
            </w:pPr>
            <w:r>
              <w:t xml:space="preserve">€4.565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€27.210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€52.790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€80.000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dettaglio-co.co.co-sviluppatore-ai"/>
    <w:p>
      <w:pPr>
        <w:pStyle w:val="Heading2"/>
      </w:pPr>
      <w:r>
        <w:t xml:space="preserve">3. Dettaglio Co.Co.Co Sviluppatore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Fase 1 (6 mesi)</w:t>
            </w:r>
          </w:p>
        </w:tc>
        <w:tc>
          <w:tcPr/>
          <w:p>
            <w:pPr>
              <w:pStyle w:val="Compact"/>
            </w:pPr>
            <w:r>
              <w:t xml:space="preserve">Fase 2 (12 mesi)</w:t>
            </w:r>
          </w:p>
        </w:tc>
        <w:tc>
          <w:tcPr/>
          <w:p>
            <w:pPr>
              <w:pStyle w:val="Compact"/>
            </w:pPr>
            <w:r>
              <w:t xml:space="preserve">Totale 18 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Compenso lordo mensile</w:t>
            </w:r>
          </w:p>
        </w:tc>
        <w:tc>
          <w:tcPr/>
          <w:p>
            <w:pPr>
              <w:pStyle w:val="Compact"/>
            </w:pPr>
            <w:r>
              <w:t xml:space="preserve">€1.800</w:t>
            </w:r>
          </w:p>
        </w:tc>
        <w:tc>
          <w:tcPr/>
          <w:p>
            <w:pPr>
              <w:pStyle w:val="Compact"/>
            </w:pPr>
            <w:r>
              <w:t xml:space="preserve">€1.800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Totale compensi lordi</w:t>
            </w:r>
          </w:p>
        </w:tc>
        <w:tc>
          <w:tcPr/>
          <w:p>
            <w:pPr>
              <w:pStyle w:val="Compact"/>
            </w:pPr>
            <w:r>
              <w:t xml:space="preserve">€10.800</w:t>
            </w:r>
          </w:p>
        </w:tc>
        <w:tc>
          <w:tcPr/>
          <w:p>
            <w:pPr>
              <w:pStyle w:val="Compact"/>
            </w:pPr>
            <w:r>
              <w:t xml:space="preserve">€21.600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€32.400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 rendicontabili/mese (€1.800 ÷ €33 UCS)</w:t>
            </w:r>
          </w:p>
        </w:tc>
        <w:tc>
          <w:tcPr/>
          <w:p>
            <w:pPr>
              <w:pStyle w:val="Compact"/>
            </w:pPr>
            <w:r>
              <w:t xml:space="preserve">~54,5 h</w:t>
            </w:r>
          </w:p>
        </w:tc>
        <w:tc>
          <w:tcPr/>
          <w:p>
            <w:pPr>
              <w:pStyle w:val="Compact"/>
            </w:pPr>
            <w:r>
              <w:t xml:space="preserve">~54,5 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Ore totali rendicontabili</w:t>
            </w:r>
          </w:p>
        </w:tc>
        <w:tc>
          <w:tcPr/>
          <w:p>
            <w:pPr>
              <w:pStyle w:val="Compact"/>
            </w:pPr>
            <w:r>
              <w:t xml:space="preserve">~327 h</w:t>
            </w:r>
          </w:p>
        </w:tc>
        <w:tc>
          <w:tcPr/>
          <w:p>
            <w:pPr>
              <w:pStyle w:val="Compact"/>
            </w:pPr>
            <w:r>
              <w:t xml:space="preserve">~654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~981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 UCS (981 ore × €33)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€32.373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Rimborso FESR 70% su valore UCS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~€22.661</w:t>
            </w:r>
          </w:p>
        </w:tc>
      </w:tr>
    </w:tbl>
    <w:p>
      <w:pPr>
        <w:pStyle w:val="BlockText"/>
      </w:pPr>
      <w:r>
        <w:t xml:space="preserve">⚠️ Il rimborso FESR si calcola sul</w:t>
      </w:r>
      <w:r>
        <w:t xml:space="preserve"> </w:t>
      </w:r>
      <w:r>
        <w:rPr>
          <w:b/>
          <w:bCs/>
        </w:rPr>
        <w:t xml:space="preserve">valore UCS</w:t>
      </w:r>
      <w:r>
        <w:t xml:space="preserve"> </w:t>
      </w:r>
      <w:r>
        <w:t xml:space="preserve">(ore × €33), non sul costo reale aziendale. Il costo reale include anche i contributi INPS Gestione Separata a carico azienda (~€398/mese), per un totale reale di ~€2.198/mese.</w:t>
      </w:r>
    </w:p>
    <w:p>
      <w:r>
        <w:pict>
          <v:rect style="width:0;height:1.5pt" o:hralign="center" o:hrstd="t" o:hr="t"/>
        </w:pict>
      </w:r>
    </w:p>
    <w:bookmarkEnd w:id="12"/>
    <w:bookmarkStart w:id="15" w:name="dettaglio-prestazioni-soci"/>
    <w:p>
      <w:pPr>
        <w:pStyle w:val="Heading2"/>
      </w:pPr>
      <w:r>
        <w:t xml:space="preserve">4. Dettaglio Prestazioni Soci</w:t>
      </w:r>
    </w:p>
    <w:p>
      <w:pPr>
        <w:pStyle w:val="FirstParagraph"/>
      </w:pPr>
      <w:r>
        <w:rPr>
          <w:b/>
          <w:bCs/>
        </w:rPr>
        <w:t xml:space="preserve">Tariffa UCS:</w:t>
      </w:r>
      <w:r>
        <w:t xml:space="preserve"> </w:t>
      </w:r>
      <w:r>
        <w:t xml:space="preserve">€33/ora (Art. 12, PD n.2417 del 07/05/2025) — fissa per tutte le categorie.</w:t>
      </w:r>
      <w:r>
        <w:t xml:space="preserve"> </w:t>
      </w:r>
      <w:r>
        <w:rPr>
          <w:b/>
          <w:bCs/>
        </w:rPr>
        <w:t xml:space="preserve">Tetto massimo:</w:t>
      </w:r>
      <w:r>
        <w:t xml:space="preserve"> </w:t>
      </w:r>
      <w:r>
        <w:t xml:space="preserve">20% del costo complessivo del progetto = €16.000 (rispettato).</w:t>
      </w:r>
    </w:p>
    <w:bookmarkStart w:id="13" w:name="distribuzione-per-socio"/>
    <w:p>
      <w:pPr>
        <w:pStyle w:val="Heading3"/>
      </w:pPr>
      <w:r>
        <w:t xml:space="preserve">Distribuzione per socio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5"/>
        <w:gridCol w:w="1164"/>
        <w:gridCol w:w="1747"/>
        <w:gridCol w:w="1281"/>
        <w:gridCol w:w="1164"/>
        <w:gridCol w:w="1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% budget</w:t>
            </w:r>
          </w:p>
        </w:tc>
        <w:tc>
          <w:tcPr/>
          <w:p>
            <w:pPr>
              <w:pStyle w:val="Compact"/>
            </w:pPr>
            <w:r>
              <w:t xml:space="preserve">Totale 18 mesi</w:t>
            </w:r>
          </w:p>
        </w:tc>
        <w:tc>
          <w:tcPr/>
          <w:p>
            <w:pPr>
              <w:pStyle w:val="Compact"/>
            </w:pPr>
            <w:r>
              <w:t xml:space="preserve">Ore totali</w:t>
            </w:r>
          </w:p>
        </w:tc>
        <w:tc>
          <w:tcPr/>
          <w:p>
            <w:pPr>
              <w:pStyle w:val="Compact"/>
            </w:pPr>
            <w:r>
              <w:t xml:space="preserve">Ore/mese</w:t>
            </w:r>
          </w:p>
        </w:tc>
        <w:tc>
          <w:tcPr/>
          <w:p>
            <w:pPr>
              <w:pStyle w:val="Compact"/>
            </w:pPr>
            <w:r>
              <w:t xml:space="preserve">Ore/settimana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Simon Grosjean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€8.800</w:t>
            </w:r>
          </w:p>
        </w:tc>
        <w:tc>
          <w:tcPr/>
          <w:p>
            <w:pPr>
              <w:pStyle w:val="Compact"/>
            </w:pPr>
            <w:r>
              <w:t xml:space="preserve">267 ore</w:t>
            </w:r>
          </w:p>
        </w:tc>
        <w:tc>
          <w:tcPr/>
          <w:p>
            <w:pPr>
              <w:pStyle w:val="Compact"/>
            </w:pPr>
            <w:r>
              <w:t xml:space="preserve">~14,8 h</w:t>
            </w:r>
          </w:p>
        </w:tc>
        <w:tc>
          <w:tcPr/>
          <w:p>
            <w:pPr>
              <w:pStyle w:val="Compact"/>
            </w:pPr>
            <w:r>
              <w:t xml:space="preserve">~3,5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Damiano Presciani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€4.800</w:t>
            </w:r>
          </w:p>
        </w:tc>
        <w:tc>
          <w:tcPr/>
          <w:p>
            <w:pPr>
              <w:pStyle w:val="Compact"/>
            </w:pPr>
            <w:r>
              <w:t xml:space="preserve">145 ore</w:t>
            </w:r>
          </w:p>
        </w:tc>
        <w:tc>
          <w:tcPr/>
          <w:p>
            <w:pPr>
              <w:pStyle w:val="Compact"/>
            </w:pPr>
            <w:r>
              <w:t xml:space="preserve">~8,1 h</w:t>
            </w:r>
          </w:p>
        </w:tc>
        <w:tc>
          <w:tcPr/>
          <w:p>
            <w:pPr>
              <w:pStyle w:val="Compact"/>
            </w:pPr>
            <w:r>
              <w:t xml:space="preserve">~2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Nicolò Balzani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€2.400</w:t>
            </w:r>
          </w:p>
        </w:tc>
        <w:tc>
          <w:tcPr/>
          <w:p>
            <w:pPr>
              <w:pStyle w:val="Compact"/>
            </w:pPr>
            <w:r>
              <w:t xml:space="preserve">73 ore</w:t>
            </w:r>
          </w:p>
        </w:tc>
        <w:tc>
          <w:tcPr/>
          <w:p>
            <w:pPr>
              <w:pStyle w:val="Compact"/>
            </w:pPr>
            <w:r>
              <w:t xml:space="preserve">~4,1 h</w:t>
            </w:r>
          </w:p>
        </w:tc>
        <w:tc>
          <w:tcPr/>
          <w:p>
            <w:pPr>
              <w:pStyle w:val="Compact"/>
            </w:pPr>
            <w:r>
              <w:t xml:space="preserve">~1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€16.000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485 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~27 h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distribuzione-per-fase"/>
    <w:p>
      <w:pPr>
        <w:pStyle w:val="Heading3"/>
      </w:pPr>
      <w:r>
        <w:t xml:space="preserve">Distribuzione per fase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Fase 1 (6 mesi, 33%)</w:t>
            </w:r>
          </w:p>
        </w:tc>
        <w:tc>
          <w:tcPr/>
          <w:p>
            <w:pPr>
              <w:pStyle w:val="Compact"/>
            </w:pPr>
            <w:r>
              <w:t xml:space="preserve">Fase 2 (12 mesi, 67%)</w:t>
            </w:r>
          </w:p>
        </w:tc>
        <w:tc>
          <w:tcPr/>
          <w:p>
            <w:pPr>
              <w:pStyle w:val="Compac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Simon</w:t>
            </w:r>
          </w:p>
        </w:tc>
        <w:tc>
          <w:tcPr/>
          <w:p>
            <w:pPr>
              <w:pStyle w:val="Compact"/>
            </w:pPr>
            <w:r>
              <w:t xml:space="preserve">€2.907 (88 ore)</w:t>
            </w:r>
          </w:p>
        </w:tc>
        <w:tc>
          <w:tcPr/>
          <w:p>
            <w:pPr>
              <w:pStyle w:val="Compact"/>
            </w:pPr>
            <w:r>
              <w:t xml:space="preserve">€5.893 (179 ore)</w:t>
            </w:r>
          </w:p>
        </w:tc>
        <w:tc>
          <w:tcPr/>
          <w:p>
            <w:pPr>
              <w:pStyle w:val="Compact"/>
            </w:pPr>
            <w:r>
              <w:t xml:space="preserve">€8.800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Damiano</w:t>
            </w:r>
          </w:p>
        </w:tc>
        <w:tc>
          <w:tcPr/>
          <w:p>
            <w:pPr>
              <w:pStyle w:val="Compact"/>
            </w:pPr>
            <w:r>
              <w:t xml:space="preserve">€1.587 (48 ore)</w:t>
            </w:r>
          </w:p>
        </w:tc>
        <w:tc>
          <w:tcPr/>
          <w:p>
            <w:pPr>
              <w:pStyle w:val="Compact"/>
            </w:pPr>
            <w:r>
              <w:t xml:space="preserve">€3.213 (97 ore)</w:t>
            </w:r>
          </w:p>
        </w:tc>
        <w:tc>
          <w:tcPr/>
          <w:p>
            <w:pPr>
              <w:pStyle w:val="Compact"/>
            </w:pPr>
            <w:r>
              <w:t xml:space="preserve">€4.800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Nicolò</w:t>
            </w:r>
          </w:p>
        </w:tc>
        <w:tc>
          <w:tcPr/>
          <w:p>
            <w:pPr>
              <w:pStyle w:val="Compact"/>
            </w:pPr>
            <w:r>
              <w:t xml:space="preserve">€793 (24 ore)</w:t>
            </w:r>
          </w:p>
        </w:tc>
        <w:tc>
          <w:tcPr/>
          <w:p>
            <w:pPr>
              <w:pStyle w:val="Compact"/>
            </w:pPr>
            <w:r>
              <w:t xml:space="preserve">€1.607 (49 ore)</w:t>
            </w:r>
          </w:p>
        </w:tc>
        <w:tc>
          <w:tcPr/>
          <w:p>
            <w:pPr>
              <w:pStyle w:val="Compact"/>
            </w:pPr>
            <w:r>
              <w:t xml:space="preserve">€2.400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€5.287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€10.713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€16.000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dettaglio-spese-generali"/>
    <w:p>
      <w:pPr>
        <w:pStyle w:val="Heading2"/>
      </w:pPr>
      <w:r>
        <w:t xml:space="preserve">5. Dettaglio Spese Generali</w:t>
      </w:r>
    </w:p>
    <w:p>
      <w:pPr>
        <w:pStyle w:val="FirstParagraph"/>
      </w:pPr>
      <w:r>
        <w:t xml:space="preserve">Le spese generali sono calcolate come quota forfettaria del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sui costi del personale in collaborazione (Co.Co.Co), ai sensi dell’Avviso. Nessuna fattura o documentazione richiesta.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di calcolo (Co.Co.Co)</w:t>
            </w:r>
          </w:p>
        </w:tc>
        <w:tc>
          <w:tcPr/>
          <w:p>
            <w:pPr>
              <w:pStyle w:val="Compact"/>
            </w:pPr>
            <w:r>
              <w:t xml:space="preserve">€10.800</w:t>
            </w:r>
          </w:p>
        </w:tc>
        <w:tc>
          <w:tcPr/>
          <w:p>
            <w:pPr>
              <w:pStyle w:val="Compact"/>
            </w:pPr>
            <w:r>
              <w:t xml:space="preserve">€21.600</w:t>
            </w:r>
          </w:p>
        </w:tc>
        <w:tc>
          <w:tcPr/>
          <w:p>
            <w:pPr>
              <w:pStyle w:val="Compact"/>
            </w:pPr>
            <w:r>
              <w:t xml:space="preserve">€32.400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Spese generali (15%)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€1.620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€3.240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€4.860</w:t>
            </w:r>
          </w:p>
        </w:tc>
      </w:tr>
    </w:tbl>
    <w:p>
      <w:pPr>
        <w:pStyle w:val="BodyText"/>
      </w:pPr>
      <w:r>
        <w:t xml:space="preserve">Copertura forfettaria: commercialista, rendicontazione FESR, utenze, amministrazione.</w:t>
      </w:r>
    </w:p>
    <w:p>
      <w:r>
        <w:pict>
          <v:rect style="width:0;height:1.5pt" o:hralign="center" o:hrstd="t" o:hr="t"/>
        </w:pict>
      </w:r>
    </w:p>
    <w:bookmarkEnd w:id="16"/>
    <w:bookmarkStart w:id="17" w:name="dettaglio-hardware"/>
    <w:p>
      <w:pPr>
        <w:pStyle w:val="Heading2"/>
      </w:pPr>
      <w:r>
        <w:t xml:space="preserve">6. Dettaglio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5"/>
        <w:gridCol w:w="1348"/>
        <w:gridCol w:w="2190"/>
        <w:gridCol w:w="1432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Dispositivo</w:t>
            </w:r>
          </w:p>
        </w:tc>
        <w:tc>
          <w:tcPr/>
          <w:p>
            <w:pPr>
              <w:pStyle w:val="Compact"/>
            </w:pPr>
            <w:r>
              <w:t xml:space="preserve">Prezzo acquisto</w:t>
            </w:r>
          </w:p>
        </w:tc>
        <w:tc>
          <w:tcPr/>
          <w:p>
            <w:pPr>
              <w:pStyle w:val="Compact"/>
            </w:pPr>
            <w:r>
              <w:t xml:space="preserve">Mesi ammortamento progetto</w:t>
            </w:r>
          </w:p>
        </w:tc>
        <w:tc>
          <w:tcPr/>
          <w:p>
            <w:pPr>
              <w:pStyle w:val="Compact"/>
            </w:pPr>
            <w:r>
              <w:t xml:space="preserve">Mesi vita utile</w:t>
            </w:r>
          </w:p>
        </w:tc>
        <w:tc>
          <w:tcPr/>
          <w:p>
            <w:pPr>
              <w:pStyle w:val="Compact"/>
            </w:pPr>
            <w:r>
              <w:t xml:space="preserve">Quota ammessa (18/60)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GPU dedicato con schede video per LLM (inferenza on-premise h24)</w:t>
            </w:r>
          </w:p>
        </w:tc>
        <w:tc>
          <w:tcPr/>
          <w:p>
            <w:pPr>
              <w:pStyle w:val="Compact"/>
            </w:pPr>
            <w:r>
              <w:t xml:space="preserve">€10.000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€3.000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2× Display AR binoculare XREAL 1S (Micro-OLED, 1920×1200/occhio, 52° FoV — strumento di prototipazione UI/UX interfaccia clinica in AR)</w:t>
            </w:r>
          </w:p>
        </w:tc>
        <w:tc>
          <w:tcPr/>
          <w:p>
            <w:pPr>
              <w:pStyle w:val="Compact"/>
            </w:pPr>
            <w:r>
              <w:t xml:space="preserve">€918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€275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€10.918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€3.275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Acquisto previsto:</w:t>
      </w:r>
      <w:r>
        <w:t xml:space="preserve"> </w:t>
      </w:r>
      <w:r>
        <w:rPr>
          <w:b/>
          <w:bCs/>
        </w:rPr>
        <w:t xml:space="preserve">Fase 1</w:t>
      </w:r>
      <w:r>
        <w:t xml:space="preserve"> </w:t>
      </w:r>
      <w:r>
        <w:t xml:space="preserve">(mese 1), intero importo ammesso imputato a Fase 1</w:t>
      </w:r>
    </w:p>
    <w:p>
      <w:pPr>
        <w:pStyle w:val="Compact"/>
        <w:numPr>
          <w:ilvl w:val="0"/>
          <w:numId w:val="1001"/>
        </w:numPr>
      </w:pPr>
      <w:r>
        <w:t xml:space="preserve">Server GPU: certificato Energy Star + ESPR Ecodesign →</w:t>
      </w:r>
      <w:r>
        <w:t xml:space="preserve"> </w:t>
      </w:r>
      <w:r>
        <w:rPr>
          <w:b/>
          <w:bCs/>
        </w:rPr>
        <w:t xml:space="preserve">+5 punti premialità</w:t>
      </w:r>
      <w:r>
        <w:t xml:space="preserve">; XREAL 1S: certificato CE/RoHS</w:t>
      </w:r>
    </w:p>
    <w:p>
      <w:pPr>
        <w:pStyle w:val="Compact"/>
        <w:numPr>
          <w:ilvl w:val="0"/>
          <w:numId w:val="1001"/>
        </w:numPr>
      </w:pPr>
      <w:r>
        <w:t xml:space="preserve">Obbligo: i dispositivi rimangono presso la sede operativa VdA per 3 anni post-progetto</w:t>
      </w:r>
    </w:p>
    <w:p>
      <w:pPr>
        <w:pStyle w:val="Compact"/>
        <w:numPr>
          <w:ilvl w:val="0"/>
          <w:numId w:val="1001"/>
        </w:numPr>
      </w:pPr>
      <w:r>
        <w:t xml:space="preserve">Il server GPU riduce la dipendenza da API cloud esterne per l’inferenza LLM, abbassando i costi operativi a lungo termine</w:t>
      </w:r>
    </w:p>
    <w:p>
      <w:r>
        <w:pict>
          <v:rect style="width:0;height:1.5pt" o:hralign="center" o:hrstd="t" o:hr="t"/>
        </w:pict>
      </w:r>
    </w:p>
    <w:bookmarkEnd w:id="17"/>
    <w:bookmarkStart w:id="18" w:name="dettaglio-software-licenze-llm"/>
    <w:p>
      <w:pPr>
        <w:pStyle w:val="Heading2"/>
      </w:pPr>
      <w:r>
        <w:t xml:space="preserve">7. Dettaglio Software / Licenze LLM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3"/>
        <w:gridCol w:w="1300"/>
        <w:gridCol w:w="945"/>
        <w:gridCol w:w="1536"/>
        <w:gridCol w:w="1654"/>
        <w:gridCol w:w="1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Servizio</w:t>
            </w:r>
          </w:p>
        </w:tc>
        <w:tc>
          <w:tcPr/>
          <w:p>
            <w:pPr>
              <w:pStyle w:val="Compact"/>
            </w:pPr>
            <w:r>
              <w:t xml:space="preserve">Tipologia</w:t>
            </w:r>
          </w:p>
        </w:tc>
        <w:tc>
          <w:tcPr/>
          <w:p>
            <w:pPr>
              <w:pStyle w:val="Compact"/>
            </w:pPr>
            <w:r>
              <w:t xml:space="preserve">€/mese</w:t>
            </w:r>
          </w:p>
        </w:tc>
        <w:tc>
          <w:tcPr/>
          <w:p>
            <w:pPr>
              <w:pStyle w:val="Compact"/>
            </w:pPr>
            <w:r>
              <w:t xml:space="preserve">Fase 1 (6m)</w:t>
            </w:r>
          </w:p>
        </w:tc>
        <w:tc>
          <w:tcPr/>
          <w:p>
            <w:pPr>
              <w:pStyle w:val="Compact"/>
            </w:pPr>
            <w:r>
              <w:t xml:space="preserve">Fase 2 (12m)</w:t>
            </w:r>
          </w:p>
        </w:tc>
        <w:tc>
          <w:tcPr/>
          <w:p>
            <w:pPr>
              <w:pStyle w:val="Compact"/>
            </w:pPr>
            <w:r>
              <w:t xml:space="preserve">Totale 18m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(database PostgreSQL hosted)</w:t>
            </w:r>
          </w:p>
        </w:tc>
        <w:tc>
          <w:tcPr/>
          <w:p>
            <w:pPr>
              <w:pStyle w:val="Compact"/>
            </w:pPr>
            <w:r>
              <w:t xml:space="preserve">Infrastruttura cloud</w:t>
            </w:r>
          </w:p>
        </w:tc>
        <w:tc>
          <w:tcPr/>
          <w:p>
            <w:pPr>
              <w:pStyle w:val="Compact"/>
            </w:pPr>
            <w:r>
              <w:t xml:space="preserve">€100</w:t>
            </w:r>
          </w:p>
        </w:tc>
        <w:tc>
          <w:tcPr/>
          <w:p>
            <w:pPr>
              <w:pStyle w:val="Compact"/>
            </w:pPr>
            <w:r>
              <w:t xml:space="preserve">€600</w:t>
            </w:r>
          </w:p>
        </w:tc>
        <w:tc>
          <w:tcPr/>
          <w:p>
            <w:pPr>
              <w:pStyle w:val="Compact"/>
            </w:pPr>
            <w:r>
              <w:t xml:space="preserve">€1.200</w:t>
            </w:r>
          </w:p>
        </w:tc>
        <w:tc>
          <w:tcPr/>
          <w:p>
            <w:pPr>
              <w:pStyle w:val="Compact"/>
            </w:pPr>
            <w:r>
              <w:t xml:space="preserve">€1.800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(hosting + edge)</w:t>
            </w:r>
          </w:p>
        </w:tc>
        <w:tc>
          <w:tcPr/>
          <w:p>
            <w:pPr>
              <w:pStyle w:val="Compact"/>
            </w:pPr>
            <w:r>
              <w:t xml:space="preserve">Infrastruttura cloud</w:t>
            </w:r>
          </w:p>
        </w:tc>
        <w:tc>
          <w:tcPr/>
          <w:p>
            <w:pPr>
              <w:pStyle w:val="Compact"/>
            </w:pPr>
            <w:r>
              <w:t xml:space="preserve">€40</w:t>
            </w:r>
          </w:p>
        </w:tc>
        <w:tc>
          <w:tcPr/>
          <w:p>
            <w:pPr>
              <w:pStyle w:val="Compact"/>
            </w:pPr>
            <w:r>
              <w:t xml:space="preserve">€240</w:t>
            </w:r>
          </w:p>
        </w:tc>
        <w:tc>
          <w:tcPr/>
          <w:p>
            <w:pPr>
              <w:pStyle w:val="Compact"/>
            </w:pPr>
            <w:r>
              <w:t xml:space="preserve">€480</w:t>
            </w:r>
          </w:p>
        </w:tc>
        <w:tc>
          <w:tcPr/>
          <w:p>
            <w:pPr>
              <w:pStyle w:val="Compact"/>
            </w:pPr>
            <w:r>
              <w:t xml:space="preserve">€720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(API LLM multi-modello)</w:t>
            </w:r>
          </w:p>
        </w:tc>
        <w:tc>
          <w:tcPr/>
          <w:p>
            <w:pPr>
              <w:pStyle w:val="Compact"/>
            </w:pPr>
            <w:r>
              <w:t xml:space="preserve">Licenza LLM</w:t>
            </w:r>
          </w:p>
        </w:tc>
        <w:tc>
          <w:tcPr/>
          <w:p>
            <w:pPr>
              <w:pStyle w:val="Compact"/>
            </w:pPr>
            <w:r>
              <w:t xml:space="preserve">€30</w:t>
            </w:r>
          </w:p>
        </w:tc>
        <w:tc>
          <w:tcPr/>
          <w:p>
            <w:pPr>
              <w:pStyle w:val="Compact"/>
            </w:pPr>
            <w:r>
              <w:t xml:space="preserve">€180</w:t>
            </w:r>
          </w:p>
        </w:tc>
        <w:tc>
          <w:tcPr/>
          <w:p>
            <w:pPr>
              <w:pStyle w:val="Compact"/>
            </w:pPr>
            <w:r>
              <w:t xml:space="preserve">€360</w:t>
            </w:r>
          </w:p>
        </w:tc>
        <w:tc>
          <w:tcPr/>
          <w:p>
            <w:pPr>
              <w:pStyle w:val="Compact"/>
            </w:pPr>
            <w:r>
              <w:t xml:space="preserve">€540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Bedrock (LLM compute)</w:t>
            </w:r>
          </w:p>
        </w:tc>
        <w:tc>
          <w:tcPr/>
          <w:p>
            <w:pPr>
              <w:pStyle w:val="Compact"/>
            </w:pPr>
            <w:r>
              <w:t xml:space="preserve">Licenza LLM</w:t>
            </w:r>
          </w:p>
        </w:tc>
        <w:tc>
          <w:tcPr/>
          <w:p>
            <w:pPr>
              <w:pStyle w:val="Compact"/>
            </w:pPr>
            <w:r>
              <w:t xml:space="preserve">€450</w:t>
            </w:r>
          </w:p>
        </w:tc>
        <w:tc>
          <w:tcPr/>
          <w:p>
            <w:pPr>
              <w:pStyle w:val="Compact"/>
            </w:pPr>
            <w:r>
              <w:t xml:space="preserve">€2.700</w:t>
            </w:r>
          </w:p>
        </w:tc>
        <w:tc>
          <w:tcPr/>
          <w:p>
            <w:pPr>
              <w:pStyle w:val="Compact"/>
            </w:pPr>
            <w:r>
              <w:t xml:space="preserve">€5.400</w:t>
            </w:r>
          </w:p>
        </w:tc>
        <w:tc>
          <w:tcPr/>
          <w:p>
            <w:pPr>
              <w:pStyle w:val="Compact"/>
            </w:pPr>
            <w:r>
              <w:t xml:space="preserve">€8.100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Claude Max (piano aziendale)</w:t>
            </w:r>
          </w:p>
        </w:tc>
        <w:tc>
          <w:tcPr/>
          <w:p>
            <w:pPr>
              <w:pStyle w:val="Compact"/>
            </w:pPr>
            <w:r>
              <w:t xml:space="preserve">Licenza LLM</w:t>
            </w:r>
          </w:p>
        </w:tc>
        <w:tc>
          <w:tcPr/>
          <w:p>
            <w:pPr>
              <w:pStyle w:val="Compact"/>
            </w:pPr>
            <w:r>
              <w:t xml:space="preserve">€100</w:t>
            </w:r>
          </w:p>
        </w:tc>
        <w:tc>
          <w:tcPr/>
          <w:p>
            <w:pPr>
              <w:pStyle w:val="Compact"/>
            </w:pPr>
            <w:r>
              <w:t xml:space="preserve">€600</w:t>
            </w:r>
          </w:p>
        </w:tc>
        <w:tc>
          <w:tcPr/>
          <w:p>
            <w:pPr>
              <w:pStyle w:val="Compact"/>
            </w:pPr>
            <w:r>
              <w:t xml:space="preserve">€1.200</w:t>
            </w:r>
          </w:p>
        </w:tc>
        <w:tc>
          <w:tcPr/>
          <w:p>
            <w:pPr>
              <w:pStyle w:val="Compact"/>
            </w:pPr>
            <w:r>
              <w:t xml:space="preserve">€1.800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&amp; servizi minori</w:t>
            </w:r>
          </w:p>
        </w:tc>
        <w:tc>
          <w:tcPr/>
          <w:p>
            <w:pPr>
              <w:pStyle w:val="Compact"/>
            </w:pPr>
            <w:r>
              <w:t xml:space="preserve">Vari SaaS</w:t>
            </w:r>
          </w:p>
        </w:tc>
        <w:tc>
          <w:tcPr/>
          <w:p>
            <w:pPr>
              <w:pStyle w:val="Compact"/>
            </w:pPr>
            <w:r>
              <w:t xml:space="preserve">€5</w:t>
            </w:r>
          </w:p>
        </w:tc>
        <w:tc>
          <w:tcPr/>
          <w:p>
            <w:pPr>
              <w:pStyle w:val="Compact"/>
            </w:pPr>
            <w:r>
              <w:t xml:space="preserve">€30</w:t>
            </w:r>
          </w:p>
        </w:tc>
        <w:tc>
          <w:tcPr/>
          <w:p>
            <w:pPr>
              <w:pStyle w:val="Compact"/>
            </w:pPr>
            <w:r>
              <w:t xml:space="preserve">€60</w:t>
            </w:r>
          </w:p>
        </w:tc>
        <w:tc>
          <w:tcPr/>
          <w:p>
            <w:pPr>
              <w:pStyle w:val="Compact"/>
            </w:pPr>
            <w:r>
              <w:t xml:space="preserve">€90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Margine crescita (+10%)</w:t>
            </w:r>
          </w:p>
        </w:tc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€75</w:t>
            </w:r>
          </w:p>
        </w:tc>
        <w:tc>
          <w:tcPr/>
          <w:p>
            <w:pPr>
              <w:pStyle w:val="Compact"/>
            </w:pPr>
            <w:r>
              <w:t xml:space="preserve">€450</w:t>
            </w:r>
          </w:p>
        </w:tc>
        <w:tc>
          <w:tcPr/>
          <w:p>
            <w:pPr>
              <w:pStyle w:val="Compact"/>
            </w:pPr>
            <w:r>
              <w:t xml:space="preserve">€900</w:t>
            </w:r>
          </w:p>
        </w:tc>
        <w:tc>
          <w:tcPr/>
          <w:p>
            <w:pPr>
              <w:pStyle w:val="Compact"/>
            </w:pPr>
            <w:r>
              <w:t xml:space="preserve">€1.350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 mensile stimato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€4.800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€9.600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€14.400</w:t>
            </w:r>
          </w:p>
        </w:tc>
      </w:tr>
    </w:tbl>
    <w:p>
      <w:pPr>
        <w:pStyle w:val="BlockText"/>
      </w:pPr>
      <w:r>
        <w:t xml:space="preserve">Nota: i crediti AWS Activate e NVIDIA già ricevuti coprono parte dei costi nella fase iniziale, riducendo l’esborso effettivo nei primi mesi. Il budget è calcolato in scenario conservativo (crediti esauriti).</w:t>
      </w:r>
    </w:p>
    <w:p>
      <w:pPr>
        <w:pStyle w:val="BlockText"/>
      </w:pPr>
      <w:r>
        <w:t xml:space="preserve">Neon e Vercel sono al 100% imputabili al progetto: EMSy è un’azienda mono-prodotto e tali servizi supportano esclusivamente la piattaforma oggetto del Piano di sviluppo.</w:t>
      </w:r>
    </w:p>
    <w:p>
      <w:r>
        <w:pict>
          <v:rect style="width:0;height:1.5pt" o:hralign="center" o:hrstd="t" o:hr="t"/>
        </w:pict>
      </w:r>
    </w:p>
    <w:bookmarkEnd w:id="18"/>
    <w:bookmarkStart w:id="19" w:name="dettaglio-assessment-tecnologico"/>
    <w:p>
      <w:pPr>
        <w:pStyle w:val="Heading2"/>
      </w:pPr>
      <w:r>
        <w:t xml:space="preserve">8. Dettaglio Assessment Tecnologico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Fase 2 (mese 8–12)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Importo</w:t>
            </w:r>
          </w:p>
        </w:tc>
        <w:tc>
          <w:tcPr/>
          <w:p>
            <w:pPr>
              <w:pStyle w:val="Compact"/>
            </w:pPr>
            <w:r>
              <w:t xml:space="preserve">€4.500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Profilo esperto</w:t>
            </w:r>
          </w:p>
        </w:tc>
        <w:tc>
          <w:tcPr/>
          <w:p>
            <w:pPr>
              <w:pStyle w:val="Compact"/>
            </w:pPr>
            <w:r>
              <w:t xml:space="preserve">Indipendente, ≥5 anni esperienza in technology assessment o gestione startup AI/medicale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Scostamento massimo senza autorizzazione</w:t>
            </w:r>
          </w:p>
        </w:tc>
        <w:tc>
          <w:tcPr/>
          <w:p>
            <w:pPr>
              <w:pStyle w:val="Compact"/>
            </w:pPr>
            <w:r>
              <w:t xml:space="preserve">±20% = ±€900 (range €3.600–€5.400)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Obbligo bando</w:t>
            </w:r>
          </w:p>
        </w:tc>
        <w:tc>
          <w:tcPr/>
          <w:p>
            <w:pPr>
              <w:pStyle w:val="Compact"/>
            </w:pPr>
            <w:r>
              <w:t xml:space="preserve">Art. 12 Avviso — penalità -10% se ritardo, -25% se non eseguito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margine-di-riserva"/>
    <w:p>
      <w:pPr>
        <w:pStyle w:val="Heading2"/>
      </w:pPr>
      <w:r>
        <w:t xml:space="preserve">9. Margine di Riserva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Margine di riserva</w:t>
            </w:r>
          </w:p>
        </w:tc>
        <w:tc>
          <w:tcPr/>
          <w:p>
            <w:pPr>
              <w:pStyle w:val="Compact"/>
            </w:pPr>
            <w:r>
              <w:t xml:space="preserve">€1.395</w:t>
            </w:r>
          </w:p>
        </w:tc>
        <w:tc>
          <w:tcPr/>
          <w:p>
            <w:pPr>
              <w:pStyle w:val="Compact"/>
            </w:pPr>
            <w:r>
              <w:t xml:space="preserve">€3.170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€4.565</w:t>
            </w:r>
          </w:p>
        </w:tc>
      </w:tr>
    </w:tbl>
    <w:p>
      <w:pPr>
        <w:pStyle w:val="BodyText"/>
      </w:pPr>
      <w:r>
        <w:t xml:space="preserve">Il margine copre variazioni di costo entro il</w:t>
      </w:r>
      <w:r>
        <w:t xml:space="preserve"> </w:t>
      </w:r>
      <w:r>
        <w:rPr>
          <w:b/>
          <w:bCs/>
        </w:rPr>
        <w:t xml:space="preserve">20% per voce per fase</w:t>
      </w:r>
      <w:r>
        <w:t xml:space="preserve"> </w:t>
      </w:r>
      <w:r>
        <w:t xml:space="preserve">senza necessità di autorizzazione preventiva (Art. 10, comma 7 dell’Avviso). Da formalizzare con il commercialista per l’allocazione nella categoria ammessa del formulario SISPREG2014.</w:t>
      </w:r>
    </w:p>
    <w:bookmarkStart w:id="20" w:name="X3585d83951baabc3ebeb22881f6a283f37071e5"/>
    <w:p>
      <w:pPr>
        <w:pStyle w:val="Heading3"/>
      </w:pPr>
      <w:r>
        <w:t xml:space="preserve">Destinazione prevista del margine di riserva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Importo stimato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per variazioni costi hardware/software Fase 1</w:t>
            </w:r>
          </w:p>
        </w:tc>
        <w:tc>
          <w:tcPr/>
          <w:p>
            <w:pPr>
              <w:pStyle w:val="Compact"/>
            </w:pPr>
            <w: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€1.395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Spese legali per certificazioni europee applicabili</w:t>
            </w:r>
          </w:p>
        </w:tc>
        <w:tc>
          <w:tcPr/>
          <w:p>
            <w:pPr>
              <w:pStyle w:val="Compact"/>
            </w:pPr>
            <w: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~€1.000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Consulenza Dott. Luca Carenzo (validazione clinica indipendente)</w:t>
            </w:r>
          </w:p>
        </w:tc>
        <w:tc>
          <w:tcPr/>
          <w:p>
            <w:pPr>
              <w:pStyle w:val="Compact"/>
            </w:pPr>
            <w: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~€1.500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Spese di ricerca medica — test prodotto con operatori durante eventi</w:t>
            </w:r>
          </w:p>
        </w:tc>
        <w:tc>
          <w:tcPr/>
          <w:p>
            <w:pPr>
              <w:pStyle w:val="Compact"/>
            </w:pPr>
            <w: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~€670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€4.565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flusso-di-cassa-stimato"/>
    <w:p>
      <w:pPr>
        <w:pStyle w:val="Heading2"/>
      </w:pPr>
      <w:r>
        <w:t xml:space="preserve">10. Flusso di Cassa Stimato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3080"/>
        <w:gridCol w:w="176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Mese</w:t>
            </w:r>
          </w:p>
        </w:tc>
        <w:tc>
          <w:tcPr/>
          <w:p>
            <w:pPr>
              <w:pStyle w:val="Compact"/>
            </w:pPr>
            <w:r>
              <w:t xml:space="preserve">Entrate (FESR anticipi/SAL)</w:t>
            </w:r>
          </w:p>
        </w:tc>
        <w:tc>
          <w:tcPr/>
          <w:p>
            <w:pPr>
              <w:pStyle w:val="Compact"/>
            </w:pPr>
            <w:r>
              <w:t xml:space="preserve">Uscite stimate</w:t>
            </w:r>
          </w:p>
        </w:tc>
        <w:tc>
          <w:tcPr/>
          <w:p>
            <w:pPr>
              <w:pStyle w:val="Compact"/>
            </w:pPr>
            <w:r>
              <w:t xml:space="preserve">Saldo progressivo EMSy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~€4.500/mese</w:t>
            </w:r>
          </w:p>
        </w:tc>
        <w:tc>
          <w:tcPr/>
          <w:p>
            <w:pPr>
              <w:pStyle w:val="Compact"/>
            </w:pPr>
            <w:r>
              <w:t xml:space="preserve">-€13.500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 Fase 1 ~€19.047</w:t>
            </w:r>
          </w:p>
        </w:tc>
        <w:tc>
          <w:tcPr/>
          <w:p>
            <w:pPr>
              <w:pStyle w:val="Compact"/>
            </w:pPr>
            <w:r>
              <w:t xml:space="preserve">~€4.500/mese</w:t>
            </w:r>
          </w:p>
        </w:tc>
        <w:tc>
          <w:tcPr/>
          <w:p>
            <w:pPr>
              <w:pStyle w:val="Compact"/>
            </w:pPr>
            <w:r>
              <w:t xml:space="preserve">+€1.047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~€4.800/mese</w:t>
            </w:r>
          </w:p>
        </w:tc>
        <w:tc>
          <w:tcPr/>
          <w:p>
            <w:pPr>
              <w:pStyle w:val="Compact"/>
            </w:pPr>
            <w:r>
              <w:t xml:space="preserve">-€27.753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 Fase 2 ~€36.953</w:t>
            </w:r>
          </w:p>
        </w:tc>
        <w:tc>
          <w:tcPr/>
          <w:p>
            <w:pPr>
              <w:pStyle w:val="Compact"/>
            </w:pPr>
            <w:r>
              <w:t xml:space="preserve">~€4.800/mese</w:t>
            </w:r>
          </w:p>
        </w:tc>
        <w:tc>
          <w:tcPr/>
          <w:p>
            <w:pPr>
              <w:pStyle w:val="Compact"/>
            </w:pPr>
            <w:r>
              <w:t xml:space="preserve">+€9.200</w:t>
            </w:r>
          </w:p>
        </w:tc>
      </w:tr>
    </w:tbl>
    <w:p>
      <w:pPr>
        <w:pStyle w:val="BlockText"/>
      </w:pPr>
      <w:r>
        <w:t xml:space="preserve">⚠️ Il FESR rimborsa a rendicontazione (SAL). Nei mesi 1-3 e 7-12 EMSy sostiene le spese in anticipo. Il</w:t>
      </w:r>
      <w:r>
        <w:t xml:space="preserve"> </w:t>
      </w:r>
      <w:r>
        <w:rPr>
          <w:b/>
          <w:bCs/>
        </w:rPr>
        <w:t xml:space="preserve">finanziamento ponte Banca Sella/Alpifidi (€24.000)</w:t>
      </w:r>
      <w:r>
        <w:t xml:space="preserve"> </w:t>
      </w:r>
      <w:r>
        <w:t xml:space="preserve">copre il fabbisogno di liquidità nei periodi di attesa del rimborso.</w:t>
      </w:r>
    </w:p>
    <w:p>
      <w:r>
        <w:pict>
          <v:rect style="width:0;height:1.5pt" o:hralign="center" o:hrstd="t" o:hr="t"/>
        </w:pict>
      </w:r>
    </w:p>
    <w:bookmarkEnd w:id="22"/>
    <w:bookmarkStart w:id="23" w:name="quadro-economico-finale"/>
    <w:p>
      <w:pPr>
        <w:pStyle w:val="Heading2"/>
      </w:pPr>
      <w:r>
        <w:t xml:space="preserve">11. Quadro Economico Finale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Importo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 totale progetto</w:t>
            </w:r>
          </w:p>
        </w:tc>
        <w:tc>
          <w:tcPr/>
          <w:p>
            <w:pPr>
              <w:pStyle w:val="Compact"/>
            </w:pPr>
            <w:r>
              <w:t xml:space="preserve">€80.000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Contributo FESR (base 60%)</w:t>
            </w:r>
          </w:p>
        </w:tc>
        <w:tc>
          <w:tcPr/>
          <w:p>
            <w:pPr>
              <w:pStyle w:val="Compact"/>
            </w:pPr>
            <w:r>
              <w:t xml:space="preserve">€48.000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 startup registry L.R. 14/2011 (+10%)</w:t>
            </w:r>
          </w:p>
        </w:tc>
        <w:tc>
          <w:tcPr/>
          <w:p>
            <w:pPr>
              <w:pStyle w:val="Compact"/>
            </w:pPr>
            <w:r>
              <w:t xml:space="preserve">€4.800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Contributo FESR totale (70%)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€52.800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Cofinanziamento EMSy (30%)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€27.200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cui coperto da finanziamento ponte</w:t>
            </w:r>
          </w:p>
        </w:tc>
        <w:tc>
          <w:tcPr/>
          <w:p>
            <w:pPr>
              <w:pStyle w:val="Compact"/>
            </w:pPr>
            <w:r>
              <w:t xml:space="preserve">€24.000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cui da risorse proprie</w:t>
            </w:r>
          </w:p>
        </w:tc>
        <w:tc>
          <w:tcPr/>
          <w:p>
            <w:pPr>
              <w:pStyle w:val="Compact"/>
            </w:pPr>
            <w:r>
              <w:t xml:space="preserve">€3.200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interno EMSy S.r.l. — Da condividere con il commercialista — Aggiornato giugno 2026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2026-06-12T16:12:28Z</dcterms:created>
  <dcterms:modified xsi:type="dcterms:W3CDTF">2026-06-12T16:12:28Z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