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domande-per-giorgio-dandrea-regione-vda"/>
    <w:p>
      <w:pPr>
        <w:pStyle w:val="Heading1"/>
      </w:pPr>
      <w:r>
        <w:t xml:space="preserve">Domande per Giorgio D’Andrea — Regione VdA</w:t>
      </w:r>
    </w:p>
    <w:p>
      <w:pPr>
        <w:pStyle w:val="FirstParagraph"/>
      </w:pPr>
      <w:r>
        <w:rPr>
          <w:b/>
          <w:bCs/>
        </w:rPr>
        <w:t xml:space="preserve">Referente bando FESR DGR 575/2025</w:t>
      </w:r>
      <w:r>
        <w:t xml:space="preserve"> </w:t>
      </w:r>
      <w:r>
        <w:t xml:space="preserve">Tel: 0165 274594 — g.dandrea@regione.vda.it</w:t>
      </w:r>
      <w:r>
        <w:t xml:space="preserve"> </w:t>
      </w:r>
      <w:r>
        <w:t xml:space="preserve">Orari: lunedì–venerdì 9:00–14:00</w:t>
      </w:r>
    </w:p>
    <w:p>
      <w:r>
        <w:pict>
          <v:rect style="width:0;height:1.5pt" o:hralign="center" o:hrstd="t" o:hr="t"/>
        </w:pict>
      </w:r>
    </w:p>
    <w:bookmarkStart w:id="9" w:name="tariffa-ucs-per-i-soci-fondatori"/>
    <w:p>
      <w:pPr>
        <w:pStyle w:val="Heading2"/>
      </w:pPr>
      <w:r>
        <w:t xml:space="preserve">1. Tariffa UCS per i soci fondatori</w:t>
      </w:r>
    </w:p>
    <w:p>
      <w:pPr>
        <w:pStyle w:val="FirstParagraph"/>
      </w:pPr>
      <w:r>
        <w:t xml:space="preserve">La tariffa UCS (Unità di Costo Standard) per il personale soci/fondatori è €33/ora come indicato nell’avviso ufficiale? È la stessa per tutte le figure professionali (sviluppatore, medico, progettista) o varia per categoria?</w:t>
      </w:r>
    </w:p>
    <w:p>
      <w:r>
        <w:pict>
          <v:rect style="width:0;height:1.5pt" o:hralign="center" o:hrstd="t" o:hr="t"/>
        </w:pict>
      </w:r>
    </w:p>
    <w:bookmarkEnd w:id="9"/>
    <w:bookmarkStart w:id="10" w:name="X687cbd070658dde66d0d4f4eac9cef40fef9248"/>
    <w:p>
      <w:pPr>
        <w:pStyle w:val="Heading2"/>
      </w:pPr>
      <w:r>
        <w:t xml:space="preserve">2. Assessment tecnologico — consulente esterno</w:t>
      </w:r>
    </w:p>
    <w:p>
      <w:pPr>
        <w:pStyle w:val="FirstParagraph"/>
      </w:pPr>
      <w:r>
        <w:t xml:space="preserve">Il bando prevede un assessment tecnologico obbligatorio entro anno 1. La Regione ha una lista di consulenti/professionisti accreditati o già approvati in passato per questo tipo di valutazione? Chi possiamo contattare?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strike/>
        </w:rPr>
        <w:t xml:space="preserve">## 3. Costi infrastruttura cloud / hosting — ammissibilità</w:t>
      </w:r>
      <w:r>
        <w:t xml:space="preserve"> </w:t>
      </w:r>
      <w:r>
        <w:t xml:space="preserve">✅ RISPOSTA TROVATA INTERNAMENTE</w:t>
      </w:r>
    </w:p>
    <w:p>
      <w:pPr>
        <w:pStyle w:val="BodyText"/>
      </w:pPr>
      <w:r>
        <w:rPr>
          <w:b/>
          <w:bCs/>
        </w:rPr>
        <w:t xml:space="preserve">Analisi:</w:t>
      </w:r>
      <w:r>
        <w:t xml:space="preserve"> </w:t>
      </w:r>
      <w:r>
        <w:t xml:space="preserve">Neon (database) e Vercel (hosting/deployment) coprono al 100% la piattaforma EMSy, che è l’unico prodotto dell’azienda e l’oggetto diretto del Piano di sviluppo. EMSy non ha altri prodotti o attività che utilizzino questi servizi. Pertanto:</w:t>
      </w:r>
      <w:r>
        <w:t xml:space="preserve"> </w:t>
      </w:r>
      <w:r>
        <w:t xml:space="preserve">- 100% del costo è imputabile al progetto FESR (non sono costi generali</w:t>
      </w:r>
      <w:r>
        <w:t xml:space="preserve"> </w:t>
      </w:r>
      <w:r>
        <w:t xml:space="preserve">“non allocabili”</w:t>
      </w:r>
      <w:r>
        <w:t xml:space="preserve">)</w:t>
      </w:r>
      <w:r>
        <w:t xml:space="preserve"> </w:t>
      </w:r>
      <w:r>
        <w:t xml:space="preserve">- Rientrano nella voce</w:t>
      </w:r>
      <w:r>
        <w:t xml:space="preserve"> </w:t>
      </w:r>
      <w:r>
        <w:t xml:space="preserve">“Materiali e software”</w:t>
      </w:r>
      <w:r>
        <w:t xml:space="preserve"> </w:t>
      </w:r>
      <w:r>
        <w:t xml:space="preserve">come SaaS strettamente funzionali al Piano</w:t>
      </w:r>
      <w:r>
        <w:t xml:space="preserve"> </w:t>
      </w:r>
      <w:r>
        <w:t xml:space="preserve">- Totale: Neon €100/mese + Vercel €40/mese = €2.520 su 18 mesi → inclusi nel budget Software/LLM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strike/>
        </w:rPr>
        <w:t xml:space="preserve">## 4. Scostamento voci di budget</w:t>
      </w:r>
      <w:r>
        <w:t xml:space="preserve"> </w:t>
      </w:r>
      <w:r>
        <w:t xml:space="preserve">✅ RISPOSTA TROVATA NEL PDF (Art. 10, comma 7)</w:t>
      </w:r>
      <w:r>
        <w:t xml:space="preserve"> </w:t>
      </w:r>
      <w:r>
        <w:t xml:space="preserve">- Fino al 20% per voce per fase: solo comunicazione, nessuna autorizzazione</w:t>
      </w:r>
      <w:r>
        <w:t xml:space="preserve"> </w:t>
      </w:r>
      <w:r>
        <w:t xml:space="preserve">- Oltre il 20%: richiesta autorizzazione preventiva alla Struttura regionale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Chiamare prima possibile — scadenza bando 30 giugno 2026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2026-06-11T15:04:33Z</dcterms:created>
  <dcterms:modified xsi:type="dcterms:W3CDTF">2026-06-11T15:04:33Z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