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€56.000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dataset europei medicalizzati pubblici,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800 utenti registrati in più di 50 paesi e più di 2.000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3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dataset europei medicalizzati pubblici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153a88362546d750c6c102ed9edcfdb3de88b6"/>
    <w:p>
      <w:pPr>
        <w:pStyle w:val="Heading3"/>
      </w:pPr>
      <w:r>
        <w:t xml:space="preserve">4.1 AI Data Expert — Sistema multi-intelligenza a 3 moduli</w:t>
      </w:r>
    </w:p>
    <w:p>
      <w:pPr>
        <w:pStyle w:val="FirstParagraph"/>
      </w:pPr>
      <w:r>
        <w:t xml:space="preserve">Il cuore del Piano di sviluppo è l’</w:t>
      </w:r>
      <w:r>
        <w:rPr>
          <w:i/>
          <w:iCs/>
        </w:rPr>
        <w:t xml:space="preserve">AI Data Expert</w:t>
      </w:r>
      <w:r>
        <w:t xml:space="preserve">, un sistema che integra tre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w:t>
      </w:r>
      <w:r>
        <w:br/>
      </w:r>
      <w:r>
        <w:rPr>
          <w:rStyle w:val="VerbatimChar"/>
        </w:rPr>
        <w:t xml:space="preserve">                       /             \</w:t>
      </w:r>
      <w:r>
        <w:br/>
      </w:r>
      <w:r>
        <w:rPr>
          <w:rStyle w:val="VerbatimChar"/>
        </w:rPr>
        <w:t xml:space="preserve">               MODULO 1          MODULO 2</w:t>
      </w:r>
      <w:r>
        <w:br/>
      </w:r>
      <w:r>
        <w:rPr>
          <w:rStyle w:val="VerbatimChar"/>
        </w:rPr>
        <w:t xml:space="preserve">               LLM + RAG         ML classico</w:t>
      </w:r>
      <w:r>
        <w:br/>
      </w:r>
      <w:r>
        <w:rPr>
          <w:rStyle w:val="VerbatimChar"/>
        </w:rPr>
        <w:t xml:space="preserve">               Letteratura       Dati OHCA</w:t>
      </w:r>
      <w:r>
        <w:br/>
      </w:r>
      <w:r>
        <w:rPr>
          <w:rStyle w:val="VerbatimChar"/>
        </w:rPr>
        <w:t xml:space="preserve">               scientifica       tabulari</w:t>
      </w:r>
      <w:r>
        <w:br/>
      </w:r>
      <w:r>
        <w:rPr>
          <w:rStyle w:val="VerbatimChar"/>
        </w:rPr>
        <w:t xml:space="preserve">                        \           /</w:t>
      </w:r>
      <w:r>
        <w:br/>
      </w:r>
      <w:r>
        <w:rPr>
          <w:rStyle w:val="VerbatimChar"/>
        </w:rPr>
        <w:t xml:space="preserve">                         \         /</w:t>
      </w:r>
      <w:r>
        <w:br/>
      </w:r>
      <w:r>
        <w:rPr>
          <w:rStyle w:val="VerbatimChar"/>
        </w:rPr>
        <w:t xml:space="preserve">                   [MODULO 3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LLM Reasoning</w:t>
      </w:r>
      <w:r>
        <w:t xml:space="preserve"> </w:t>
      </w:r>
      <w:r>
        <w:rPr>
          <w:i/>
          <w:iCs/>
        </w:rPr>
        <w:t xml:space="preserve">(integrazione Fase 2)</w:t>
      </w:r>
      <w:r>
        <w:t xml:space="preserve"> </w:t>
      </w:r>
      <w:r>
        <w:t xml:space="preserve">Modulo di sintesi: riceve gli output dei Moduli 1-2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installazione)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 Web App accessibile da browser mobile</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€10.000 + 2× XREAL 1S €918 — quota ammortamento 18/60)</w:t>
            </w:r>
          </w:p>
        </w:tc>
        <w:tc>
          <w:tcPr/>
          <w:p>
            <w:pPr>
              <w:pStyle w:val="Compact"/>
            </w:pPr>
            <w:r>
              <w:t xml:space="preserve">€3.275</w:t>
            </w:r>
          </w:p>
        </w:tc>
      </w:tr>
      <w:tr>
        <w:tc>
          <w:tcPr/>
          <w:p>
            <w:pPr>
              <w:pStyle w:val="Compact"/>
            </w:pPr>
            <w:r>
              <w:t xml:space="preserve">Software / Licenze LLM (€800 × 6 mesi + €1.395 buffer variabilità cloud)</w:t>
            </w:r>
          </w:p>
        </w:tc>
        <w:tc>
          <w:tcPr/>
          <w:p>
            <w:pPr>
              <w:pStyle w:val="Compact"/>
            </w:pPr>
            <w:r>
              <w:t xml:space="preserve">€6.195</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3 moduli AI in architettura unificata</w:t>
      </w:r>
    </w:p>
    <w:p>
      <w:pPr>
        <w:pStyle w:val="Compact"/>
        <w:numPr>
          <w:ilvl w:val="0"/>
          <w:numId w:val="1002"/>
        </w:numPr>
      </w:pPr>
      <w:r>
        <w:t xml:space="preserve">Validare il modello OHCA su dataset europei medicalizzati pubblici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3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dataset europei pubblici (mesi 8-12)</w:t>
      </w:r>
      <w:r>
        <w:t xml:space="preserve"> </w:t>
      </w:r>
      <w:r>
        <w:t xml:space="preserve">- External validation modello OHCA su holdout set ROC Epistry v3 e dataset secondari (WACAR Mendeley, 814 casi; DCAPS Korea, 36k casi)</w:t>
      </w:r>
      <w:r>
        <w:t xml:space="preserve"> </w:t>
      </w:r>
      <w:r>
        <w:t xml:space="preserve">- Calcolo AUC su dataset europei medicalizzati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di esperto esterno per validazione clinica indipendente</w:t>
      </w:r>
      <w:r>
        <w:t xml:space="preserve"> </w:t>
      </w:r>
      <w:r>
        <w:t xml:space="preserve">-</w:t>
      </w:r>
      <w:r>
        <w:t xml:space="preserve"> </w:t>
      </w:r>
      <w:r>
        <w:rPr>
          <w:i/>
          <w:iCs/>
        </w:rPr>
        <w:t xml:space="preserve">Responsabile:</w:t>
      </w:r>
      <w:r>
        <w:t xml:space="preserve"> </w:t>
      </w:r>
      <w:r>
        <w:t xml:space="preserve">Damiano (Medical Director) + esperto clinico esterno (validatore)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WP2.5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M2.2</w:t>
            </w:r>
          </w:p>
        </w:tc>
        <w:tc>
          <w:tcPr/>
          <w:p>
            <w:pPr>
              <w:pStyle w:val="Compact"/>
            </w:pPr>
            <w:r>
              <w:t xml:space="preserve">Mese 9</w:t>
            </w:r>
          </w:p>
        </w:tc>
        <w:tc>
          <w:tcPr/>
          <w:p>
            <w:pPr>
              <w:pStyle w:val="Compact"/>
            </w:pPr>
            <w:r>
              <w:t xml:space="preserve">Sistema 3 moduli integrato in LangGraph — test end-to-end completato</w:t>
            </w:r>
          </w:p>
        </w:tc>
      </w:tr>
      <w:tr>
        <w:tc>
          <w:tcPr/>
          <w:p>
            <w:pPr>
              <w:pStyle w:val="Compact"/>
            </w:pPr>
            <w:r>
              <w:t xml:space="preserve">M2.3</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M2.4</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M2.5</w:t>
            </w:r>
          </w:p>
        </w:tc>
        <w:tc>
          <w:tcPr/>
          <w:p>
            <w:pPr>
              <w:pStyle w:val="Compact"/>
            </w:pPr>
            <w:r>
              <w:t xml:space="preserve">Mese 11</w:t>
            </w:r>
          </w:p>
        </w:tc>
        <w:tc>
          <w:tcPr/>
          <w:p>
            <w:pPr>
              <w:pStyle w:val="Compact"/>
            </w:pPr>
            <w:r>
              <w:t xml:space="preserve">Modello OHCA validato su dataset europei medicalizzati — AUC documentato</w:t>
            </w:r>
          </w:p>
        </w:tc>
      </w:tr>
      <w:tr>
        <w:tc>
          <w:tcPr/>
          <w:p>
            <w:pPr>
              <w:pStyle w:val="Compact"/>
            </w:pPr>
            <w:r>
              <w:t xml:space="preserve">M2.6</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M2.7</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M2.8</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Consulenze specialistiche (validazione clinica ~€1.500 + spese legali certificazioni EU ~€1.000 + test con operatori/eventi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(3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dataset europei medicalizzati pubblici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w:t>
            </w:r>
          </w:p>
        </w:tc>
      </w:tr>
      <w:tr>
        <w:tc>
          <w:tcPr/>
          <w:p>
            <w:pPr>
              <w:pStyle w:val="Compact"/>
            </w:pPr>
            <w:r>
              <w:rPr>
                <w:b/>
                <w:bCs/>
              </w:rPr>
              <w:t xml:space="preserve">Damiano Presciani</w:t>
            </w:r>
          </w:p>
        </w:tc>
        <w:tc>
          <w:tcPr/>
          <w:p>
            <w:pPr>
              <w:pStyle w:val="Compact"/>
            </w:pPr>
            <w:r>
              <w:t xml:space="preserve">Validazione clinica modelli, protocolli operativi, standard Utstein</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Esperto clinico esterno (validazione clinica indipendente)</w:t>
      </w:r>
      <w:r>
        <w:t xml:space="preserve"> </w:t>
      </w:r>
      <w:r>
        <w:t xml:space="preserve">— Anestesista-rianimatore o medico d’emergenza con esperienza in elisoccorso (HEMS). Testerà la piattaforma EMSy in contesti reali, fornirà feedback clinico qualificato e potrà produrre pubblicazioni scientifiche o presentazioni a convegni medici sull’efficacia del sistema. Incarico previsto in Fase 2, finanziato dalla voce consulenze specialistiche.</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buffer €1.395 in voce Software/Licenze Fase 1 disponibile</w:t>
            </w:r>
          </w:p>
        </w:tc>
      </w:tr>
      <w:tr>
        <w:tc>
          <w:tcPr/>
          <w:p>
            <w:pPr>
              <w:pStyle w:val="Compact"/>
            </w:pPr>
            <w:r>
              <w:t xml:space="preserve">Mancata disponibilità esperto clinico per validazione</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dataset secondari per validazione</w:t>
            </w:r>
          </w:p>
        </w:tc>
        <w:tc>
          <w:tcPr/>
          <w:p>
            <w:pPr>
              <w:pStyle w:val="Compact"/>
            </w:pPr>
            <w:r>
              <w:t xml:space="preserve">Bassa</w:t>
            </w:r>
          </w:p>
        </w:tc>
        <w:tc>
          <w:tcPr/>
          <w:p>
            <w:pPr>
              <w:pStyle w:val="Compact"/>
            </w:pPr>
            <w:r>
              <w:t xml:space="preserve">Medio</w:t>
            </w:r>
          </w:p>
        </w:tc>
        <w:tc>
          <w:tcPr/>
          <w:p>
            <w:pPr>
              <w:pStyle w:val="Compact"/>
            </w:pPr>
            <w:r>
              <w:t xml:space="preserve">Dataset WACAR (Mendeley) e DCAPS Korea già scaricabili come alternativa; holdout ROC Epistry v3 garantisce validazione minima</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Le attrezzature da acquistare rispetteranno i requisiti RoHS (Direttiva 2011/65/UE), Ecodesign (Reg. UE 617/2013 e Reg. UE 2019/424) e WEEE (Direttiva 2012/19/UE), come dichiarato nella Dichiarazione sostitutiva DNSH (Art. 9 dell’Avviso).</w:t>
      </w:r>
    </w:p>
    <w:bookmarkEnd w:id="41"/>
    <w:bookmarkStart w:id="42" w:name="Xb60537d05df356f1dc72ec510e82e3b02244085"/>
    <w:p>
      <w:pPr>
        <w:pStyle w:val="Heading3"/>
      </w:pPr>
      <w:r>
        <w:t xml:space="preserve">ESPR — Ecodesign for Sustainable Products (Reg. UE 2024/1781)</w:t>
      </w:r>
    </w:p>
    <w:p>
      <w:pPr>
        <w:pStyle w:val="FirstParagraph"/>
      </w:pPr>
      <w:r>
        <w:t xml:space="preserve">Nella selezione del fornitore del Server GPU, EMSy darà priorità a modelli certificati secondo i principi ESPR (Reg. UE 2024/1781), ove disponibili sul mercato al momento dell’acquisto, come criterio di scelta per l’ottenimento della</w:t>
      </w:r>
      <w:r>
        <w:t xml:space="preserve"> </w:t>
      </w:r>
      <w:r>
        <w:rPr>
          <w:b/>
          <w:bCs/>
        </w:rPr>
        <w:t xml:space="preserve">premialità +5 punti</w:t>
      </w:r>
      <w:r>
        <w:t xml:space="preserve"> </w:t>
      </w:r>
      <w:r>
        <w:t xml:space="preserve">prevista dal bando. La certificazione specifica del prodotto sarà definita solo in fase di acquisto, successiva alla selezione del fornitore.</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dataset europei medicalizzati pubblici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rispetterà gli standard</w:t>
      </w:r>
      <w:r>
        <w:t xml:space="preserve"> </w:t>
      </w:r>
      <w:r>
        <w:rPr>
          <w:b/>
          <w:bCs/>
        </w:rPr>
        <w:t xml:space="preserve">RoHS/WEEE</w:t>
      </w:r>
      <w:r>
        <w:t xml:space="preserve">; nella selezione del fornitore del Server GPU si darà priorità a modelli certificati</w:t>
      </w:r>
      <w:r>
        <w:t xml:space="preserve"> </w:t>
      </w:r>
      <w:r>
        <w:rPr>
          <w:b/>
          <w:bCs/>
        </w:rPr>
        <w:t xml:space="preserve">Ecodesign (ESPR, Reg. UE 2024/1781)</w:t>
      </w:r>
      <w:r>
        <w:t xml:space="preserve">, ove disponibili — criterio di scelta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8,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2026-06-23T09:51:52Z</dcterms:created>
  <dcterms:modified xsi:type="dcterms:W3CDTF">2026-06-23T09:51:52Z</dcterms:modified>
</cp:coreProperties>
</file>

<file path=docProps/custom.xml><?xml version="1.0" encoding="utf-8"?>
<Properties xmlns="http://schemas.openxmlformats.org/officeDocument/2006/custom-properties" xmlns:vt="http://schemas.openxmlformats.org/officeDocument/2006/docPropsVTypes"/>
</file>