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1E4B" w14:textId="639C144C" w:rsidR="00E978D0" w:rsidRPr="00767B1C" w:rsidRDefault="00A22ECC" w:rsidP="00767B1C">
      <w:pPr>
        <w:jc w:val="center"/>
        <w:rPr>
          <w:rStyle w:val="Textoennegrita"/>
          <w:b w:val="0"/>
          <w:bCs w:val="0"/>
          <w:sz w:val="32"/>
          <w:szCs w:val="32"/>
        </w:rPr>
      </w:pPr>
      <w:bookmarkStart w:id="0" w:name="_Toc198106288"/>
      <w:r w:rsidRPr="00A22ECC">
        <w:rPr>
          <w:rStyle w:val="Textoennegrita"/>
          <w:sz w:val="40"/>
          <w:szCs w:val="40"/>
        </w:rPr>
        <w:t>Documentación en la Nube vs Mainframe Z15 (IRM): Una Comparativa de Modelos Tecnológicos</w:t>
      </w:r>
      <w:bookmarkEnd w:id="0"/>
    </w:p>
    <w:p w14:paraId="2C6CCF05" w14:textId="00DAC3F4" w:rsidR="00E978D0" w:rsidRDefault="00A22ECC" w:rsidP="00767B1C">
      <w:pPr>
        <w:jc w:val="center"/>
        <w:rPr>
          <w:rStyle w:val="Textoennegrita"/>
          <w:b w:val="0"/>
          <w:bCs w:val="0"/>
          <w:sz w:val="40"/>
          <w:szCs w:val="40"/>
        </w:rPr>
      </w:pPr>
      <w:r>
        <w:rPr>
          <w:rStyle w:val="Textoennegrita"/>
          <w:b w:val="0"/>
          <w:bCs w:val="0"/>
          <w:sz w:val="40"/>
          <w:szCs w:val="40"/>
        </w:rPr>
        <w:br/>
      </w:r>
      <w:r w:rsidRPr="00A22ECC">
        <w:rPr>
          <w:rStyle w:val="Textoennegrita"/>
          <w:b w:val="0"/>
          <w:bCs w:val="0"/>
          <w:sz w:val="40"/>
          <w:szCs w:val="40"/>
        </w:rPr>
        <w:t>Sistema de Hardware</w:t>
      </w:r>
    </w:p>
    <w:p w14:paraId="32D366F9" w14:textId="77777777" w:rsidR="00E978D0" w:rsidRDefault="00E978D0" w:rsidP="00A22ECC">
      <w:pPr>
        <w:jc w:val="center"/>
        <w:rPr>
          <w:rStyle w:val="Textoennegrita"/>
          <w:b w:val="0"/>
          <w:bCs w:val="0"/>
          <w:sz w:val="40"/>
          <w:szCs w:val="40"/>
        </w:rPr>
      </w:pPr>
    </w:p>
    <w:p w14:paraId="18A9D641" w14:textId="7C7D72B6" w:rsidR="00E978D0" w:rsidRDefault="00E978D0" w:rsidP="00A22ECC">
      <w:pPr>
        <w:jc w:val="center"/>
        <w:rPr>
          <w:rStyle w:val="Textoennegrita"/>
          <w:b w:val="0"/>
          <w:bCs w:val="0"/>
          <w:sz w:val="40"/>
          <w:szCs w:val="40"/>
        </w:rPr>
      </w:pPr>
      <w:r>
        <w:rPr>
          <w:rStyle w:val="Textoennegrita"/>
          <w:b w:val="0"/>
          <w:bCs w:val="0"/>
          <w:noProof/>
          <w:sz w:val="40"/>
          <w:szCs w:val="40"/>
        </w:rPr>
        <w:drawing>
          <wp:inline distT="0" distB="0" distL="0" distR="0" wp14:anchorId="1910071B" wp14:editId="00BA299B">
            <wp:extent cx="3741420" cy="3741420"/>
            <wp:effectExtent l="0" t="0" r="0" b="0"/>
            <wp:docPr id="8669243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4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646E00" w14:textId="77777777" w:rsidR="00E978D0" w:rsidRDefault="00E978D0" w:rsidP="00A22ECC">
      <w:pPr>
        <w:jc w:val="center"/>
        <w:rPr>
          <w:rStyle w:val="Textoennegrita"/>
          <w:b w:val="0"/>
          <w:bCs w:val="0"/>
          <w:sz w:val="40"/>
          <w:szCs w:val="40"/>
        </w:rPr>
      </w:pPr>
    </w:p>
    <w:p w14:paraId="67378FEA" w14:textId="77777777" w:rsidR="00E978D0" w:rsidRDefault="00E978D0" w:rsidP="00767B1C">
      <w:pPr>
        <w:rPr>
          <w:rStyle w:val="Textoennegrita"/>
          <w:b w:val="0"/>
          <w:bCs w:val="0"/>
          <w:sz w:val="40"/>
          <w:szCs w:val="40"/>
        </w:rPr>
      </w:pPr>
    </w:p>
    <w:p w14:paraId="4276AABA" w14:textId="73CAD402" w:rsidR="00E978D0" w:rsidRPr="00E978D0" w:rsidRDefault="00E978D0" w:rsidP="00A22ECC">
      <w:pPr>
        <w:jc w:val="center"/>
        <w:rPr>
          <w:rStyle w:val="Textoennegrita"/>
          <w:b w:val="0"/>
          <w:bCs w:val="0"/>
          <w:sz w:val="32"/>
          <w:szCs w:val="32"/>
        </w:rPr>
      </w:pPr>
      <w:r w:rsidRPr="00E978D0">
        <w:rPr>
          <w:rStyle w:val="Textoennegrita"/>
          <w:b w:val="0"/>
          <w:bCs w:val="0"/>
          <w:sz w:val="32"/>
          <w:szCs w:val="32"/>
        </w:rPr>
        <w:t>Ignacio Marani</w:t>
      </w:r>
    </w:p>
    <w:p w14:paraId="27726124" w14:textId="57C93F44" w:rsidR="00E978D0" w:rsidRPr="00E978D0" w:rsidRDefault="00E978D0" w:rsidP="00A22ECC">
      <w:pPr>
        <w:jc w:val="center"/>
        <w:rPr>
          <w:rStyle w:val="Textoennegrita"/>
          <w:b w:val="0"/>
          <w:bCs w:val="0"/>
          <w:sz w:val="32"/>
          <w:szCs w:val="32"/>
        </w:rPr>
      </w:pPr>
      <w:r w:rsidRPr="00E978D0">
        <w:rPr>
          <w:rStyle w:val="Textoennegrita"/>
          <w:b w:val="0"/>
          <w:bCs w:val="0"/>
          <w:sz w:val="32"/>
          <w:szCs w:val="32"/>
        </w:rPr>
        <w:t>2025</w:t>
      </w:r>
    </w:p>
    <w:p w14:paraId="1CC637FF" w14:textId="77777777" w:rsidR="00A22ECC" w:rsidRDefault="00A22ECC" w:rsidP="00A22ECC">
      <w:pPr>
        <w:jc w:val="center"/>
        <w:rPr>
          <w:rStyle w:val="Textoennegrita"/>
          <w:b w:val="0"/>
          <w:bCs w:val="0"/>
          <w:sz w:val="40"/>
          <w:szCs w:val="40"/>
        </w:rPr>
      </w:pPr>
    </w:p>
    <w:p w14:paraId="6B7E7E8F" w14:textId="77777777" w:rsidR="00767B1C" w:rsidRDefault="00767B1C" w:rsidP="00A22ECC">
      <w:pPr>
        <w:jc w:val="center"/>
        <w:rPr>
          <w:rStyle w:val="Textoennegrita"/>
          <w:b w:val="0"/>
          <w:bCs w:val="0"/>
          <w:sz w:val="40"/>
          <w:szCs w:val="40"/>
        </w:rPr>
      </w:pPr>
    </w:p>
    <w:p w14:paraId="0891AADF" w14:textId="3DB1B61F" w:rsidR="00A22ECC" w:rsidRPr="00A22ECC" w:rsidRDefault="00767B1C" w:rsidP="00A22ECC">
      <w:pPr>
        <w:jc w:val="center"/>
        <w:rPr>
          <w:rStyle w:val="Textoennegrita"/>
          <w:b w:val="0"/>
          <w:bCs w:val="0"/>
          <w:sz w:val="24"/>
          <w:szCs w:val="24"/>
        </w:rPr>
      </w:pPr>
      <w:r>
        <w:rPr>
          <w:rStyle w:val="Textoennegrita"/>
          <w:b w:val="0"/>
          <w:bCs w:val="0"/>
          <w:sz w:val="40"/>
          <w:szCs w:val="40"/>
        </w:rPr>
        <w:br/>
      </w:r>
    </w:p>
    <w:p w14:paraId="28D57611" w14:textId="7D109C62" w:rsidR="00767B1C" w:rsidRDefault="00A14D57">
      <w:pPr>
        <w:pStyle w:val="TD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r>
        <w:rPr>
          <w:rStyle w:val="Textoennegrita"/>
          <w:sz w:val="28"/>
          <w:szCs w:val="28"/>
        </w:rPr>
        <w:lastRenderedPageBreak/>
        <w:fldChar w:fldCharType="begin"/>
      </w:r>
      <w:r>
        <w:rPr>
          <w:rStyle w:val="Textoennegrita"/>
          <w:sz w:val="28"/>
          <w:szCs w:val="28"/>
        </w:rPr>
        <w:instrText xml:space="preserve"> TOC \o "1-3" \h \z \u </w:instrText>
      </w:r>
      <w:r>
        <w:rPr>
          <w:rStyle w:val="Textoennegrita"/>
          <w:sz w:val="28"/>
          <w:szCs w:val="28"/>
        </w:rPr>
        <w:fldChar w:fldCharType="separate"/>
      </w:r>
      <w:hyperlink w:anchor="_Toc198107141" w:history="1">
        <w:r w:rsidR="00767B1C" w:rsidRPr="00A42593">
          <w:rPr>
            <w:rStyle w:val="Hipervnculo"/>
            <w:noProof/>
          </w:rPr>
          <w:t>Introducción</w:t>
        </w:r>
        <w:r w:rsidR="00767B1C">
          <w:rPr>
            <w:noProof/>
            <w:webHidden/>
          </w:rPr>
          <w:tab/>
        </w:r>
        <w:r w:rsidR="00767B1C">
          <w:rPr>
            <w:noProof/>
            <w:webHidden/>
          </w:rPr>
          <w:fldChar w:fldCharType="begin"/>
        </w:r>
        <w:r w:rsidR="00767B1C">
          <w:rPr>
            <w:noProof/>
            <w:webHidden/>
          </w:rPr>
          <w:instrText xml:space="preserve"> PAGEREF _Toc198107141 \h </w:instrText>
        </w:r>
        <w:r w:rsidR="00767B1C">
          <w:rPr>
            <w:noProof/>
            <w:webHidden/>
          </w:rPr>
        </w:r>
        <w:r w:rsidR="00767B1C">
          <w:rPr>
            <w:noProof/>
            <w:webHidden/>
          </w:rPr>
          <w:fldChar w:fldCharType="separate"/>
        </w:r>
        <w:r w:rsidR="00767B1C">
          <w:rPr>
            <w:noProof/>
            <w:webHidden/>
          </w:rPr>
          <w:t>3</w:t>
        </w:r>
        <w:r w:rsidR="00767B1C">
          <w:rPr>
            <w:noProof/>
            <w:webHidden/>
          </w:rPr>
          <w:fldChar w:fldCharType="end"/>
        </w:r>
      </w:hyperlink>
    </w:p>
    <w:p w14:paraId="201F39C0" w14:textId="025D27CD" w:rsidR="00767B1C" w:rsidRDefault="00767B1C">
      <w:pPr>
        <w:pStyle w:val="TD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8107142" w:history="1">
        <w:r w:rsidRPr="00A42593">
          <w:rPr>
            <w:rStyle w:val="Hipervnculo"/>
            <w:noProof/>
          </w:rPr>
          <w:t>Documentación en la Nube: Flexibilidad y 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_Toc198107142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F750D7" w14:textId="48D69578" w:rsidR="00767B1C" w:rsidRDefault="00767B1C">
      <w:pPr>
        <w:pStyle w:val="TDC3"/>
        <w:tabs>
          <w:tab w:val="right" w:leader="underscore" w:pos="9016"/>
        </w:tabs>
        <w:rPr>
          <w:rFonts w:eastAsiaTheme="minorEastAsia" w:cstheme="minorBidi"/>
          <w:noProof/>
          <w:kern w:val="2"/>
          <w:sz w:val="24"/>
          <w:szCs w:val="24"/>
          <w:lang w:eastAsia="es-ES"/>
          <w14:ligatures w14:val="standardContextual"/>
        </w:rPr>
      </w:pPr>
      <w:hyperlink w:anchor="_Toc198107143" w:history="1">
        <w:r w:rsidRPr="00A42593">
          <w:rPr>
            <w:rStyle w:val="Hipervnculo"/>
            <w:noProof/>
            <w:lang w:val="en-US"/>
          </w:rPr>
          <w:t>IaaS (Infrastructure as a Service)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_Toc198107143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E53CFE" w14:textId="5241F047" w:rsidR="00767B1C" w:rsidRDefault="00767B1C">
      <w:pPr>
        <w:pStyle w:val="TDC3"/>
        <w:tabs>
          <w:tab w:val="right" w:leader="underscore" w:pos="9016"/>
        </w:tabs>
        <w:rPr>
          <w:rFonts w:eastAsiaTheme="minorEastAsia" w:cstheme="minorBidi"/>
          <w:noProof/>
          <w:kern w:val="2"/>
          <w:sz w:val="24"/>
          <w:szCs w:val="24"/>
          <w:lang w:eastAsia="es-ES"/>
          <w14:ligatures w14:val="standardContextual"/>
        </w:rPr>
      </w:pPr>
      <w:hyperlink w:anchor="_Toc198107144" w:history="1">
        <w:r w:rsidRPr="00A42593">
          <w:rPr>
            <w:rStyle w:val="Hipervnculo"/>
            <w:noProof/>
            <w:lang w:val="en-US"/>
          </w:rPr>
          <w:t>PaaS (Platform as a Service)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_Toc198107144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61C3E6" w14:textId="3FF3CDB5" w:rsidR="00767B1C" w:rsidRDefault="00767B1C">
      <w:pPr>
        <w:pStyle w:val="TDC3"/>
        <w:tabs>
          <w:tab w:val="right" w:leader="underscore" w:pos="9016"/>
        </w:tabs>
        <w:rPr>
          <w:rFonts w:eastAsiaTheme="minorEastAsia" w:cstheme="minorBidi"/>
          <w:noProof/>
          <w:kern w:val="2"/>
          <w:sz w:val="24"/>
          <w:szCs w:val="24"/>
          <w:lang w:eastAsia="es-ES"/>
          <w14:ligatures w14:val="standardContextual"/>
        </w:rPr>
      </w:pPr>
      <w:hyperlink w:anchor="_Toc198107145" w:history="1">
        <w:r w:rsidRPr="00A42593">
          <w:rPr>
            <w:rStyle w:val="Hipervnculo"/>
            <w:noProof/>
            <w:lang w:val="en-US"/>
          </w:rPr>
          <w:t>SaaS (Software as a Service)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_Toc198107145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A5307C" w14:textId="2C5C0660" w:rsidR="00767B1C" w:rsidRDefault="00767B1C">
      <w:pPr>
        <w:pStyle w:val="TDC3"/>
        <w:tabs>
          <w:tab w:val="right" w:leader="underscore" w:pos="9016"/>
        </w:tabs>
        <w:rPr>
          <w:rFonts w:eastAsiaTheme="minorEastAsia" w:cstheme="minorBidi"/>
          <w:noProof/>
          <w:kern w:val="2"/>
          <w:sz w:val="24"/>
          <w:szCs w:val="24"/>
          <w:lang w:eastAsia="es-ES"/>
          <w14:ligatures w14:val="standardContextual"/>
        </w:rPr>
      </w:pPr>
      <w:hyperlink w:anchor="_Toc198107146" w:history="1">
        <w:r w:rsidRPr="00A42593">
          <w:rPr>
            <w:rStyle w:val="Hipervnculo"/>
            <w:noProof/>
            <w:lang w:val="en-US"/>
          </w:rPr>
          <w:t>CaaS (Containers as a Service)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_Toc198107146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41EE66" w14:textId="312ABD48" w:rsidR="00767B1C" w:rsidRDefault="00767B1C">
      <w:pPr>
        <w:pStyle w:val="TDC3"/>
        <w:tabs>
          <w:tab w:val="right" w:leader="underscore" w:pos="9016"/>
        </w:tabs>
        <w:rPr>
          <w:rFonts w:eastAsiaTheme="minorEastAsia" w:cstheme="minorBidi"/>
          <w:noProof/>
          <w:kern w:val="2"/>
          <w:sz w:val="24"/>
          <w:szCs w:val="24"/>
          <w:lang w:eastAsia="es-ES"/>
          <w14:ligatures w14:val="standardContextual"/>
        </w:rPr>
      </w:pPr>
      <w:hyperlink w:anchor="_Toc198107147" w:history="1">
        <w:r w:rsidRPr="00A42593">
          <w:rPr>
            <w:rStyle w:val="Hipervnculo"/>
            <w:noProof/>
          </w:rPr>
          <w:t>Mainframe Z15 (IRM): Potencia, Seguridad y 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_Toc198107147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63815E" w14:textId="5797F9B3" w:rsidR="00767B1C" w:rsidRDefault="00767B1C">
      <w:pPr>
        <w:pStyle w:val="TD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8107148" w:history="1">
        <w:r w:rsidRPr="00A42593">
          <w:rPr>
            <w:rStyle w:val="Hipervnculo"/>
            <w:noProof/>
          </w:rPr>
          <w:t>Comparación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_Toc198107148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6C379" w14:textId="73529956" w:rsidR="00767B1C" w:rsidRDefault="00767B1C">
      <w:pPr>
        <w:pStyle w:val="TD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8107149" w:history="1">
        <w:r w:rsidRPr="00A42593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_Toc198107149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A92927" w14:textId="2165C802" w:rsidR="00A14D57" w:rsidRDefault="00A14D57">
      <w:pPr>
        <w:rPr>
          <w:rStyle w:val="Textoennegrita"/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Style w:val="Textoennegrita"/>
          <w:sz w:val="28"/>
          <w:szCs w:val="28"/>
        </w:rPr>
        <w:fldChar w:fldCharType="end"/>
      </w:r>
      <w:r>
        <w:rPr>
          <w:rStyle w:val="Textoennegrita"/>
          <w:sz w:val="28"/>
          <w:szCs w:val="28"/>
        </w:rPr>
        <w:br w:type="page"/>
      </w:r>
    </w:p>
    <w:p w14:paraId="2C1146B3" w14:textId="117FBA95" w:rsidR="00A14D57" w:rsidRPr="00A22ECC" w:rsidRDefault="00A22ECC" w:rsidP="00A22ECC">
      <w:pPr>
        <w:pStyle w:val="Ttulo2"/>
        <w:rPr>
          <w:sz w:val="24"/>
          <w:szCs w:val="24"/>
        </w:rPr>
      </w:pPr>
      <w:bookmarkStart w:id="1" w:name="_Toc198107141"/>
      <w:r w:rsidRPr="00A22ECC">
        <w:rPr>
          <w:rStyle w:val="Textoennegrita"/>
          <w:b w:val="0"/>
          <w:bCs w:val="0"/>
          <w:sz w:val="24"/>
          <w:szCs w:val="24"/>
        </w:rPr>
        <w:lastRenderedPageBreak/>
        <w:t>Introducción</w:t>
      </w:r>
      <w:bookmarkEnd w:id="1"/>
    </w:p>
    <w:p w14:paraId="2DD215FF" w14:textId="732E5606" w:rsidR="00A14D57" w:rsidRDefault="00A14D57" w:rsidP="00A14D57">
      <w:pPr>
        <w:spacing w:before="100" w:beforeAutospacing="1" w:after="100" w:afterAutospacing="1"/>
      </w:pPr>
      <w:r>
        <w:t xml:space="preserve">En la era de la transformación digital, las organizaciones enfrentan decisiones fundamentales sobre cómo almacenar, procesar y documentar sus datos y procesos críticos. Dos enfoques tecnológicos dominan el panorama actual: las soluciones basadas en la nube con modelos como IaaS, PaaS, SaaS y </w:t>
      </w:r>
      <w:proofErr w:type="spellStart"/>
      <w:r>
        <w:t>CaaS</w:t>
      </w:r>
      <w:proofErr w:type="spellEnd"/>
      <w:r>
        <w:t>, y los sistemas mainframe tradicionales, como el IBM Z15 (IRM). Este ensayo compara estos enfoques desde la perspectiva de la documentación digital, resaltando sus ventajas, limitaciones y casos de uso típicos.</w:t>
      </w:r>
    </w:p>
    <w:p w14:paraId="6FA2B0B9" w14:textId="77777777" w:rsidR="00A14D57" w:rsidRPr="00A14D57" w:rsidRDefault="00A14D57" w:rsidP="00A14D57">
      <w:pPr>
        <w:pStyle w:val="Ttulo2"/>
        <w:rPr>
          <w:sz w:val="24"/>
          <w:szCs w:val="24"/>
        </w:rPr>
      </w:pPr>
      <w:bookmarkStart w:id="2" w:name="_Toc198107142"/>
      <w:r w:rsidRPr="00A14D57">
        <w:rPr>
          <w:sz w:val="24"/>
          <w:szCs w:val="24"/>
        </w:rPr>
        <w:t>Documentación en la Nube: Flexibilidad y Escalabilidad</w:t>
      </w:r>
      <w:bookmarkEnd w:id="2"/>
    </w:p>
    <w:p w14:paraId="4F62A849" w14:textId="77777777" w:rsidR="00A14D57" w:rsidRDefault="00A14D57" w:rsidP="00A14D57">
      <w:pPr>
        <w:spacing w:before="100" w:beforeAutospacing="1" w:after="100" w:afterAutospacing="1"/>
      </w:pPr>
      <w:r>
        <w:t>La computación en la nube ha transformado la manera en que se accede y se gestiona la documentación. Los siguientes modelos definen distintos niveles de abstracción en este ecosistema:</w:t>
      </w:r>
    </w:p>
    <w:p w14:paraId="16DED4C2" w14:textId="77777777" w:rsidR="00A14D57" w:rsidRPr="00A14D57" w:rsidRDefault="00A14D57" w:rsidP="00A14D57">
      <w:pPr>
        <w:pStyle w:val="Ttulo3"/>
        <w:rPr>
          <w:sz w:val="22"/>
          <w:szCs w:val="22"/>
          <w:lang w:val="en-US"/>
        </w:rPr>
      </w:pPr>
      <w:bookmarkStart w:id="3" w:name="_Toc198107143"/>
      <w:r w:rsidRPr="00A14D57">
        <w:rPr>
          <w:sz w:val="22"/>
          <w:szCs w:val="22"/>
          <w:lang w:val="en-US"/>
        </w:rPr>
        <w:t>IaaS (Infrastructure as a Service)</w:t>
      </w:r>
      <w:bookmarkEnd w:id="3"/>
    </w:p>
    <w:p w14:paraId="7D94E0F4" w14:textId="77777777" w:rsidR="00A14D57" w:rsidRDefault="00A14D57" w:rsidP="00A14D57">
      <w:pPr>
        <w:spacing w:before="100" w:beforeAutospacing="1" w:after="100" w:afterAutospacing="1"/>
      </w:pPr>
      <w:r>
        <w:t>IaaS ofrece infraestructura virtualizada bajo demanda —servidores, almacenamiento, redes— que el usuario puede configurar según sus necesidades. Servicios como Amazon EC2 o Microsoft Azure permiten alojar documentación digital en entornos seguros, escalables y de alta disponibilidad. Es ideal para empresas que quieren control total sobre su infraestructura sin invertir en hardware físico.</w:t>
      </w:r>
    </w:p>
    <w:p w14:paraId="5386DF9C" w14:textId="77777777" w:rsidR="00A14D57" w:rsidRPr="00A14D57" w:rsidRDefault="00A14D57" w:rsidP="00A14D57">
      <w:pPr>
        <w:pStyle w:val="Ttulo3"/>
        <w:rPr>
          <w:sz w:val="22"/>
          <w:szCs w:val="22"/>
          <w:lang w:val="en-US"/>
        </w:rPr>
      </w:pPr>
      <w:bookmarkStart w:id="4" w:name="_Toc198107144"/>
      <w:r w:rsidRPr="00A14D57">
        <w:rPr>
          <w:sz w:val="22"/>
          <w:szCs w:val="22"/>
          <w:lang w:val="en-US"/>
        </w:rPr>
        <w:t>PaaS (Platform as a Service)</w:t>
      </w:r>
      <w:bookmarkEnd w:id="4"/>
    </w:p>
    <w:p w14:paraId="783D3DF5" w14:textId="77777777" w:rsidR="00A14D57" w:rsidRDefault="00A14D57" w:rsidP="00A14D57">
      <w:pPr>
        <w:spacing w:before="100" w:beforeAutospacing="1" w:after="100" w:afterAutospacing="1"/>
      </w:pPr>
      <w:r>
        <w:t xml:space="preserve">PaaS proporciona una plataforma completa para desarrollar, ejecutar y administrar aplicaciones sin preocuparse por el hardware subyacente. Soluciones como Google App </w:t>
      </w:r>
      <w:proofErr w:type="spellStart"/>
      <w:r>
        <w:t>Engine</w:t>
      </w:r>
      <w:proofErr w:type="spellEnd"/>
      <w:r>
        <w:t xml:space="preserve"> o </w:t>
      </w:r>
      <w:proofErr w:type="spellStart"/>
      <w:r>
        <w:t>Heroku</w:t>
      </w:r>
      <w:proofErr w:type="spellEnd"/>
      <w:r>
        <w:t xml:space="preserve"> permiten a los desarrolladores centrarse en construir aplicaciones de documentación, como gestores de contenido o portales de información, con escalabilidad automática y herramientas integradas.</w:t>
      </w:r>
    </w:p>
    <w:p w14:paraId="607EDB7C" w14:textId="77777777" w:rsidR="00A14D57" w:rsidRPr="00A14D57" w:rsidRDefault="00A14D57" w:rsidP="00A14D57">
      <w:pPr>
        <w:pStyle w:val="Ttulo3"/>
        <w:rPr>
          <w:sz w:val="22"/>
          <w:szCs w:val="22"/>
          <w:lang w:val="en-US"/>
        </w:rPr>
      </w:pPr>
      <w:bookmarkStart w:id="5" w:name="_Toc198107145"/>
      <w:r w:rsidRPr="00A14D57">
        <w:rPr>
          <w:sz w:val="22"/>
          <w:szCs w:val="22"/>
          <w:lang w:val="en-US"/>
        </w:rPr>
        <w:t>SaaS (Software as a Service)</w:t>
      </w:r>
      <w:bookmarkEnd w:id="5"/>
    </w:p>
    <w:p w14:paraId="7DB70B12" w14:textId="77777777" w:rsidR="00A14D57" w:rsidRDefault="00A14D57" w:rsidP="00A14D57">
      <w:pPr>
        <w:spacing w:before="100" w:beforeAutospacing="1" w:after="100" w:afterAutospacing="1"/>
      </w:pPr>
      <w:r>
        <w:t xml:space="preserve">SaaS es quizá el modelo más conocido para el usuario final. Permite acceder a software y servicios desde cualquier dispositivo con conexión a internet. Ejemplos comunes en documentación son Google </w:t>
      </w:r>
      <w:proofErr w:type="spellStart"/>
      <w:r>
        <w:t>Docs</w:t>
      </w:r>
      <w:proofErr w:type="spellEnd"/>
      <w:r>
        <w:t xml:space="preserve">, Microsoft 365 o Dropbox </w:t>
      </w:r>
      <w:proofErr w:type="spellStart"/>
      <w:r>
        <w:t>Paper</w:t>
      </w:r>
      <w:proofErr w:type="spellEnd"/>
      <w:r>
        <w:t>, donde los usuarios pueden crear, editar y compartir documentos en tiempo real. Este modelo destaca por su facilidad de uso, actualizaciones automáticas y bajo costo inicial.</w:t>
      </w:r>
    </w:p>
    <w:p w14:paraId="7230A85F" w14:textId="77777777" w:rsidR="00A14D57" w:rsidRPr="00A14D57" w:rsidRDefault="00A14D57" w:rsidP="00A14D57">
      <w:pPr>
        <w:pStyle w:val="Ttulo3"/>
        <w:rPr>
          <w:sz w:val="22"/>
          <w:szCs w:val="22"/>
          <w:lang w:val="en-US"/>
        </w:rPr>
      </w:pPr>
      <w:bookmarkStart w:id="6" w:name="_Toc198107146"/>
      <w:r w:rsidRPr="00A14D57">
        <w:rPr>
          <w:sz w:val="22"/>
          <w:szCs w:val="22"/>
          <w:lang w:val="en-US"/>
        </w:rPr>
        <w:t>CaaS (Containers as a Service)</w:t>
      </w:r>
      <w:bookmarkEnd w:id="6"/>
    </w:p>
    <w:p w14:paraId="4FB84803" w14:textId="77777777" w:rsidR="00A14D57" w:rsidRDefault="00A14D57" w:rsidP="00A14D57">
      <w:pPr>
        <w:spacing w:before="100" w:beforeAutospacing="1" w:after="100" w:afterAutospacing="1"/>
      </w:pPr>
      <w:proofErr w:type="spellStart"/>
      <w:r>
        <w:t>CaaS</w:t>
      </w:r>
      <w:proofErr w:type="spellEnd"/>
      <w:r>
        <w:t xml:space="preserve"> se sitúa entre IaaS y PaaS, permitiendo implementar y gestionar contenedores —como los de Docker o </w:t>
      </w:r>
      <w:proofErr w:type="spellStart"/>
      <w:r>
        <w:t>Kubernetes</w:t>
      </w:r>
      <w:proofErr w:type="spellEnd"/>
      <w:r>
        <w:t xml:space="preserve">— en la nube. Para la documentación, </w:t>
      </w:r>
      <w:proofErr w:type="spellStart"/>
      <w:r>
        <w:t>CaaS</w:t>
      </w:r>
      <w:proofErr w:type="spellEnd"/>
      <w:r>
        <w:t xml:space="preserve"> es útil en escenarios donde se necesita portabilidad entre entornos, microservicios para procesar grandes volúmenes de documentos o flujos de trabajo distribuidos.</w:t>
      </w:r>
    </w:p>
    <w:p w14:paraId="6BAF6C89" w14:textId="77777777" w:rsidR="00A14D57" w:rsidRPr="00A14D57" w:rsidRDefault="00A14D57" w:rsidP="00A14D57">
      <w:pPr>
        <w:pStyle w:val="Ttulo3"/>
        <w:rPr>
          <w:sz w:val="22"/>
          <w:szCs w:val="22"/>
        </w:rPr>
      </w:pPr>
      <w:bookmarkStart w:id="7" w:name="_Toc198107147"/>
      <w:r w:rsidRPr="00A14D57">
        <w:rPr>
          <w:sz w:val="22"/>
          <w:szCs w:val="22"/>
        </w:rPr>
        <w:lastRenderedPageBreak/>
        <w:t>Mainframe Z15 (IRM): Potencia, Seguridad y Fiabilidad</w:t>
      </w:r>
      <w:bookmarkEnd w:id="7"/>
    </w:p>
    <w:p w14:paraId="43E3AE9E" w14:textId="77777777" w:rsidR="00A14D57" w:rsidRDefault="00A14D57" w:rsidP="00A14D57">
      <w:pPr>
        <w:spacing w:before="100" w:beforeAutospacing="1" w:after="100" w:afterAutospacing="1"/>
      </w:pPr>
      <w:r>
        <w:t>Por otro lado, el IBM Z15 representa la evolución de los mainframes, conocidos por su fiabilidad, rendimiento y seguridad a nivel empresarial. Este sistema es usado en sectores críticos como banca, seguros y gobiernos, donde se manejan volúmenes masivos de información confidencial.</w:t>
      </w:r>
    </w:p>
    <w:p w14:paraId="10AEBE24" w14:textId="77777777" w:rsidR="00A14D57" w:rsidRDefault="00A14D57" w:rsidP="00A14D57">
      <w:pPr>
        <w:spacing w:before="100" w:beforeAutospacing="1" w:after="100" w:afterAutospacing="1"/>
      </w:pPr>
      <w:r>
        <w:t>El Z15 destaca por su capacidad de procesar transacciones en tiempo real y por características avanzadas como encriptación de extremo a extremo y tolerancia a fallos. Para la documentación, esto se traduce en entornos extremadamente seguros y estables, aunque con menos flexibilidad que los modelos en la nube.</w:t>
      </w:r>
    </w:p>
    <w:p w14:paraId="1AC11D48" w14:textId="77777777" w:rsidR="00A14D57" w:rsidRDefault="00A14D57" w:rsidP="00A14D57">
      <w:pPr>
        <w:spacing w:before="100" w:beforeAutospacing="1" w:after="100" w:afterAutospacing="1"/>
      </w:pPr>
      <w:r>
        <w:t>A diferencia de la nube, donde el acceso a la documentación puede depender de la conectividad y la latencia, los mainframes como el Z15 operan sobre infraestructuras internas que garantizan disponibilidad casi total, con tiempos de respuesta medidos en milisegundos. No obstante, el costo de implementación y mantenimiento de un Z15 es elevado y requiere personal altamente capacitado.</w:t>
      </w:r>
    </w:p>
    <w:p w14:paraId="4A923DE2" w14:textId="7BC40518" w:rsidR="00A14D57" w:rsidRDefault="00A14D57" w:rsidP="00A22ECC">
      <w:pPr>
        <w:pStyle w:val="Ttulo2"/>
      </w:pPr>
      <w:bookmarkStart w:id="8" w:name="_Toc198107148"/>
      <w:r w:rsidRPr="00A22ECC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F6993C" wp14:editId="390BF826">
            <wp:simplePos x="0" y="0"/>
            <wp:positionH relativeFrom="margin">
              <wp:align>center</wp:align>
            </wp:positionH>
            <wp:positionV relativeFrom="paragraph">
              <wp:posOffset>351847</wp:posOffset>
            </wp:positionV>
            <wp:extent cx="4717473" cy="3139058"/>
            <wp:effectExtent l="0" t="0" r="6985" b="4445"/>
            <wp:wrapTight wrapText="bothSides">
              <wp:wrapPolygon edited="0">
                <wp:start x="0" y="0"/>
                <wp:lineTo x="0" y="21499"/>
                <wp:lineTo x="21545" y="21499"/>
                <wp:lineTo x="21545" y="0"/>
                <wp:lineTo x="0" y="0"/>
              </wp:wrapPolygon>
            </wp:wrapTight>
            <wp:docPr id="1693780488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80488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73" cy="31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ECC">
        <w:rPr>
          <w:rStyle w:val="Textoennegrita"/>
          <w:b w:val="0"/>
          <w:bCs w:val="0"/>
          <w:sz w:val="24"/>
          <w:szCs w:val="24"/>
        </w:rPr>
        <w:t>Comparación General</w:t>
      </w:r>
      <w:bookmarkEnd w:id="8"/>
      <w:r>
        <w:rPr>
          <w:rStyle w:val="Textoennegrita"/>
          <w:b w:val="0"/>
          <w:bCs w:val="0"/>
        </w:rPr>
        <w:br/>
      </w:r>
    </w:p>
    <w:p w14:paraId="133E65CA" w14:textId="46671601" w:rsidR="003E37B9" w:rsidRDefault="003E37B9" w:rsidP="00A14D57">
      <w:pPr>
        <w:jc w:val="center"/>
      </w:pPr>
    </w:p>
    <w:p w14:paraId="31C0B3FA" w14:textId="02BB0DB9" w:rsidR="00A14D57" w:rsidRPr="00A14D57" w:rsidRDefault="00A14D57" w:rsidP="00A14D57">
      <w:pPr>
        <w:pStyle w:val="Ttulo2"/>
        <w:rPr>
          <w:sz w:val="24"/>
          <w:szCs w:val="24"/>
        </w:rPr>
      </w:pPr>
      <w:bookmarkStart w:id="9" w:name="_Toc198107149"/>
      <w:r w:rsidRPr="00A14D57">
        <w:rPr>
          <w:sz w:val="24"/>
          <w:szCs w:val="24"/>
        </w:rPr>
        <w:t>Conclusión</w:t>
      </w:r>
      <w:bookmarkEnd w:id="9"/>
    </w:p>
    <w:p w14:paraId="48C5417B" w14:textId="77777777" w:rsidR="00A14D57" w:rsidRDefault="00A14D57" w:rsidP="00A14D57">
      <w:pPr>
        <w:spacing w:before="100" w:beforeAutospacing="1" w:after="100" w:afterAutospacing="1"/>
      </w:pPr>
      <w:r>
        <w:t>Ambos enfoques tienen fortalezas y limitaciones. La documentación en la nube sobresale por su accesibilidad, agilidad y bajos costos iniciales, adaptándose a entornos cambiantes y colaborativos. Por su parte, el mainframe Z15 (IRM) continúa siendo la opción preferida cuando la seguridad, la integridad y el rendimiento extremo son críticos.</w:t>
      </w:r>
    </w:p>
    <w:p w14:paraId="69575FFD" w14:textId="3E824559" w:rsidR="004B1666" w:rsidRPr="003E37B9" w:rsidRDefault="00A14D57" w:rsidP="00A14D57">
      <w:pPr>
        <w:spacing w:before="100" w:beforeAutospacing="1" w:after="100" w:afterAutospacing="1"/>
      </w:pPr>
      <w:r>
        <w:t>En muchos casos, la solución no es elegir uno sobre otro, sino combinarlos: mantener cargas sensibles en un mainframe y derivar documentación menos crítica o colaborativa hacia plataformas en la nube. Así, se obtiene lo mejor de ambos mundos: la solidez del legado y la agilidad de la modernidad.</w:t>
      </w:r>
    </w:p>
    <w:sectPr w:rsidR="004B1666" w:rsidRPr="003E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B9"/>
    <w:rsid w:val="003E37B9"/>
    <w:rsid w:val="0048503E"/>
    <w:rsid w:val="004B1666"/>
    <w:rsid w:val="00767B1C"/>
    <w:rsid w:val="00A14D57"/>
    <w:rsid w:val="00A22ECC"/>
    <w:rsid w:val="00E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2F140"/>
  <w15:chartTrackingRefBased/>
  <w15:docId w15:val="{DAF5C1D8-4FFF-47CD-B8B9-836A6636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3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E3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E3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7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7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7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7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7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7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7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7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7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7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7B9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B1666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A14D5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A14D57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A14D57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14D57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14D57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14D57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14D57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14D57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14D57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14D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344EF-3EE8-4AE5-B88A-4A10C029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Marani</dc:creator>
  <cp:keywords/>
  <dc:description/>
  <cp:lastModifiedBy>Ignacio Marani</cp:lastModifiedBy>
  <cp:revision>2</cp:revision>
  <dcterms:created xsi:type="dcterms:W3CDTF">2025-05-14T11:38:00Z</dcterms:created>
  <dcterms:modified xsi:type="dcterms:W3CDTF">2025-05-14T12:25:00Z</dcterms:modified>
</cp:coreProperties>
</file>