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394E" w14:textId="3F8A4B9A" w:rsidR="00FD36C5" w:rsidRPr="00FD36C5" w:rsidRDefault="0041357E" w:rsidP="0041357E">
      <w:pPr>
        <w:spacing w:after="0"/>
        <w:ind w:left="-426" w:right="-427" w:hanging="99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FD36C5" w:rsidRPr="00FD36C5">
        <w:rPr>
          <w:b/>
          <w:bCs/>
          <w:sz w:val="28"/>
          <w:szCs w:val="28"/>
          <w:shd w:val="clear" w:color="auto" w:fill="8EAADB" w:themeFill="accent1" w:themeFillTint="99"/>
        </w:rPr>
        <w:t>Medidas de Tendencia Central</w:t>
      </w:r>
      <w:r>
        <w:rPr>
          <w:b/>
          <w:bCs/>
          <w:sz w:val="28"/>
          <w:szCs w:val="28"/>
        </w:rPr>
        <w:t xml:space="preserve"> </w:t>
      </w:r>
      <w:r w:rsidRPr="0041357E"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41357E">
        <w:t>valores tienden a agruparse alrededor de algunos</w:t>
      </w:r>
      <w:r>
        <w:t xml:space="preserve"> </w:t>
      </w:r>
      <w:r w:rsidRPr="0041357E">
        <w:t>puntos</w:t>
      </w:r>
      <w:r>
        <w:t xml:space="preserve"> </w:t>
      </w:r>
      <w:r w:rsidRPr="0041357E">
        <w:t>centrales</w:t>
      </w:r>
    </w:p>
    <w:p w14:paraId="15E6CA90" w14:textId="35F925D8" w:rsidR="00FD36C5" w:rsidRDefault="00FD36C5" w:rsidP="0005664E">
      <w:pPr>
        <w:spacing w:after="0"/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461"/>
        <w:gridCol w:w="4993"/>
        <w:gridCol w:w="5171"/>
      </w:tblGrid>
      <w:tr w:rsidR="00793729" w14:paraId="76E8965A" w14:textId="77777777" w:rsidTr="0041357E">
        <w:tc>
          <w:tcPr>
            <w:tcW w:w="1461" w:type="dxa"/>
            <w:shd w:val="clear" w:color="auto" w:fill="8EAADB" w:themeFill="accent1" w:themeFillTint="99"/>
          </w:tcPr>
          <w:p w14:paraId="20D07E49" w14:textId="333BE06B" w:rsidR="00FD36C5" w:rsidRPr="00FD36C5" w:rsidRDefault="00FD36C5" w:rsidP="00FD36C5">
            <w:pPr>
              <w:jc w:val="center"/>
              <w:rPr>
                <w:b/>
                <w:bCs/>
              </w:rPr>
            </w:pPr>
            <w:r w:rsidRPr="00FD36C5">
              <w:rPr>
                <w:b/>
                <w:bCs/>
              </w:rPr>
              <w:t>Medidas de Tendencia Central</w:t>
            </w:r>
          </w:p>
        </w:tc>
        <w:tc>
          <w:tcPr>
            <w:tcW w:w="4993" w:type="dxa"/>
            <w:shd w:val="clear" w:color="auto" w:fill="8EAADB" w:themeFill="accent1" w:themeFillTint="99"/>
          </w:tcPr>
          <w:p w14:paraId="79897049" w14:textId="7E8F363A" w:rsidR="00FD36C5" w:rsidRPr="00FD36C5" w:rsidRDefault="00FD36C5" w:rsidP="00FD36C5">
            <w:pPr>
              <w:spacing w:line="259" w:lineRule="auto"/>
              <w:jc w:val="center"/>
              <w:rPr>
                <w:b/>
                <w:bCs/>
              </w:rPr>
            </w:pPr>
            <w:r w:rsidRPr="00FD36C5">
              <w:rPr>
                <w:b/>
                <w:bCs/>
              </w:rPr>
              <w:t>Símbolo y fórmula</w:t>
            </w:r>
          </w:p>
        </w:tc>
        <w:tc>
          <w:tcPr>
            <w:tcW w:w="5171" w:type="dxa"/>
            <w:shd w:val="clear" w:color="auto" w:fill="8EAADB" w:themeFill="accent1" w:themeFillTint="99"/>
          </w:tcPr>
          <w:p w14:paraId="28A5A272" w14:textId="2BE4D163" w:rsidR="00FD36C5" w:rsidRPr="00FD36C5" w:rsidRDefault="00FD36C5" w:rsidP="00FD36C5">
            <w:pPr>
              <w:jc w:val="center"/>
              <w:rPr>
                <w:b/>
                <w:bCs/>
              </w:rPr>
            </w:pPr>
            <w:r w:rsidRPr="00FD36C5">
              <w:rPr>
                <w:b/>
                <w:bCs/>
              </w:rPr>
              <w:t>Descripción</w:t>
            </w:r>
          </w:p>
        </w:tc>
      </w:tr>
      <w:tr w:rsidR="00793729" w14:paraId="0EBF7C11" w14:textId="77777777" w:rsidTr="0041357E">
        <w:tc>
          <w:tcPr>
            <w:tcW w:w="1461" w:type="dxa"/>
          </w:tcPr>
          <w:p w14:paraId="53DCEFCF" w14:textId="1B1D4530" w:rsidR="00FD36C5" w:rsidRPr="00793729" w:rsidRDefault="00FD36C5" w:rsidP="00FD36C5">
            <w:pPr>
              <w:rPr>
                <w:b/>
                <w:bCs/>
                <w:highlight w:val="yellow"/>
              </w:rPr>
            </w:pPr>
            <w:r w:rsidRPr="00793729">
              <w:rPr>
                <w:b/>
                <w:bCs/>
                <w:highlight w:val="yellow"/>
              </w:rPr>
              <w:t>Promedio o Media Aritmética</w:t>
            </w:r>
          </w:p>
        </w:tc>
        <w:tc>
          <w:tcPr>
            <w:tcW w:w="4993" w:type="dxa"/>
          </w:tcPr>
          <w:p w14:paraId="5DE8AE71" w14:textId="57204861" w:rsidR="00FD36C5" w:rsidRPr="00793729" w:rsidRDefault="00FD36C5" w:rsidP="00FD36C5">
            <w:pPr>
              <w:jc w:val="center"/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drawing>
                <wp:inline distT="0" distB="0" distL="0" distR="0" wp14:anchorId="0C858E14" wp14:editId="268BDE46">
                  <wp:extent cx="1722246" cy="453224"/>
                  <wp:effectExtent l="0" t="0" r="0" b="4445"/>
                  <wp:docPr id="20406500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500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274" cy="46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42790183" w14:textId="3F3B2657" w:rsidR="00FD36C5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="00FD36C5" w:rsidRPr="00793729">
              <w:rPr>
                <w:sz w:val="20"/>
                <w:szCs w:val="20"/>
              </w:rPr>
              <w:t>Los promedios pueden ser calculados sólo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 xml:space="preserve">cuando las variables son </w:t>
            </w:r>
            <w:r w:rsidR="00FD36C5" w:rsidRPr="00793729">
              <w:rPr>
                <w:sz w:val="20"/>
                <w:szCs w:val="20"/>
                <w:u w:val="single"/>
              </w:rPr>
              <w:t>cuantitativas</w:t>
            </w:r>
            <w:r w:rsidR="00FD36C5" w:rsidRPr="00793729">
              <w:rPr>
                <w:sz w:val="20"/>
                <w:szCs w:val="20"/>
              </w:rPr>
              <w:t>, porque las variables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cualitativas no admiten operaciones algebraicas.</w:t>
            </w:r>
          </w:p>
        </w:tc>
      </w:tr>
      <w:tr w:rsidR="00793729" w14:paraId="5DAA166B" w14:textId="77777777" w:rsidTr="0041357E">
        <w:tc>
          <w:tcPr>
            <w:tcW w:w="1461" w:type="dxa"/>
          </w:tcPr>
          <w:p w14:paraId="63074D26" w14:textId="4CF40486" w:rsidR="00FD36C5" w:rsidRPr="00793729" w:rsidRDefault="00FD36C5" w:rsidP="00FD36C5">
            <w:pPr>
              <w:rPr>
                <w:b/>
                <w:bCs/>
                <w:highlight w:val="yellow"/>
              </w:rPr>
            </w:pPr>
            <w:r w:rsidRPr="00793729">
              <w:rPr>
                <w:b/>
                <w:bCs/>
                <w:highlight w:val="yellow"/>
              </w:rPr>
              <w:t>Promedio con distribución de frecuencia</w:t>
            </w:r>
            <w:r w:rsidRPr="00793729">
              <w:rPr>
                <w:b/>
                <w:bCs/>
                <w:highlight w:val="yellow"/>
              </w:rPr>
              <w:br/>
            </w:r>
          </w:p>
        </w:tc>
        <w:tc>
          <w:tcPr>
            <w:tcW w:w="4993" w:type="dxa"/>
          </w:tcPr>
          <w:p w14:paraId="2A2794C1" w14:textId="25490F35" w:rsidR="00FD36C5" w:rsidRPr="00793729" w:rsidRDefault="00FD36C5" w:rsidP="00FD36C5">
            <w:pPr>
              <w:jc w:val="center"/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drawing>
                <wp:inline distT="0" distB="0" distL="0" distR="0" wp14:anchorId="7ED91B2C" wp14:editId="73D33AC1">
                  <wp:extent cx="2573538" cy="500933"/>
                  <wp:effectExtent l="0" t="0" r="0" b="0"/>
                  <wp:docPr id="1901974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9747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614" cy="51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4B8283CF" w14:textId="739A9ACE" w:rsidR="00FD36C5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="00FD36C5" w:rsidRPr="00793729">
              <w:rPr>
                <w:sz w:val="20"/>
                <w:szCs w:val="20"/>
              </w:rPr>
              <w:t>Si los datos están organizados en una distribución de frecuencia, es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decir que tengo una tabla de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frecuencias entonces la fórmula será la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misma, pero multiplicando cada valor de la variable por la frecuencia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correspondiente</w:t>
            </w:r>
            <w:r w:rsidR="00FD36C5" w:rsidRPr="00793729">
              <w:rPr>
                <w:sz w:val="20"/>
                <w:szCs w:val="20"/>
              </w:rPr>
              <w:t>.</w:t>
            </w:r>
          </w:p>
        </w:tc>
      </w:tr>
      <w:tr w:rsidR="00793729" w14:paraId="573266BA" w14:textId="77777777" w:rsidTr="0041357E">
        <w:tc>
          <w:tcPr>
            <w:tcW w:w="1461" w:type="dxa"/>
          </w:tcPr>
          <w:p w14:paraId="612ADCBD" w14:textId="226F6967" w:rsidR="00FD36C5" w:rsidRPr="00793729" w:rsidRDefault="00FD36C5" w:rsidP="00FD36C5">
            <w:pPr>
              <w:rPr>
                <w:b/>
                <w:bCs/>
                <w:highlight w:val="yellow"/>
              </w:rPr>
            </w:pPr>
            <w:r w:rsidRPr="00793729">
              <w:rPr>
                <w:b/>
                <w:bCs/>
                <w:highlight w:val="yellow"/>
              </w:rPr>
              <w:t>Media Ponderada</w:t>
            </w:r>
          </w:p>
        </w:tc>
        <w:tc>
          <w:tcPr>
            <w:tcW w:w="4993" w:type="dxa"/>
          </w:tcPr>
          <w:p w14:paraId="44631EA5" w14:textId="1FA649B4" w:rsidR="00FD36C5" w:rsidRPr="00793729" w:rsidRDefault="005C7436" w:rsidP="005C7436">
            <w:pPr>
              <w:jc w:val="center"/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drawing>
                <wp:inline distT="0" distB="0" distL="0" distR="0" wp14:anchorId="4966523C" wp14:editId="032E6651">
                  <wp:extent cx="1105232" cy="676261"/>
                  <wp:effectExtent l="0" t="0" r="0" b="0"/>
                  <wp:docPr id="15755655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5655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93" cy="68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299B6D92" w14:textId="0070E1A9" w:rsidR="00FD36C5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="00FD36C5" w:rsidRPr="00793729">
              <w:rPr>
                <w:sz w:val="20"/>
                <w:szCs w:val="20"/>
              </w:rPr>
              <w:t>No siempre los valores de una variable tienen la misma</w:t>
            </w:r>
            <w:r w:rsidR="00FD36C5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importancia o el mismo peso por este</w:t>
            </w:r>
            <w:r w:rsidR="00FD36C5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motivo es que recurrimos</w:t>
            </w:r>
            <w:r w:rsidR="00FD36C5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a “ponderar” es decir a darle un peso relativo a determinados</w:t>
            </w:r>
            <w:r w:rsidR="00FD36C5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valores de dicha variable</w:t>
            </w:r>
            <w:r w:rsidR="00FD36C5" w:rsidRPr="00793729">
              <w:rPr>
                <w:sz w:val="20"/>
                <w:szCs w:val="20"/>
              </w:rPr>
              <w:t>.</w:t>
            </w:r>
          </w:p>
        </w:tc>
      </w:tr>
      <w:tr w:rsidR="00793729" w14:paraId="5F4AC858" w14:textId="77777777" w:rsidTr="0041357E">
        <w:tc>
          <w:tcPr>
            <w:tcW w:w="1461" w:type="dxa"/>
          </w:tcPr>
          <w:p w14:paraId="439BCB75" w14:textId="57C3A2F3" w:rsidR="00FD36C5" w:rsidRPr="00793729" w:rsidRDefault="000205DE" w:rsidP="00FD36C5">
            <w:pPr>
              <w:rPr>
                <w:b/>
                <w:bCs/>
                <w:highlight w:val="green"/>
              </w:rPr>
            </w:pPr>
            <w:r w:rsidRPr="00793729">
              <w:rPr>
                <w:b/>
                <w:bCs/>
                <w:highlight w:val="green"/>
              </w:rPr>
              <w:t>Modo o Moda</w:t>
            </w:r>
          </w:p>
        </w:tc>
        <w:tc>
          <w:tcPr>
            <w:tcW w:w="4993" w:type="dxa"/>
          </w:tcPr>
          <w:p w14:paraId="4AD911D5" w14:textId="1FF9A728" w:rsidR="00FD36C5" w:rsidRPr="00793729" w:rsidRDefault="000205DE" w:rsidP="0017485F">
            <w:pPr>
              <w:jc w:val="center"/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drawing>
                <wp:inline distT="0" distB="0" distL="0" distR="0" wp14:anchorId="478E609A" wp14:editId="18C79A14">
                  <wp:extent cx="1868188" cy="1200647"/>
                  <wp:effectExtent l="0" t="0" r="0" b="0"/>
                  <wp:docPr id="10155872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872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21" cy="125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54930C0B" w14:textId="4AAAAABC" w:rsidR="000205DE" w:rsidRPr="00793729" w:rsidRDefault="000205DE" w:rsidP="000205DE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Pr="00793729">
              <w:rPr>
                <w:sz w:val="20"/>
                <w:szCs w:val="20"/>
              </w:rPr>
              <w:t>Es el valor de la variable que se repite con mayor frecuencia.</w:t>
            </w:r>
          </w:p>
          <w:p w14:paraId="048DF96A" w14:textId="6C45718E" w:rsidR="00FD36C5" w:rsidRPr="00793729" w:rsidRDefault="000205DE" w:rsidP="000205DE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Pr="00793729">
              <w:rPr>
                <w:sz w:val="20"/>
                <w:szCs w:val="20"/>
              </w:rPr>
              <w:t xml:space="preserve">Si la variable es </w:t>
            </w:r>
            <w:r w:rsidRPr="00793729">
              <w:rPr>
                <w:sz w:val="20"/>
                <w:szCs w:val="20"/>
                <w:u w:val="single"/>
              </w:rPr>
              <w:t>cuantitativa discreta o cualitativa</w:t>
            </w:r>
            <w:r w:rsidRPr="00793729">
              <w:rPr>
                <w:sz w:val="20"/>
                <w:szCs w:val="20"/>
              </w:rPr>
              <w:t xml:space="preserve"> bastará con inspeccionar la columna de</w:t>
            </w:r>
            <w:r w:rsidRPr="00793729">
              <w:rPr>
                <w:sz w:val="20"/>
                <w:szCs w:val="20"/>
              </w:rPr>
              <w:t xml:space="preserve"> frecuencia</w:t>
            </w:r>
            <w:r w:rsidRPr="00793729">
              <w:rPr>
                <w:sz w:val="20"/>
                <w:szCs w:val="20"/>
              </w:rPr>
              <w:t xml:space="preserve"> absoluta y ubicar la variable que le corresponde la mayor frecuencia.</w:t>
            </w:r>
          </w:p>
        </w:tc>
      </w:tr>
      <w:tr w:rsidR="00793729" w14:paraId="41352C9E" w14:textId="77777777" w:rsidTr="0041357E">
        <w:tc>
          <w:tcPr>
            <w:tcW w:w="1461" w:type="dxa"/>
          </w:tcPr>
          <w:p w14:paraId="52F4CA29" w14:textId="35CA7C04" w:rsidR="00FD36C5" w:rsidRPr="00793729" w:rsidRDefault="000205DE" w:rsidP="00FD36C5">
            <w:pPr>
              <w:rPr>
                <w:b/>
                <w:bCs/>
                <w:highlight w:val="green"/>
              </w:rPr>
            </w:pPr>
            <w:r w:rsidRPr="00793729">
              <w:rPr>
                <w:b/>
                <w:bCs/>
                <w:highlight w:val="green"/>
              </w:rPr>
              <w:t>Moda de un I</w:t>
            </w:r>
            <w:r w:rsidRPr="00793729">
              <w:rPr>
                <w:b/>
                <w:bCs/>
                <w:highlight w:val="green"/>
              </w:rPr>
              <w:t>ntervalo moda</w:t>
            </w:r>
            <w:r w:rsidRPr="00793729">
              <w:rPr>
                <w:b/>
                <w:bCs/>
                <w:highlight w:val="green"/>
              </w:rPr>
              <w:t>l</w:t>
            </w:r>
          </w:p>
        </w:tc>
        <w:tc>
          <w:tcPr>
            <w:tcW w:w="4993" w:type="dxa"/>
          </w:tcPr>
          <w:p w14:paraId="4AC38F14" w14:textId="754441DE" w:rsidR="0017485F" w:rsidRPr="00793729" w:rsidRDefault="000205DE" w:rsidP="00793729">
            <w:pPr>
              <w:jc w:val="center"/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drawing>
                <wp:inline distT="0" distB="0" distL="0" distR="0" wp14:anchorId="5E65B683" wp14:editId="7F17B23A">
                  <wp:extent cx="1571844" cy="666843"/>
                  <wp:effectExtent l="0" t="0" r="9525" b="0"/>
                  <wp:docPr id="11753682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3682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C59D8" w14:textId="54501885" w:rsidR="000205DE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drawing>
                <wp:inline distT="0" distB="0" distL="0" distR="0" wp14:anchorId="1FC97824" wp14:editId="4A42DCB5">
                  <wp:extent cx="3015612" cy="1381125"/>
                  <wp:effectExtent l="0" t="0" r="0" b="0"/>
                  <wp:docPr id="1430233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233082" name=""/>
                          <pic:cNvPicPr/>
                        </pic:nvPicPr>
                        <pic:blipFill rotWithShape="1">
                          <a:blip r:embed="rId13"/>
                          <a:srcRect l="1772" r="2300" b="5046"/>
                          <a:stretch/>
                        </pic:blipFill>
                        <pic:spPr bwMode="auto">
                          <a:xfrm>
                            <a:off x="0" y="0"/>
                            <a:ext cx="3083470" cy="141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2A2CE216" w14:textId="0FB4E508" w:rsidR="00FD36C5" w:rsidRPr="00793729" w:rsidRDefault="00793729" w:rsidP="00FD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0205DE" w:rsidRPr="00793729">
              <w:rPr>
                <w:sz w:val="20"/>
                <w:szCs w:val="20"/>
              </w:rPr>
              <w:t xml:space="preserve">Si la variable es </w:t>
            </w:r>
            <w:r w:rsidR="000205DE" w:rsidRPr="00793729">
              <w:rPr>
                <w:sz w:val="20"/>
                <w:szCs w:val="20"/>
                <w:u w:val="single"/>
              </w:rPr>
              <w:t>cuantitativa continua</w:t>
            </w:r>
            <w:r w:rsidR="000205DE" w:rsidRPr="00793729">
              <w:rPr>
                <w:sz w:val="20"/>
                <w:szCs w:val="20"/>
              </w:rPr>
              <w:t>, al intervalo al cual le corresponde la mayor frecuencia se</w:t>
            </w:r>
            <w:r w:rsidR="0017485F" w:rsidRPr="00793729">
              <w:rPr>
                <w:sz w:val="20"/>
                <w:szCs w:val="20"/>
              </w:rPr>
              <w:t xml:space="preserve"> </w:t>
            </w:r>
            <w:r w:rsidR="000205DE" w:rsidRPr="00793729">
              <w:rPr>
                <w:sz w:val="20"/>
                <w:szCs w:val="20"/>
              </w:rPr>
              <w:t xml:space="preserve">denomina </w:t>
            </w:r>
            <w:r w:rsidR="000205DE" w:rsidRPr="00793729">
              <w:rPr>
                <w:sz w:val="20"/>
                <w:szCs w:val="20"/>
                <w:u w:val="single"/>
              </w:rPr>
              <w:t>intervalo modal</w:t>
            </w:r>
            <w:r w:rsidR="0017485F" w:rsidRPr="00793729">
              <w:rPr>
                <w:sz w:val="20"/>
                <w:szCs w:val="20"/>
              </w:rPr>
              <w:t>.</w:t>
            </w:r>
          </w:p>
          <w:p w14:paraId="530F69DE" w14:textId="6BD89D2B" w:rsidR="000205DE" w:rsidRPr="00793729" w:rsidRDefault="0017485F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drawing>
                <wp:inline distT="0" distB="0" distL="0" distR="0" wp14:anchorId="70127A12" wp14:editId="4192C368">
                  <wp:extent cx="3146425" cy="2051037"/>
                  <wp:effectExtent l="0" t="0" r="0" b="6985"/>
                  <wp:docPr id="8874000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400076" name=""/>
                          <pic:cNvPicPr/>
                        </pic:nvPicPr>
                        <pic:blipFill rotWithShape="1">
                          <a:blip r:embed="rId14"/>
                          <a:srcRect b="3456"/>
                          <a:stretch/>
                        </pic:blipFill>
                        <pic:spPr bwMode="auto">
                          <a:xfrm>
                            <a:off x="0" y="0"/>
                            <a:ext cx="3228727" cy="210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729" w14:paraId="3F82D8D3" w14:textId="77777777" w:rsidTr="0041357E">
        <w:tc>
          <w:tcPr>
            <w:tcW w:w="1461" w:type="dxa"/>
          </w:tcPr>
          <w:p w14:paraId="5D1E7D79" w14:textId="6DB7C991" w:rsidR="0017485F" w:rsidRPr="00793729" w:rsidRDefault="00EC05D8" w:rsidP="00FD36C5">
            <w:pPr>
              <w:rPr>
                <w:b/>
                <w:bCs/>
                <w:highlight w:val="green"/>
              </w:rPr>
            </w:pPr>
            <w:r w:rsidRPr="00793729">
              <w:rPr>
                <w:b/>
                <w:bCs/>
                <w:highlight w:val="cyan"/>
              </w:rPr>
              <w:t>Mediana</w:t>
            </w:r>
          </w:p>
        </w:tc>
        <w:tc>
          <w:tcPr>
            <w:tcW w:w="4993" w:type="dxa"/>
          </w:tcPr>
          <w:p w14:paraId="75C067CA" w14:textId="363C2689" w:rsidR="0017485F" w:rsidRPr="00793729" w:rsidRDefault="00EC05D8" w:rsidP="00793729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drawing>
                <wp:inline distT="0" distB="0" distL="0" distR="0" wp14:anchorId="4B262227" wp14:editId="02864883">
                  <wp:extent cx="1581785" cy="727313"/>
                  <wp:effectExtent l="0" t="0" r="0" b="0"/>
                  <wp:docPr id="20959422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942239" name=""/>
                          <pic:cNvPicPr/>
                        </pic:nvPicPr>
                        <pic:blipFill rotWithShape="1">
                          <a:blip r:embed="rId15"/>
                          <a:srcRect t="-1925" b="54600"/>
                          <a:stretch/>
                        </pic:blipFill>
                        <pic:spPr bwMode="auto">
                          <a:xfrm>
                            <a:off x="0" y="0"/>
                            <a:ext cx="1592985" cy="732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93729" w:rsidRPr="00793729">
              <w:rPr>
                <w:noProof/>
                <w:sz w:val="20"/>
                <w:szCs w:val="20"/>
              </w:rPr>
              <w:t xml:space="preserve"> </w:t>
            </w:r>
            <w:r w:rsidR="00793729" w:rsidRPr="00793729">
              <w:rPr>
                <w:sz w:val="20"/>
                <w:szCs w:val="20"/>
              </w:rPr>
              <w:drawing>
                <wp:inline distT="0" distB="0" distL="0" distR="0" wp14:anchorId="5E019257" wp14:editId="186B491D">
                  <wp:extent cx="1402507" cy="730885"/>
                  <wp:effectExtent l="0" t="0" r="7620" b="0"/>
                  <wp:docPr id="5956074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6074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60" cy="74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715AB29B" w14:textId="1A5C01CC" w:rsidR="0017485F" w:rsidRPr="00793729" w:rsidRDefault="00EC05D8" w:rsidP="00EC05D8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Pr="00EC05D8">
              <w:rPr>
                <w:sz w:val="20"/>
                <w:szCs w:val="20"/>
              </w:rPr>
              <w:t>La Mediana es el valor que supera y es superado por a lo sumo, igual cantidad de observaciones.</w:t>
            </w:r>
            <w:r w:rsidRPr="00EC05D8">
              <w:rPr>
                <w:sz w:val="20"/>
                <w:szCs w:val="20"/>
              </w:rPr>
              <w:br/>
            </w:r>
            <w:r w:rsidRPr="00793729">
              <w:rPr>
                <w:sz w:val="20"/>
                <w:szCs w:val="20"/>
              </w:rPr>
              <w:t xml:space="preserve">   </w:t>
            </w:r>
            <w:r w:rsidRPr="00EC05D8">
              <w:rPr>
                <w:sz w:val="20"/>
                <w:szCs w:val="20"/>
              </w:rPr>
              <w:t xml:space="preserve">Si la variable es </w:t>
            </w:r>
            <w:r w:rsidRPr="00EC05D8">
              <w:rPr>
                <w:sz w:val="20"/>
                <w:szCs w:val="20"/>
                <w:u w:val="single"/>
              </w:rPr>
              <w:t>cuantitativa discreta</w:t>
            </w:r>
            <w:r w:rsidRPr="00EC05D8">
              <w:rPr>
                <w:sz w:val="20"/>
                <w:szCs w:val="20"/>
              </w:rPr>
              <w:t>.</w:t>
            </w:r>
          </w:p>
        </w:tc>
      </w:tr>
      <w:tr w:rsidR="00793729" w14:paraId="0F012015" w14:textId="77777777" w:rsidTr="0041357E">
        <w:tc>
          <w:tcPr>
            <w:tcW w:w="1461" w:type="dxa"/>
          </w:tcPr>
          <w:p w14:paraId="56C346C6" w14:textId="2346B914" w:rsidR="00EC05D8" w:rsidRPr="00793729" w:rsidRDefault="00EC05D8" w:rsidP="00FD36C5">
            <w:pPr>
              <w:rPr>
                <w:b/>
                <w:bCs/>
                <w:highlight w:val="cyan"/>
              </w:rPr>
            </w:pPr>
            <w:r w:rsidRPr="00793729">
              <w:rPr>
                <w:b/>
                <w:bCs/>
                <w:highlight w:val="cyan"/>
              </w:rPr>
              <w:t>Mediana</w:t>
            </w:r>
            <w:r w:rsidR="00793729" w:rsidRPr="00793729">
              <w:rPr>
                <w:b/>
                <w:bCs/>
                <w:highlight w:val="cyan"/>
              </w:rPr>
              <w:t xml:space="preserve"> en tabla de frecuencia</w:t>
            </w:r>
          </w:p>
        </w:tc>
        <w:tc>
          <w:tcPr>
            <w:tcW w:w="4993" w:type="dxa"/>
          </w:tcPr>
          <w:p w14:paraId="1C7EEDED" w14:textId="0DFAE802" w:rsidR="00EC05D8" w:rsidRPr="00793729" w:rsidRDefault="00EC05D8" w:rsidP="0017485F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6DA35982" wp14:editId="4517EDA7">
                  <wp:extent cx="2488777" cy="1391479"/>
                  <wp:effectExtent l="0" t="0" r="6985" b="0"/>
                  <wp:docPr id="32066280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0" t="3372" r="1661" b="5641"/>
                          <a:stretch/>
                        </pic:blipFill>
                        <pic:spPr bwMode="auto">
                          <a:xfrm>
                            <a:off x="0" y="0"/>
                            <a:ext cx="2561958" cy="143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1D6E022C" w14:textId="77777777" w:rsidR="00EC05D8" w:rsidRPr="00793729" w:rsidRDefault="00EC05D8" w:rsidP="00EC05D8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Pr="00793729">
              <w:rPr>
                <w:sz w:val="20"/>
                <w:szCs w:val="20"/>
              </w:rPr>
              <w:t>Si los valores se presentan en una tabla de frecuencia, es necesario determinar las</w:t>
            </w:r>
            <w:r w:rsidRPr="00793729">
              <w:rPr>
                <w:sz w:val="20"/>
                <w:szCs w:val="20"/>
              </w:rPr>
              <w:br/>
              <w:t>frecuencias acumuladas para hallar la mediana.</w:t>
            </w:r>
          </w:p>
          <w:p w14:paraId="4C7A6853" w14:textId="41D646FC" w:rsidR="00EC05D8" w:rsidRPr="00793729" w:rsidRDefault="00EC05D8" w:rsidP="00EC05D8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Pr="00EC05D8">
              <w:rPr>
                <w:sz w:val="20"/>
                <w:szCs w:val="20"/>
              </w:rPr>
              <w:t xml:space="preserve">Si la variable es </w:t>
            </w:r>
            <w:r w:rsidRPr="00EC05D8">
              <w:rPr>
                <w:sz w:val="20"/>
                <w:szCs w:val="20"/>
                <w:u w:val="single"/>
              </w:rPr>
              <w:t>cuantitativa continua</w:t>
            </w:r>
            <w:r w:rsidRPr="00EC05D8">
              <w:rPr>
                <w:sz w:val="20"/>
                <w:szCs w:val="20"/>
              </w:rPr>
              <w:t>.</w:t>
            </w:r>
          </w:p>
        </w:tc>
      </w:tr>
    </w:tbl>
    <w:p w14:paraId="1131C485" w14:textId="500CF052" w:rsidR="00FD36C5" w:rsidRDefault="0041357E" w:rsidP="0041357E">
      <w:pPr>
        <w:spacing w:after="0"/>
        <w:ind w:left="-426" w:right="-427"/>
      </w:pPr>
      <w:r w:rsidRPr="0041357E">
        <w:rPr>
          <w:b/>
          <w:bCs/>
          <w:sz w:val="28"/>
          <w:szCs w:val="28"/>
          <w:shd w:val="clear" w:color="auto" w:fill="F4B083" w:themeFill="accent2" w:themeFillTint="99"/>
        </w:rPr>
        <w:lastRenderedPageBreak/>
        <w:t>Medidas de variabilidad o dispersión</w:t>
      </w:r>
      <w:r w:rsidRPr="0041357E">
        <w:rPr>
          <w:b/>
          <w:bCs/>
          <w:sz w:val="28"/>
          <w:szCs w:val="28"/>
        </w:rPr>
        <w:t xml:space="preserve"> </w:t>
      </w:r>
      <w:r w:rsidRPr="0041357E">
        <w:sym w:font="Wingdings" w:char="F0E0"/>
      </w:r>
      <w:r w:rsidRPr="0041357E">
        <w:t xml:space="preserve"> </w:t>
      </w:r>
      <w:r w:rsidRPr="0041357E">
        <w:t>Son aquellas que permite estudiar cómo “</w:t>
      </w:r>
      <w:r w:rsidRPr="0041357E">
        <w:t xml:space="preserve">varia” </w:t>
      </w:r>
      <w:r w:rsidRPr="0041357E">
        <w:t>en su</w:t>
      </w:r>
      <w:r w:rsidRPr="0041357E">
        <w:t xml:space="preserve"> </w:t>
      </w:r>
      <w:r w:rsidRPr="0041357E">
        <w:t>conjunto los valores observados de una</w:t>
      </w:r>
      <w:r w:rsidRPr="0041357E">
        <w:t xml:space="preserve"> </w:t>
      </w:r>
      <w:r w:rsidRPr="0041357E">
        <w:t>variable con respecto a alguna medida de</w:t>
      </w:r>
      <w:r w:rsidRPr="0041357E">
        <w:t xml:space="preserve"> </w:t>
      </w:r>
      <w:r w:rsidRPr="0041357E">
        <w:t>tendencia</w:t>
      </w:r>
      <w:r w:rsidRPr="0041357E">
        <w:t xml:space="preserve"> </w:t>
      </w:r>
      <w:r w:rsidRPr="0041357E">
        <w:t>centra</w:t>
      </w:r>
      <w:r w:rsidRPr="0041357E">
        <w:t>l.</w:t>
      </w:r>
    </w:p>
    <w:p w14:paraId="08453931" w14:textId="77777777" w:rsidR="00EC05D8" w:rsidRDefault="00EC05D8" w:rsidP="0005664E">
      <w:pPr>
        <w:spacing w:after="0"/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418"/>
        <w:gridCol w:w="5104"/>
        <w:gridCol w:w="5103"/>
      </w:tblGrid>
      <w:tr w:rsidR="0041357E" w14:paraId="5D055602" w14:textId="77777777" w:rsidTr="0041357E">
        <w:tc>
          <w:tcPr>
            <w:tcW w:w="1418" w:type="dxa"/>
            <w:shd w:val="clear" w:color="auto" w:fill="F4B083" w:themeFill="accent2" w:themeFillTint="99"/>
          </w:tcPr>
          <w:p w14:paraId="613EAEC1" w14:textId="542F1E88" w:rsidR="0041357E" w:rsidRDefault="0041357E" w:rsidP="0041357E">
            <w:r w:rsidRPr="00FD36C5">
              <w:rPr>
                <w:b/>
                <w:bCs/>
              </w:rPr>
              <w:t>Medidas de Tendencia Central</w:t>
            </w:r>
          </w:p>
        </w:tc>
        <w:tc>
          <w:tcPr>
            <w:tcW w:w="5104" w:type="dxa"/>
            <w:shd w:val="clear" w:color="auto" w:fill="F4B083" w:themeFill="accent2" w:themeFillTint="99"/>
          </w:tcPr>
          <w:p w14:paraId="3CC30EC3" w14:textId="2EB334BA" w:rsidR="0041357E" w:rsidRDefault="0041357E" w:rsidP="0041357E">
            <w:r w:rsidRPr="00FD36C5">
              <w:rPr>
                <w:b/>
                <w:bCs/>
              </w:rPr>
              <w:t>Símbolo y fórmula</w:t>
            </w:r>
          </w:p>
        </w:tc>
        <w:tc>
          <w:tcPr>
            <w:tcW w:w="5103" w:type="dxa"/>
            <w:shd w:val="clear" w:color="auto" w:fill="F4B083" w:themeFill="accent2" w:themeFillTint="99"/>
          </w:tcPr>
          <w:p w14:paraId="221A10DB" w14:textId="2BFA9DEF" w:rsidR="0041357E" w:rsidRDefault="0041357E" w:rsidP="0041357E">
            <w:r w:rsidRPr="00FD36C5">
              <w:rPr>
                <w:b/>
                <w:bCs/>
              </w:rPr>
              <w:t>Descripción</w:t>
            </w:r>
          </w:p>
        </w:tc>
      </w:tr>
      <w:tr w:rsidR="0041357E" w14:paraId="0AB049D9" w14:textId="77777777" w:rsidTr="0041357E">
        <w:tc>
          <w:tcPr>
            <w:tcW w:w="1418" w:type="dxa"/>
          </w:tcPr>
          <w:p w14:paraId="30C16A43" w14:textId="77777777" w:rsidR="0041357E" w:rsidRDefault="0041357E" w:rsidP="0041357E"/>
        </w:tc>
        <w:tc>
          <w:tcPr>
            <w:tcW w:w="5104" w:type="dxa"/>
          </w:tcPr>
          <w:p w14:paraId="07165686" w14:textId="77777777" w:rsidR="0041357E" w:rsidRDefault="0041357E" w:rsidP="0041357E"/>
        </w:tc>
        <w:tc>
          <w:tcPr>
            <w:tcW w:w="5103" w:type="dxa"/>
          </w:tcPr>
          <w:p w14:paraId="7F01FF69" w14:textId="77777777" w:rsidR="0041357E" w:rsidRDefault="0041357E" w:rsidP="0041357E"/>
        </w:tc>
      </w:tr>
      <w:tr w:rsidR="0041357E" w14:paraId="51FD8275" w14:textId="77777777" w:rsidTr="0041357E">
        <w:tc>
          <w:tcPr>
            <w:tcW w:w="1418" w:type="dxa"/>
          </w:tcPr>
          <w:p w14:paraId="280DB01F" w14:textId="77777777" w:rsidR="0041357E" w:rsidRDefault="0041357E" w:rsidP="0041357E"/>
        </w:tc>
        <w:tc>
          <w:tcPr>
            <w:tcW w:w="5104" w:type="dxa"/>
          </w:tcPr>
          <w:p w14:paraId="302A6822" w14:textId="77777777" w:rsidR="0041357E" w:rsidRDefault="0041357E" w:rsidP="0041357E"/>
        </w:tc>
        <w:tc>
          <w:tcPr>
            <w:tcW w:w="5103" w:type="dxa"/>
          </w:tcPr>
          <w:p w14:paraId="65E9B624" w14:textId="77777777" w:rsidR="0041357E" w:rsidRDefault="0041357E" w:rsidP="0041357E"/>
        </w:tc>
      </w:tr>
      <w:tr w:rsidR="0041357E" w14:paraId="14353380" w14:textId="77777777" w:rsidTr="0041357E">
        <w:tc>
          <w:tcPr>
            <w:tcW w:w="1418" w:type="dxa"/>
          </w:tcPr>
          <w:p w14:paraId="05829441" w14:textId="77777777" w:rsidR="0041357E" w:rsidRDefault="0041357E" w:rsidP="0041357E"/>
        </w:tc>
        <w:tc>
          <w:tcPr>
            <w:tcW w:w="5104" w:type="dxa"/>
          </w:tcPr>
          <w:p w14:paraId="7D7E3B9B" w14:textId="77777777" w:rsidR="0041357E" w:rsidRDefault="0041357E" w:rsidP="0041357E"/>
        </w:tc>
        <w:tc>
          <w:tcPr>
            <w:tcW w:w="5103" w:type="dxa"/>
          </w:tcPr>
          <w:p w14:paraId="6EC199C6" w14:textId="77777777" w:rsidR="0041357E" w:rsidRDefault="0041357E" w:rsidP="0041357E"/>
        </w:tc>
      </w:tr>
    </w:tbl>
    <w:p w14:paraId="0BE8F009" w14:textId="77777777" w:rsidR="00EC05D8" w:rsidRDefault="00EC05D8" w:rsidP="0005664E">
      <w:pPr>
        <w:spacing w:after="0"/>
      </w:pPr>
    </w:p>
    <w:p w14:paraId="6ADD9D80" w14:textId="77777777" w:rsidR="00EC05D8" w:rsidRDefault="00EC05D8" w:rsidP="0005664E">
      <w:pPr>
        <w:spacing w:after="0"/>
      </w:pPr>
    </w:p>
    <w:p w14:paraId="634E2BCF" w14:textId="44ABCD97" w:rsidR="00EC05D8" w:rsidRPr="00FD36C5" w:rsidRDefault="00EC05D8" w:rsidP="0005664E">
      <w:pPr>
        <w:spacing w:after="0"/>
      </w:pPr>
    </w:p>
    <w:sectPr w:rsidR="00EC05D8" w:rsidRPr="00FD36C5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C46A2" w14:textId="77777777" w:rsidR="00F42787" w:rsidRDefault="00F42787" w:rsidP="00C41613">
      <w:pPr>
        <w:spacing w:after="0" w:line="240" w:lineRule="auto"/>
      </w:pPr>
      <w:r>
        <w:separator/>
      </w:r>
    </w:p>
  </w:endnote>
  <w:endnote w:type="continuationSeparator" w:id="0">
    <w:p w14:paraId="0F7CC67E" w14:textId="77777777" w:rsidR="00F42787" w:rsidRDefault="00F42787" w:rsidP="00C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E51AC" w14:textId="77777777" w:rsidR="00C41613" w:rsidRDefault="00C4161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EB9191D" w14:textId="77777777" w:rsidR="00C41613" w:rsidRDefault="00C416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671C9" w14:textId="77777777" w:rsidR="00F42787" w:rsidRDefault="00F42787" w:rsidP="00C41613">
      <w:pPr>
        <w:spacing w:after="0" w:line="240" w:lineRule="auto"/>
      </w:pPr>
      <w:r>
        <w:separator/>
      </w:r>
    </w:p>
  </w:footnote>
  <w:footnote w:type="continuationSeparator" w:id="0">
    <w:p w14:paraId="594FD073" w14:textId="77777777" w:rsidR="00F42787" w:rsidRDefault="00F42787" w:rsidP="00C41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396E"/>
    <w:multiLevelType w:val="hybridMultilevel"/>
    <w:tmpl w:val="21E816F8"/>
    <w:lvl w:ilvl="0" w:tplc="D3388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CF3"/>
    <w:multiLevelType w:val="multilevel"/>
    <w:tmpl w:val="48F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96500"/>
    <w:multiLevelType w:val="hybridMultilevel"/>
    <w:tmpl w:val="C96A813A"/>
    <w:lvl w:ilvl="0" w:tplc="7780D6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4C6E"/>
    <w:multiLevelType w:val="multilevel"/>
    <w:tmpl w:val="C71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04238">
    <w:abstractNumId w:val="3"/>
  </w:num>
  <w:num w:numId="2" w16cid:durableId="1834100413">
    <w:abstractNumId w:val="1"/>
  </w:num>
  <w:num w:numId="3" w16cid:durableId="1981691758">
    <w:abstractNumId w:val="2"/>
  </w:num>
  <w:num w:numId="4" w16cid:durableId="11776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8"/>
    <w:rsid w:val="000205DE"/>
    <w:rsid w:val="0005664E"/>
    <w:rsid w:val="000E65A1"/>
    <w:rsid w:val="00121781"/>
    <w:rsid w:val="00143509"/>
    <w:rsid w:val="00151500"/>
    <w:rsid w:val="00154562"/>
    <w:rsid w:val="00161C42"/>
    <w:rsid w:val="0017485F"/>
    <w:rsid w:val="001A6DD2"/>
    <w:rsid w:val="001B5212"/>
    <w:rsid w:val="001E0250"/>
    <w:rsid w:val="001E6858"/>
    <w:rsid w:val="001F510F"/>
    <w:rsid w:val="00254C10"/>
    <w:rsid w:val="00280931"/>
    <w:rsid w:val="002C6A0E"/>
    <w:rsid w:val="00371501"/>
    <w:rsid w:val="00376B6B"/>
    <w:rsid w:val="003848A5"/>
    <w:rsid w:val="00385027"/>
    <w:rsid w:val="003C1DBC"/>
    <w:rsid w:val="00406FB2"/>
    <w:rsid w:val="0041357E"/>
    <w:rsid w:val="0047070B"/>
    <w:rsid w:val="004940A9"/>
    <w:rsid w:val="0049681C"/>
    <w:rsid w:val="00547BCF"/>
    <w:rsid w:val="00572037"/>
    <w:rsid w:val="0059689B"/>
    <w:rsid w:val="005B6405"/>
    <w:rsid w:val="005C7436"/>
    <w:rsid w:val="00603921"/>
    <w:rsid w:val="00642915"/>
    <w:rsid w:val="006536EB"/>
    <w:rsid w:val="00666BFB"/>
    <w:rsid w:val="006769D5"/>
    <w:rsid w:val="00793729"/>
    <w:rsid w:val="007A069B"/>
    <w:rsid w:val="008955CC"/>
    <w:rsid w:val="008B642B"/>
    <w:rsid w:val="008C148F"/>
    <w:rsid w:val="008C1578"/>
    <w:rsid w:val="009754D9"/>
    <w:rsid w:val="00A665DC"/>
    <w:rsid w:val="00AD5C02"/>
    <w:rsid w:val="00B74DB8"/>
    <w:rsid w:val="00BE289E"/>
    <w:rsid w:val="00BF0CF7"/>
    <w:rsid w:val="00C41613"/>
    <w:rsid w:val="00C939AC"/>
    <w:rsid w:val="00C93D76"/>
    <w:rsid w:val="00CC7F07"/>
    <w:rsid w:val="00CD038D"/>
    <w:rsid w:val="00CD31E1"/>
    <w:rsid w:val="00CF3840"/>
    <w:rsid w:val="00CF6BD6"/>
    <w:rsid w:val="00D06CAC"/>
    <w:rsid w:val="00D26617"/>
    <w:rsid w:val="00D54730"/>
    <w:rsid w:val="00E03AFC"/>
    <w:rsid w:val="00E83E49"/>
    <w:rsid w:val="00EC05D8"/>
    <w:rsid w:val="00EF7158"/>
    <w:rsid w:val="00F212F0"/>
    <w:rsid w:val="00F21B8F"/>
    <w:rsid w:val="00F42787"/>
    <w:rsid w:val="00F60336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C6F8"/>
  <w15:chartTrackingRefBased/>
  <w15:docId w15:val="{6BAC8AFC-22B6-4D27-AB2A-38CE2AF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C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613"/>
  </w:style>
  <w:style w:type="paragraph" w:styleId="Piedepgina">
    <w:name w:val="footer"/>
    <w:basedOn w:val="Normal"/>
    <w:link w:val="Piedepgina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613"/>
  </w:style>
  <w:style w:type="paragraph" w:styleId="Prrafodelista">
    <w:name w:val="List Paragraph"/>
    <w:basedOn w:val="Normal"/>
    <w:uiPriority w:val="34"/>
    <w:qFormat/>
    <w:rsid w:val="00C9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18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63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73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19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23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406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C7AAC-D2FA-48DD-8EC8-B5D31228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36</cp:revision>
  <cp:lastPrinted>2024-09-13T16:44:00Z</cp:lastPrinted>
  <dcterms:created xsi:type="dcterms:W3CDTF">2024-09-11T14:07:00Z</dcterms:created>
  <dcterms:modified xsi:type="dcterms:W3CDTF">2024-09-14T22:57:00Z</dcterms:modified>
</cp:coreProperties>
</file>