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Matemáticos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-suma      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-resta      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-multiplicación    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-division          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-módulo           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-potencia      ^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 Lógicos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-Y (AND)     &amp;&amp;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O (OR)         ||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-NO (NOT)       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-igual     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-distinto   !=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-mayor   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-menor    &lt;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-mayor igual   &gt;=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-menor igual   &lt;=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