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080"/>
            <w:tcW w:w="1080" w:type="dxa"/>
            <w:shd w:fill="183F35"/>
            <w:tcBorders>
              <w:top w:val="single" w:sz="6" w:color="183F35"/>
              <w:left w:val="single" w:sz="6" w:color="183F35"/>
              <w:bottom w:val="single" w:sz="6" w:color="183F35"/>
              <w:right w:val="single" w:sz="6" w:color="183F35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Georgia" w:hAnsi="Georgia"/>
                <w:b/>
                <w:i w:val="0"/>
                <w:color w:val="FFFFFF"/>
                <w:sz w:val="60"/>
              </w:rPr>
              <w:t>φ</w:t>
            </w:r>
          </w:p>
        </w:tc>
        <w:tc>
          <w:tcPr>
            <w:tcW w:type="dxa" w:w="9000"/>
            <w:tcW w:w="9000" w:type="dxa"/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180"/>
              <w:jc w:val="left"/>
            </w:pPr>
            <w:r/>
            <w:r>
              <w:rPr>
                <w:rFonts w:ascii="Arial" w:hAnsi="Arial"/>
                <w:b/>
                <w:i w:val="0"/>
                <w:color w:val="183F35"/>
                <w:sz w:val="24"/>
              </w:rPr>
              <w:t>PhyChem Lab</w:t>
            </w:r>
          </w:p>
        </w:tc>
      </w:tr>
    </w:tbl>
    <w:p>
      <w:pPr>
        <w:pStyle w:val="Title"/>
        <w:spacing w:before="440" w:after="140"/>
      </w:pPr>
      <w:r>
        <w:rPr>
          <w:rFonts w:ascii="Arial" w:hAnsi="Arial"/>
          <w:b/>
          <w:i w:val="0"/>
          <w:color w:val="000000"/>
          <w:sz w:val="58"/>
        </w:rPr>
        <w:t>Charte graphique PhyChem Lab</w:t>
      </w:r>
    </w:p>
    <w:p>
      <w:pPr>
        <w:spacing w:after="400"/>
      </w:pPr>
      <w:r>
        <w:rPr>
          <w:rFonts w:ascii="Arial" w:hAnsi="Arial"/>
          <w:b w:val="0"/>
          <w:i w:val="0"/>
          <w:color w:val="65726C"/>
          <w:sz w:val="24"/>
        </w:rPr>
        <w:t>Référentiel visuel issu des feuilles de style</w:t>
      </w:r>
    </w:p>
    <w:p>
      <w:pPr>
        <w:spacing w:after="340" w:line="293" w:lineRule="auto"/>
      </w:pPr>
      <w:r>
        <w:rPr>
          <w:rFonts w:ascii="Arial" w:hAnsi="Arial"/>
          <w:b w:val="0"/>
          <w:i w:val="0"/>
          <w:color w:val="16221E"/>
          <w:sz w:val="22"/>
        </w:rPr>
        <w:t>Cette charte rassemble les choix graphiques de la base du projet et du module enseignant de tracé. Elle aide à construire de nouvelles activités cohérentes, lisibles et calmes, tout en laissant aux contenus scientifiques leur place.</w:t>
      </w:r>
    </w:p>
    <w:p>
      <w:pPr>
        <w:spacing w:after="100"/>
      </w:pPr>
      <w:r>
        <w:rPr>
          <w:rFonts w:ascii="Arial" w:hAnsi="Arial"/>
          <w:b/>
          <w:i w:val="0"/>
          <w:color w:val="65726C"/>
          <w:sz w:val="16"/>
        </w:rPr>
        <w:t>PALETTE PRINCIPALE</w:t>
      </w:r>
    </w:p>
    <w:p>
      <w:pPr>
        <w:pStyle w:val="Heading1"/>
        <w:spacing w:before="360" w:after="160"/>
      </w:pPr>
      <w:r>
        <w:rPr>
          <w:rFonts w:ascii="Arial" w:hAnsi="Arial"/>
          <w:b/>
          <w:i w:val="0"/>
          <w:color w:val="000000"/>
          <w:sz w:val="34"/>
        </w:rPr>
        <w:t>Couleurs de fondation</w:t>
      </w:r>
    </w:p>
    <w:p>
      <w:pPr>
        <w:spacing w:after="240" w:line="293" w:lineRule="auto"/>
      </w:pPr>
      <w:r>
        <w:rPr>
          <w:rFonts w:ascii="Arial" w:hAnsi="Arial"/>
          <w:b w:val="0"/>
          <w:i w:val="0"/>
          <w:color w:val="65726C"/>
          <w:sz w:val="20"/>
        </w:rPr>
        <w:t>La palette associe un papier chaud à des surfaces très claires. Le vert profond traduit la structure et les actions prioritaires. Le teal porte les états actifs. Le corail signale une mesure ou une attention.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355"/>
            <w:tcW w:w="3355" w:type="dxa"/>
            <w:shd w:fill="16221E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Encre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EAF0E7"/>
                <w:sz w:val="18"/>
              </w:rPr>
              <w:t>#16221E</w:t>
            </w:r>
          </w:p>
        </w:tc>
        <w:tc>
          <w:tcPr>
            <w:tcW w:type="dxa" w:w="3355"/>
            <w:tcW w:w="3355" w:type="dxa"/>
            <w:shd w:fill="F4F1E8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16221E"/>
                <w:sz w:val="28"/>
              </w:rPr>
              <w:t>Papier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5726C"/>
                <w:sz w:val="18"/>
              </w:rPr>
              <w:t>#F4F1E8</w:t>
            </w:r>
          </w:p>
        </w:tc>
        <w:tc>
          <w:tcPr>
            <w:tcW w:type="dxa" w:w="3355"/>
            <w:tcW w:w="3355" w:type="dxa"/>
            <w:shd w:fill="FFFEFA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16221E"/>
                <w:sz w:val="28"/>
              </w:rPr>
              <w:t>Panneau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5726C"/>
                <w:sz w:val="18"/>
              </w:rPr>
              <w:t>#FFFEFA</w:t>
            </w:r>
          </w:p>
        </w:tc>
      </w:tr>
      <w:tr>
        <w:tc>
          <w:tcPr>
            <w:tcW w:type="dxa" w:w="3355"/>
            <w:tcW w:w="3355" w:type="dxa"/>
            <w:shd w:fill="183F35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Vert module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EAF0E7"/>
                <w:sz w:val="18"/>
              </w:rPr>
              <w:t>#183F35</w:t>
            </w:r>
          </w:p>
        </w:tc>
        <w:tc>
          <w:tcPr>
            <w:tcW w:type="dxa" w:w="3355"/>
            <w:tcW w:w="3355" w:type="dxa"/>
            <w:shd w:fill="0D8F80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Teal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EAF0E7"/>
                <w:sz w:val="18"/>
              </w:rPr>
              <w:t>#0D8F80</w:t>
            </w:r>
          </w:p>
        </w:tc>
        <w:tc>
          <w:tcPr>
            <w:tcW w:type="dxa" w:w="3355"/>
            <w:tcW w:w="3355" w:type="dxa"/>
            <w:shd w:fill="EF6A47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Corail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EAF0E7"/>
                <w:sz w:val="18"/>
              </w:rPr>
              <w:t>#EF6A47</w:t>
            </w:r>
          </w:p>
        </w:tc>
      </w:tr>
      <w:tr>
        <w:tc>
          <w:tcPr>
            <w:tcW w:type="dxa" w:w="3355"/>
            <w:tcW w:w="3355" w:type="dxa"/>
            <w:shd w:fill="65726C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FFFFFF"/>
                <w:sz w:val="28"/>
              </w:rPr>
              <w:t>Texte secondaire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EAF0E7"/>
                <w:sz w:val="18"/>
              </w:rPr>
              <w:t>#65726C</w:t>
            </w:r>
          </w:p>
        </w:tc>
        <w:tc>
          <w:tcPr>
            <w:tcW w:type="dxa" w:w="3355"/>
            <w:tcW w:w="3355" w:type="dxa"/>
            <w:shd w:fill="D8DDD7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16221E"/>
                <w:sz w:val="28"/>
              </w:rPr>
              <w:t>Ligne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5726C"/>
                <w:sz w:val="18"/>
              </w:rPr>
              <w:t>#D8DDD7</w:t>
            </w:r>
          </w:p>
        </w:tc>
        <w:tc>
          <w:tcPr>
            <w:tcW w:type="dxa" w:w="3355"/>
            <w:tcW w:w="3355" w:type="dxa"/>
            <w:shd w:fill="EAF0E7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tcMar>
              <w:top w:w="170" w:type="dxa"/>
              <w:start w:w="170" w:type="dxa"/>
              <w:bottom w:w="170" w:type="dxa"/>
              <w:end w:w="170" w:type="dxa"/>
            </w:tcMar>
            <w:vAlign w:val="center"/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16221E"/>
                <w:sz w:val="28"/>
              </w:rPr>
              <w:t>Vert pâle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5726C"/>
                <w:sz w:val="18"/>
              </w:rPr>
              <w:t>#EAF0E7</w:t>
            </w:r>
          </w:p>
        </w:tc>
      </w:tr>
    </w:tbl>
    <w:p>
      <w:pPr>
        <w:spacing w:after="0" w:line="293" w:lineRule="auto"/>
      </w:pPr>
      <w:r>
        <w:rPr>
          <w:rFonts w:ascii="Arial" w:hAnsi="Arial"/>
          <w:b w:val="0"/>
          <w:i w:val="0"/>
          <w:color w:val="65726C"/>
          <w:sz w:val="18"/>
        </w:rPr>
        <w:t>Accents de contenu : corail #EF6545, teal #168F84, violet #7367D8, magenta #A83F79 et bleu #2373B8. Ils aident à distinguer des familles scientifiques sans remplacer les couleurs structurelles.</w:t>
      </w:r>
    </w:p>
    <w:p>
      <w:r>
        <w:br w:type="page"/>
      </w:r>
    </w:p>
    <w:p>
      <w:pPr>
        <w:spacing w:after="100"/>
      </w:pPr>
      <w:r>
        <w:rPr>
          <w:rFonts w:ascii="Arial" w:hAnsi="Arial"/>
          <w:b/>
          <w:i w:val="0"/>
          <w:color w:val="65726C"/>
          <w:sz w:val="16"/>
        </w:rPr>
        <w:t>TYPOGRAPHIE ET SIGNES</w:t>
      </w:r>
    </w:p>
    <w:p>
      <w:pPr>
        <w:pStyle w:val="Heading1"/>
        <w:spacing w:before="360" w:after="160"/>
      </w:pPr>
      <w:r>
        <w:rPr>
          <w:rFonts w:ascii="Arial" w:hAnsi="Arial"/>
          <w:b/>
          <w:i w:val="0"/>
          <w:color w:val="000000"/>
          <w:sz w:val="34"/>
        </w:rPr>
        <w:t>Une hiérarchie sobre et lisible</w:t>
      </w:r>
    </w:p>
    <w:p>
      <w:pPr>
        <w:spacing w:after="260" w:line="293" w:lineRule="auto"/>
      </w:pPr>
      <w:r>
        <w:rPr>
          <w:rFonts w:ascii="Arial" w:hAnsi="Arial"/>
          <w:b w:val="0"/>
          <w:i w:val="0"/>
          <w:color w:val="65726C"/>
          <w:sz w:val="20"/>
        </w:rPr>
        <w:t>DM Sans organise le texte et les contrôles. Manrope crée l'échelle des titres. Georgia introduit une touche scientifique dans les équations, les axes et le monogramme.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88"/>
            <w:tcW w:w="2088" w:type="dxa"/>
            <w:shd w:fill="EAF0E7"/>
            <w:tcBorders>
              <w:top w:val="single" w:sz="6" w:color="D5DECE"/>
              <w:left w:val="single" w:sz="6" w:color="D5DECE"/>
              <w:bottom w:val="single" w:sz="6" w:color="D5DECE"/>
              <w:right w:val="single" w:sz="6" w:color="D5DECE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83F35"/>
                <w:sz w:val="18"/>
              </w:rPr>
              <w:t>Texte</w:t>
            </w:r>
          </w:p>
        </w:tc>
        <w:tc>
          <w:tcPr>
            <w:tcW w:type="dxa" w:w="7992"/>
            <w:tcW w:w="7992" w:type="dxa"/>
            <w:tcBorders>
              <w:top w:val="single" w:sz="6" w:color="D5DECE"/>
              <w:left w:val="single" w:sz="6" w:color="D5DECE"/>
              <w:bottom w:val="single" w:sz="6" w:color="D5DECE"/>
              <w:right w:val="single" w:sz="6" w:color="D5DECE"/>
            </w:tcBorders>
            <w:tcMar>
              <w:top w:w="145" w:type="dxa"/>
              <w:start w:w="145" w:type="dxa"/>
              <w:bottom w:w="145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40"/>
              </w:rPr>
              <w:t>Mesures et activités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5726C"/>
                <w:sz w:val="17"/>
              </w:rPr>
              <w:t>DM Sans  ·  texte courant et contrôles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88"/>
            <w:tcW w:w="2088" w:type="dxa"/>
            <w:shd w:fill="EAF0E7"/>
            <w:tcBorders>
              <w:top w:val="single" w:sz="6" w:color="D5DECE"/>
              <w:left w:val="single" w:sz="6" w:color="D5DECE"/>
              <w:bottom w:val="single" w:sz="6" w:color="D5DECE"/>
              <w:right w:val="single" w:sz="6" w:color="D5DECE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83F35"/>
                <w:sz w:val="18"/>
              </w:rPr>
              <w:t>Titres</w:t>
            </w:r>
          </w:p>
        </w:tc>
        <w:tc>
          <w:tcPr>
            <w:tcW w:type="dxa" w:w="7992"/>
            <w:tcW w:w="7992" w:type="dxa"/>
            <w:tcBorders>
              <w:top w:val="single" w:sz="6" w:color="D5DECE"/>
              <w:left w:val="single" w:sz="6" w:color="D5DECE"/>
              <w:bottom w:val="single" w:sz="6" w:color="D5DECE"/>
              <w:right w:val="single" w:sz="6" w:color="D5DECE"/>
            </w:tcBorders>
            <w:tcMar>
              <w:top w:w="145" w:type="dxa"/>
              <w:start w:w="145" w:type="dxa"/>
              <w:bottom w:w="145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rial" w:hAnsi="Arial"/>
                <w:b/>
                <w:i w:val="0"/>
                <w:color w:val="16221E"/>
                <w:sz w:val="44"/>
              </w:rPr>
              <w:t>Tracé et régression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5726C"/>
                <w:sz w:val="17"/>
              </w:rPr>
              <w:t>Manrope  ·  titres de 28 à 40 px dans le CSS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88"/>
            <w:tcW w:w="2088" w:type="dxa"/>
            <w:shd w:fill="EAF0E7"/>
            <w:tcBorders>
              <w:top w:val="single" w:sz="6" w:color="D5DECE"/>
              <w:left w:val="single" w:sz="6" w:color="D5DECE"/>
              <w:bottom w:val="single" w:sz="6" w:color="D5DECE"/>
              <w:right w:val="single" w:sz="6" w:color="D5DECE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83F35"/>
                <w:sz w:val="18"/>
              </w:rPr>
              <w:t>Notation</w:t>
            </w:r>
          </w:p>
        </w:tc>
        <w:tc>
          <w:tcPr>
            <w:tcW w:type="dxa" w:w="7992"/>
            <w:tcW w:w="7992" w:type="dxa"/>
            <w:tcBorders>
              <w:top w:val="single" w:sz="6" w:color="D5DECE"/>
              <w:left w:val="single" w:sz="6" w:color="D5DECE"/>
              <w:bottom w:val="single" w:sz="6" w:color="D5DECE"/>
              <w:right w:val="single" w:sz="6" w:color="D5DECE"/>
            </w:tcBorders>
            <w:tcMar>
              <w:top w:w="145" w:type="dxa"/>
              <w:start w:w="145" w:type="dxa"/>
              <w:bottom w:w="145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Georgia" w:hAnsi="Georgia"/>
                <w:b w:val="0"/>
                <w:i w:val="0"/>
                <w:color w:val="183F35"/>
                <w:sz w:val="44"/>
              </w:rPr>
              <w:t>d = 2 t + 1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5726C"/>
                <w:sz w:val="17"/>
              </w:rPr>
              <w:t>Georgia  ·  équations, unités et repères scientifiques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/>
          <w:b/>
          <w:i w:val="0"/>
          <w:color w:val="65726C"/>
          <w:sz w:val="16"/>
        </w:rPr>
        <w:t>SIGNES VISUELS</w:t>
      </w:r>
    </w:p>
    <w:p>
      <w:pPr>
        <w:pStyle w:val="Heading1"/>
        <w:spacing w:before="360" w:after="160"/>
      </w:pPr>
      <w:r>
        <w:rPr>
          <w:rFonts w:ascii="Arial" w:hAnsi="Arial"/>
          <w:b/>
          <w:i w:val="0"/>
          <w:color w:val="000000"/>
          <w:sz w:val="34"/>
        </w:rPr>
        <w:t>Icônes textuelles</w:t>
      </w:r>
    </w:p>
    <w:p>
      <w:pPr>
        <w:spacing w:after="200" w:line="293" w:lineRule="auto"/>
      </w:pPr>
      <w:r>
        <w:rPr>
          <w:rFonts w:ascii="Arial" w:hAnsi="Arial"/>
          <w:b w:val="0"/>
          <w:i w:val="0"/>
          <w:color w:val="65726C"/>
          <w:sz w:val="20"/>
        </w:rPr>
        <w:t>Le projet ne dépend pas d'une bibliothèque d'icônes. Il compose avec des signes Unicode courts, toujours accompagnés d'un libellé lisible.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tcW w:w="1728" w:type="dxa"/>
            <w:shd w:fill="183F35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Signe</w:t>
            </w:r>
          </w:p>
        </w:tc>
        <w:tc>
          <w:tcPr>
            <w:tcW w:type="dxa" w:w="3096"/>
            <w:tcW w:w="3096" w:type="dxa"/>
            <w:shd w:fill="183F35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Fonction</w:t>
            </w:r>
          </w:p>
        </w:tc>
        <w:tc>
          <w:tcPr>
            <w:tcW w:type="dxa" w:w="5328"/>
            <w:tcW w:w="5328" w:type="dxa"/>
            <w:shd w:fill="183F35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Traitement</w:t>
            </w:r>
          </w:p>
        </w:tc>
      </w:tr>
      <w:tr>
        <w:tc>
          <w:tcPr>
            <w:tcW w:type="dxa" w:w="1728"/>
            <w:tcW w:w="172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φ</w:t>
            </w:r>
          </w:p>
        </w:tc>
        <w:tc>
          <w:tcPr>
            <w:tcW w:type="dxa" w:w="3096"/>
            <w:tcW w:w="3096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Monogramme de marque</w:t>
            </w:r>
          </w:p>
        </w:tc>
        <w:tc>
          <w:tcPr>
            <w:tcW w:type="dxa" w:w="5328"/>
            <w:tcW w:w="532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Georgia blanc dans un carré vert arrondi</w:t>
            </w:r>
          </w:p>
        </w:tc>
      </w:tr>
      <w:tr>
        <w:tc>
          <w:tcPr>
            <w:tcW w:type="dxa" w:w="1728"/>
            <w:tcW w:w="1728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←  →  ↗  ↓</w:t>
            </w:r>
          </w:p>
        </w:tc>
        <w:tc>
          <w:tcPr>
            <w:tcW w:type="dxa" w:w="3096"/>
            <w:tcW w:w="3096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Navigation et export</w:t>
            </w:r>
          </w:p>
        </w:tc>
        <w:tc>
          <w:tcPr>
            <w:tcW w:type="dxa" w:w="5328"/>
            <w:tcW w:w="5328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Le signe complète le texte de l'action</w:t>
            </w:r>
          </w:p>
        </w:tc>
      </w:tr>
      <w:tr>
        <w:tc>
          <w:tcPr>
            <w:tcW w:type="dxa" w:w="1728"/>
            <w:tcW w:w="172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⇄</w:t>
            </w:r>
          </w:p>
        </w:tc>
        <w:tc>
          <w:tcPr>
            <w:tcW w:type="dxa" w:w="3096"/>
            <w:tcW w:w="3096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Transformation</w:t>
            </w:r>
          </w:p>
        </w:tc>
        <w:tc>
          <w:tcPr>
            <w:tcW w:type="dxa" w:w="5328"/>
            <w:tcW w:w="532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Réservé à l'inversion des axes</w:t>
            </w:r>
          </w:p>
        </w:tc>
      </w:tr>
      <w:tr>
        <w:tc>
          <w:tcPr>
            <w:tcW w:type="dxa" w:w="1728"/>
            <w:tcW w:w="1728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✓  ×  ＋</w:t>
            </w:r>
          </w:p>
        </w:tc>
        <w:tc>
          <w:tcPr>
            <w:tcW w:type="dxa" w:w="3096"/>
            <w:tcW w:w="3096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Action de donnée</w:t>
            </w:r>
          </w:p>
        </w:tc>
        <w:tc>
          <w:tcPr>
            <w:tcW w:type="dxa" w:w="5328"/>
            <w:tcW w:w="5328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Inclure supprimer ou ajouter une mesure</w:t>
            </w:r>
          </w:p>
        </w:tc>
      </w:tr>
      <w:tr>
        <w:tc>
          <w:tcPr>
            <w:tcW w:type="dxa" w:w="1728"/>
            <w:tcW w:w="172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●  ─</w:t>
            </w:r>
          </w:p>
        </w:tc>
        <w:tc>
          <w:tcPr>
            <w:tcW w:type="dxa" w:w="3096"/>
            <w:tcW w:w="3096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Légende graphique</w:t>
            </w:r>
          </w:p>
        </w:tc>
        <w:tc>
          <w:tcPr>
            <w:tcW w:type="dxa" w:w="5328"/>
            <w:tcW w:w="532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Point corail pour la mesure ligne teal pour la régression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/>
          <w:b/>
          <w:i w:val="0"/>
          <w:color w:val="65726C"/>
          <w:sz w:val="16"/>
        </w:rPr>
        <w:t>COMPOSANTS ET INTERACTIONS</w:t>
      </w:r>
    </w:p>
    <w:p>
      <w:pPr>
        <w:pStyle w:val="Heading1"/>
        <w:spacing w:before="360" w:after="160"/>
      </w:pPr>
      <w:r>
        <w:rPr>
          <w:rFonts w:ascii="Arial" w:hAnsi="Arial"/>
          <w:b/>
          <w:i w:val="0"/>
          <w:color w:val="000000"/>
          <w:sz w:val="34"/>
        </w:rPr>
        <w:t>Des surfaces légères</w:t>
      </w:r>
    </w:p>
    <w:p>
      <w:pPr>
        <w:spacing w:after="240" w:line="293" w:lineRule="auto"/>
      </w:pPr>
      <w:r>
        <w:rPr>
          <w:rFonts w:ascii="Arial" w:hAnsi="Arial"/>
          <w:b w:val="0"/>
          <w:i w:val="0"/>
          <w:color w:val="65726C"/>
          <w:sz w:val="20"/>
        </w:rPr>
        <w:t>Les panneaux s'appuient sur des fonds ivoire, des bordures très fines et des angles contenus. Les contrastes viennent de l'espace, de la hiérarchie et de la couleur, sans effets lourds.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20"/>
            <w:tcW w:w="2520" w:type="dxa"/>
            <w:shd w:fill="183F35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21"/>
              </w:rPr>
              <w:t>Exporter ↗</w:t>
            </w:r>
          </w:p>
        </w:tc>
        <w:tc>
          <w:tcPr>
            <w:tcW w:type="dxa" w:w="2520"/>
            <w:tcW w:w="2520" w:type="dxa"/>
            <w:shd w:fill="FFFEF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6221E"/>
                <w:sz w:val="21"/>
              </w:rPr>
              <w:t>Configurer</w:t>
            </w:r>
          </w:p>
        </w:tc>
        <w:tc>
          <w:tcPr>
            <w:tcW w:type="dxa" w:w="2520"/>
            <w:tcW w:w="2520" w:type="dxa"/>
            <w:shd w:fill="EAF0E7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83F35"/>
                <w:sz w:val="21"/>
              </w:rPr>
              <w:t>● Ajustement</w:t>
            </w:r>
          </w:p>
        </w:tc>
        <w:tc>
          <w:tcPr>
            <w:tcW w:type="dxa" w:w="2520"/>
            <w:tcW w:w="2520" w:type="dxa"/>
            <w:shd w:fill="FFFFFF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16221E"/>
                <w:sz w:val="21"/>
              </w:rPr>
              <w:t>Mesures expérimentales</w:t>
            </w:r>
          </w:p>
        </w:tc>
      </w:tr>
    </w:tbl>
    <w:p>
      <w:pPr>
        <w:spacing w:after="20" w:line="293" w:lineRule="auto"/>
      </w:pPr>
      <w:r>
        <w:rPr>
          <w:rFonts w:ascii="Arial" w:hAnsi="Arial"/>
          <w:b w:val="0"/>
          <w:i w:val="0"/>
          <w:color w:val="16221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tcW w:w="2448" w:type="dxa"/>
            <w:shd w:fill="183F35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Élément</w:t>
            </w:r>
          </w:p>
        </w:tc>
        <w:tc>
          <w:tcPr>
            <w:tcW w:type="dxa" w:w="3960"/>
            <w:tcW w:w="3960" w:type="dxa"/>
            <w:shd w:fill="183F35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Usage visuel</w:t>
            </w:r>
          </w:p>
        </w:tc>
        <w:tc>
          <w:tcPr>
            <w:tcW w:type="dxa" w:w="3744"/>
            <w:tcW w:w="3744" w:type="dxa"/>
            <w:shd w:fill="183F35"/>
            <w:tcBorders>
              <w:top w:val="single" w:sz="6" w:color="FFFEFA"/>
              <w:left w:val="single" w:sz="6" w:color="FFFEFA"/>
              <w:bottom w:val="single" w:sz="6" w:color="FFFEFA"/>
              <w:right w:val="single" w:sz="6" w:color="FFFEFA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Valeurs observées</w:t>
            </w:r>
          </w:p>
        </w:tc>
      </w:tr>
      <w:tr>
        <w:tc>
          <w:tcPr>
            <w:tcW w:type="dxa" w:w="2448"/>
            <w:tcW w:w="244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Action principale</w:t>
            </w:r>
          </w:p>
        </w:tc>
        <w:tc>
          <w:tcPr>
            <w:tcW w:type="dxa" w:w="3960"/>
            <w:tcW w:w="3960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Fond vert foncé et texte blanc</w:t>
            </w:r>
          </w:p>
        </w:tc>
        <w:tc>
          <w:tcPr>
            <w:tcW w:type="dxa" w:w="3744"/>
            <w:tcW w:w="3744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Rayon 7 px ; bord vert foncé</w:t>
            </w:r>
          </w:p>
        </w:tc>
      </w:tr>
      <w:tr>
        <w:tc>
          <w:tcPr>
            <w:tcW w:type="dxa" w:w="2448"/>
            <w:tcW w:w="2448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Action secondaire</w:t>
            </w:r>
          </w:p>
        </w:tc>
        <w:tc>
          <w:tcPr>
            <w:tcW w:type="dxa" w:w="3960"/>
            <w:tcW w:w="3960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Fond clair et contour discret</w:t>
            </w:r>
          </w:p>
        </w:tc>
        <w:tc>
          <w:tcPr>
            <w:tcW w:type="dxa" w:w="3744"/>
            <w:tcW w:w="3744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Rayon 7 px ; bord #DEDFD6</w:t>
            </w:r>
          </w:p>
        </w:tc>
      </w:tr>
      <w:tr>
        <w:tc>
          <w:tcPr>
            <w:tcW w:type="dxa" w:w="2448"/>
            <w:tcW w:w="244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Champ de saisie</w:t>
            </w:r>
          </w:p>
        </w:tc>
        <w:tc>
          <w:tcPr>
            <w:tcW w:type="dxa" w:w="3960"/>
            <w:tcW w:w="3960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Fond très clair et texte vert profond</w:t>
            </w:r>
          </w:p>
        </w:tc>
        <w:tc>
          <w:tcPr>
            <w:tcW w:type="dxa" w:w="3744"/>
            <w:tcW w:w="3744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Rayon 5 px ; bord vert gris</w:t>
            </w:r>
          </w:p>
        </w:tc>
      </w:tr>
      <w:tr>
        <w:tc>
          <w:tcPr>
            <w:tcW w:type="dxa" w:w="2448"/>
            <w:tcW w:w="2448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État actif</w:t>
            </w:r>
          </w:p>
        </w:tc>
        <w:tc>
          <w:tcPr>
            <w:tcW w:type="dxa" w:w="3960"/>
            <w:tcW w:w="3960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Teal et vert pâle</w:t>
            </w:r>
          </w:p>
        </w:tc>
        <w:tc>
          <w:tcPr>
            <w:tcW w:type="dxa" w:w="3744"/>
            <w:tcW w:w="3744" w:type="dxa"/>
            <w:shd w:fill="F7F8F4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Accent #0D8F80 ou #168578</w:t>
            </w:r>
          </w:p>
        </w:tc>
      </w:tr>
      <w:tr>
        <w:tc>
          <w:tcPr>
            <w:tcW w:type="dxa" w:w="2448"/>
            <w:tcW w:w="2448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Alerte</w:t>
            </w:r>
          </w:p>
        </w:tc>
        <w:tc>
          <w:tcPr>
            <w:tcW w:type="dxa" w:w="3960"/>
            <w:tcW w:w="3960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Corail sur fond très pâle</w:t>
            </w:r>
          </w:p>
        </w:tc>
        <w:tc>
          <w:tcPr>
            <w:tcW w:type="dxa" w:w="3744"/>
            <w:tcW w:w="3744" w:type="dxa"/>
            <w:tcBorders>
              <w:top w:val="single" w:sz="6" w:color="D8DDD7"/>
              <w:left w:val="single" w:sz="6" w:color="D8DDD7"/>
              <w:bottom w:val="single" w:sz="6" w:color="D8DDD7"/>
              <w:right w:val="single" w:sz="6" w:color="D8DDD7"/>
            </w:tcBorders>
            <w:vAlign w:val="center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16221E"/>
                <w:sz w:val="18"/>
              </w:rPr>
              <w:t>Fond #FFF0E8 ; bord #DF784C</w:t>
            </w:r>
          </w:p>
        </w:tc>
      </w:tr>
    </w:tbl>
    <w:p>
      <w:pPr>
        <w:spacing w:after="100"/>
      </w:pPr>
      <w:r>
        <w:rPr>
          <w:rFonts w:ascii="Arial" w:hAnsi="Arial"/>
          <w:b/>
          <w:i w:val="0"/>
          <w:color w:val="65726C"/>
          <w:sz w:val="16"/>
        </w:rPr>
        <w:t>RÈGLES DE COMPOSITION</w:t>
      </w:r>
    </w:p>
    <w:p>
      <w:pPr>
        <w:pStyle w:val="Heading1"/>
        <w:spacing w:before="360" w:after="160"/>
      </w:pPr>
      <w:r>
        <w:rPr>
          <w:rFonts w:ascii="Arial" w:hAnsi="Arial"/>
          <w:b/>
          <w:i w:val="0"/>
          <w:color w:val="000000"/>
          <w:sz w:val="34"/>
        </w:rPr>
        <w:t>Principes de mise en page</w:t>
      </w:r>
    </w:p>
    <w:p>
      <w:pPr>
        <w:pStyle w:val="ListBullet"/>
        <w:spacing w:after="100"/>
      </w:pPr>
      <w:r>
        <w:rPr>
          <w:rFonts w:ascii="Arial" w:hAnsi="Arial"/>
          <w:b w:val="0"/>
          <w:i w:val="0"/>
          <w:color w:val="16221E"/>
          <w:sz w:val="20"/>
        </w:rPr>
        <w:t>Conserver le fond papier clair et réserver les panneaux blancs aux zones de saisie ou de lecture.</w:t>
      </w:r>
    </w:p>
    <w:p>
      <w:pPr>
        <w:pStyle w:val="ListBullet"/>
        <w:spacing w:after="100"/>
      </w:pPr>
      <w:r>
        <w:rPr>
          <w:rFonts w:ascii="Arial" w:hAnsi="Arial"/>
          <w:b w:val="0"/>
          <w:i w:val="0"/>
          <w:color w:val="16221E"/>
          <w:sz w:val="20"/>
        </w:rPr>
        <w:t>Employer le vert foncé pour la marque et l'action principale. Utiliser le teal pour un état actif ou une relation graphique.</w:t>
      </w:r>
    </w:p>
    <w:p>
      <w:pPr>
        <w:pStyle w:val="ListBullet"/>
        <w:spacing w:after="100"/>
      </w:pPr>
      <w:r>
        <w:rPr>
          <w:rFonts w:ascii="Arial" w:hAnsi="Arial"/>
          <w:b w:val="0"/>
          <w:i w:val="0"/>
          <w:color w:val="16221E"/>
          <w:sz w:val="20"/>
        </w:rPr>
        <w:t>Limiter le corail aux points de mesure, au focus et aux alertes ponctuelles.</w:t>
      </w:r>
    </w:p>
    <w:p>
      <w:pPr>
        <w:pStyle w:val="ListBullet"/>
        <w:spacing w:after="100"/>
      </w:pPr>
      <w:r>
        <w:rPr>
          <w:rFonts w:ascii="Arial" w:hAnsi="Arial"/>
          <w:b w:val="0"/>
          <w:i w:val="0"/>
          <w:color w:val="16221E"/>
          <w:sz w:val="20"/>
        </w:rPr>
        <w:t>Garder des rayons compris entre 5 et 14 px et des bordures de faible contraste.</w:t>
      </w:r>
    </w:p>
    <w:p>
      <w:pPr>
        <w:pStyle w:val="ListBullet"/>
        <w:spacing w:after="100"/>
      </w:pPr>
      <w:r>
        <w:rPr>
          <w:rFonts w:ascii="Arial" w:hAnsi="Arial"/>
          <w:b w:val="0"/>
          <w:i w:val="0"/>
          <w:color w:val="16221E"/>
          <w:sz w:val="20"/>
        </w:rPr>
        <w:t>Sur petit écran, empiler les colonnes et les contrôles avant de réduire la taille des textes.</w:t>
      </w:r>
    </w:p>
    <w:p>
      <w:pPr>
        <w:spacing w:after="0" w:line="293" w:lineRule="auto"/>
      </w:pPr>
      <w:r>
        <w:rPr>
          <w:rFonts w:ascii="Arial" w:hAnsi="Arial"/>
          <w:b w:val="0"/>
          <w:i/>
          <w:color w:val="65726C"/>
          <w:sz w:val="18"/>
        </w:rPr>
        <w:t>Sources relevées : src/styles.css pour les jetons, les fontes et les composants partagés ; activites/trace-regression/regression_prototype.css pour la déclinaison du module enseignant.</w:t>
      </w:r>
    </w:p>
    <w:sectPr w:rsidR="00FC693F" w:rsidRPr="0006063C" w:rsidSect="00034616">
      <w:pgSz w:w="12240" w:h="15840"/>
      <w:pgMar w:top="907" w:right="979" w:bottom="907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