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Architettura Web a Microservizi (o SOA) con Load Balancing</w:t>
      </w:r>
    </w:p>
    <w:p w:rsidR="00000000" w:rsidDel="00000000" w:rsidP="00000000" w:rsidRDefault="00000000" w:rsidRPr="00000000" w14:paraId="00000004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Lo schema  illustra un'architettura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distribuita, bilanciata e modulare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., tipica delle applicazioni web moderne (spesso basate su concetti di Microservizi o architettura a più livelli).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</w:rPr>
      </w:pPr>
      <w:bookmarkStart w:colFirst="0" w:colLast="0" w:name="_3unubl5bcmc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  <w:rtl w:val="0"/>
        </w:rPr>
        <w:t xml:space="preserve">1. Il Flusso della Richiesta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Il diagramma descrive il percorso che una richiesta compie all'interno del sistema: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CLIENT (Lato destro, Rosa):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È l'utente finale o un'altra applicazione che invia una richiesta al sistema.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Load balancer / GW (Gateway, Giallo):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È il punto d'ingresso unico del sistema.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Gateway: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Agisce come "porta d'accesso" (API Gateway), gestendo l'instradamento iniziale delle richieste e possibilmente funzionalità come l'autenticazione.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Load Balancer: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Il suo compito cruciale è bilanciare il carico, distribuendo in modo uniforme le richieste in arrivo tra le diverse istanze di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disponibili. Questo garantisce che nessun singolo server venga sovraccaricato, migliorando la performance e l'affidabilità.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Backend (Al centro, Azzurro):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Ci sono tre istanze identiche dell'applicazione principale.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Questo è un esempio di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Scalabilità Orizzontale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: si aggiungono più server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) per aumentare la capacità di gestire più utenti o richieste simultanee.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Questi server eseguono la logica di business principale dell'applicazione.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</w:rPr>
      </w:pPr>
      <w:bookmarkStart w:colFirst="0" w:colLast="0" w:name="_ygc7ifw3p0tn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  <w:rtl w:val="0"/>
        </w:rPr>
        <w:t xml:space="preserve">2. Le Risorse e i Servizi Esterni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Durante l'elaborazione di una richiesta, i server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interagiscono con altri componenti: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DB (Database, in alto a sinistra):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Le tre istanze di backend accedono a un cluster di database (rappresentato dai tre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nel riquadro).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Ciò indica che i dati persistenti sono gestiti in modo centralizzato o replicato, garantendo che tutti i backend abbiano accesso allo stesso stato dei dati.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Mail (Arancione):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Un servizio dedicato all'invio di posta elettronica.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I backend delegano l'operazione di invio email a questo servizio specializzato (etichettato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MAIL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Pdf (Arancione):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Un servizio dedicato alla generazione di documenti in formato PDF.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I backend richiedono a questo servizio di creare file PDF quando necessario (etichettato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</w:rPr>
      </w:pPr>
      <w:bookmarkStart w:colFirst="0" w:colLast="0" w:name="_auu6qr2ui902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i w:val="1"/>
          <w:color w:val="000000"/>
          <w:sz w:val="26"/>
          <w:szCs w:val="26"/>
          <w:rtl w:val="0"/>
        </w:rPr>
        <w:t xml:space="preserve">3. Significato Architettonico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Questo schema evidenzia due principi chiave: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Alta Disponibilità e Scalabilità: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La presenza del Load Balancer e delle istanze multiple di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(e DB) assicura che il sistema possa gestire un grande volume di traffico e che un guasto a un singolo server non faccia crollare l'intera applicazione.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Separazione delle Responsabilità (Microservizi/SOA):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Le funzionalità specialistiche e potenzialmente pesanti (come l'invio di email e la generazione di PDF) sono state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esternalizzate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in servizi separati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Mail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Questo isolamento rende il sistema più robusto: se il servizio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 ha un problema, l'applicazione principale (i backend) può continuare a funzionare, e viceversa.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397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2619375" cy="39052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397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2037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930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673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880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203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130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</w:rPr>
        <w:drawing>
          <wp:inline distB="114300" distT="114300" distL="114300" distR="114300">
            <wp:extent cx="5731200" cy="508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22" Type="http://schemas.openxmlformats.org/officeDocument/2006/relationships/image" Target="media/image1.png"/><Relationship Id="rId10" Type="http://schemas.openxmlformats.org/officeDocument/2006/relationships/image" Target="media/image17.png"/><Relationship Id="rId21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