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04389" w:rsidRPr="00715FF5" w:rsidRDefault="00404389">
      <w:pPr>
        <w:pStyle w:val="Heading1"/>
        <w:rPr>
          <w:rFonts w:cstheme="majorHAnsi"/>
          <w:b w:val="0"/>
          <w:bCs w:val="0"/>
          <w:sz w:val="22"/>
          <w:szCs w:val="22"/>
          <w:lang w:val="it-IT"/>
        </w:rPr>
      </w:pPr>
      <w:r w:rsidRPr="00715FF5">
        <w:rPr>
          <w:rFonts w:cstheme="majorHAnsi"/>
          <w:b w:val="0"/>
          <w:bCs w:val="0"/>
          <w:sz w:val="22"/>
          <w:szCs w:val="22"/>
          <w:lang w:val="it-IT"/>
        </w:rPr>
        <w:t xml:space="preserve">Nicola Marano </w:t>
      </w:r>
      <w:r w:rsidRPr="00715FF5">
        <w:rPr>
          <w:rFonts w:cstheme="majorHAnsi"/>
          <w:b w:val="0"/>
          <w:bCs w:val="0"/>
          <w:sz w:val="22"/>
          <w:szCs w:val="22"/>
          <w:lang w:val="it-IT"/>
        </w:rPr>
        <w:tab/>
      </w:r>
      <w:r w:rsidRPr="00715FF5">
        <w:rPr>
          <w:rFonts w:cstheme="majorHAnsi"/>
          <w:b w:val="0"/>
          <w:bCs w:val="0"/>
          <w:sz w:val="22"/>
          <w:szCs w:val="22"/>
          <w:lang w:val="it-IT"/>
        </w:rPr>
        <w:tab/>
      </w:r>
      <w:r w:rsidRPr="00715FF5">
        <w:rPr>
          <w:rFonts w:cstheme="majorHAnsi"/>
          <w:b w:val="0"/>
          <w:bCs w:val="0"/>
          <w:sz w:val="22"/>
          <w:szCs w:val="22"/>
          <w:lang w:val="it-IT"/>
        </w:rPr>
        <w:tab/>
      </w:r>
      <w:r w:rsidRPr="00715FF5">
        <w:rPr>
          <w:rFonts w:cstheme="majorHAnsi"/>
          <w:b w:val="0"/>
          <w:bCs w:val="0"/>
          <w:sz w:val="22"/>
          <w:szCs w:val="22"/>
          <w:lang w:val="it-IT"/>
        </w:rPr>
        <w:tab/>
      </w:r>
      <w:r w:rsidRPr="00715FF5">
        <w:rPr>
          <w:rFonts w:cstheme="majorHAnsi"/>
          <w:b w:val="0"/>
          <w:bCs w:val="0"/>
          <w:sz w:val="22"/>
          <w:szCs w:val="22"/>
          <w:lang w:val="it-IT"/>
        </w:rPr>
        <w:tab/>
      </w:r>
      <w:r w:rsidRPr="00715FF5">
        <w:rPr>
          <w:rFonts w:cstheme="majorHAnsi"/>
          <w:b w:val="0"/>
          <w:bCs w:val="0"/>
          <w:sz w:val="22"/>
          <w:szCs w:val="22"/>
          <w:lang w:val="it-IT"/>
        </w:rPr>
        <w:tab/>
      </w:r>
      <w:r w:rsidR="00CD0DC3" w:rsidRPr="00715FF5">
        <w:rPr>
          <w:rFonts w:cstheme="majorHAnsi"/>
          <w:b w:val="0"/>
          <w:bCs w:val="0"/>
          <w:sz w:val="22"/>
          <w:szCs w:val="22"/>
          <w:lang w:val="it-IT"/>
        </w:rPr>
        <w:t xml:space="preserve">         </w:t>
      </w:r>
      <w:r w:rsidRPr="00715FF5">
        <w:rPr>
          <w:rFonts w:cstheme="majorHAnsi"/>
          <w:b w:val="0"/>
          <w:bCs w:val="0"/>
          <w:sz w:val="22"/>
          <w:szCs w:val="22"/>
          <w:lang w:val="it-IT"/>
        </w:rPr>
        <w:tab/>
      </w:r>
      <w:r w:rsidR="00AB51A1" w:rsidRPr="00715FF5">
        <w:rPr>
          <w:rFonts w:cstheme="majorHAnsi"/>
          <w:b w:val="0"/>
          <w:bCs w:val="0"/>
          <w:sz w:val="22"/>
          <w:szCs w:val="22"/>
          <w:lang w:val="it-IT"/>
        </w:rPr>
        <w:t xml:space="preserve">                             </w:t>
      </w:r>
      <w:r w:rsidRPr="00715FF5">
        <w:rPr>
          <w:rFonts w:cstheme="majorHAnsi"/>
          <w:b w:val="0"/>
          <w:bCs w:val="0"/>
          <w:sz w:val="22"/>
          <w:szCs w:val="22"/>
          <w:lang w:val="it-IT"/>
        </w:rPr>
        <w:t>14 Giugno 2024</w:t>
      </w:r>
    </w:p>
    <w:p w:rsidR="00404389" w:rsidRPr="00715FF5" w:rsidRDefault="00404389" w:rsidP="00404389">
      <w:pPr>
        <w:rPr>
          <w:rFonts w:asciiTheme="majorHAnsi" w:hAnsiTheme="majorHAnsi" w:cstheme="majorHAnsi"/>
          <w:lang w:val="it-IT"/>
        </w:rPr>
      </w:pPr>
      <w:r w:rsidRPr="00715FF5">
        <w:rPr>
          <w:rFonts w:asciiTheme="majorHAnsi" w:hAnsiTheme="majorHAnsi" w:cstheme="majorHAnsi"/>
          <w:lang w:val="it-IT"/>
        </w:rPr>
        <w:t xml:space="preserve"> IIOT 2 Anno</w:t>
      </w:r>
    </w:p>
    <w:p w:rsidR="00404389" w:rsidRPr="00715FF5" w:rsidRDefault="00404389" w:rsidP="00404389">
      <w:pPr>
        <w:jc w:val="center"/>
        <w:rPr>
          <w:rFonts w:asciiTheme="majorHAnsi" w:hAnsiTheme="majorHAnsi" w:cstheme="majorHAnsi"/>
          <w:color w:val="FF0000"/>
          <w:sz w:val="28"/>
          <w:szCs w:val="28"/>
          <w:lang w:val="it-IT"/>
        </w:rPr>
      </w:pPr>
      <w:r w:rsidRPr="00715FF5">
        <w:rPr>
          <w:rFonts w:asciiTheme="majorHAnsi" w:hAnsiTheme="majorHAnsi" w:cstheme="majorHAnsi"/>
          <w:color w:val="FF0000"/>
          <w:sz w:val="28"/>
          <w:szCs w:val="28"/>
          <w:lang w:val="it-IT"/>
        </w:rPr>
        <w:t>Test Embedded</w:t>
      </w:r>
    </w:p>
    <w:p w:rsidR="004A3719" w:rsidRPr="00715FF5" w:rsidRDefault="00715FF5">
      <w:pPr>
        <w:pStyle w:val="Heading1"/>
        <w:rPr>
          <w:rFonts w:cstheme="majorHAnsi"/>
          <w:b w:val="0"/>
          <w:bCs w:val="0"/>
          <w:lang w:val="it-IT"/>
        </w:rPr>
      </w:pPr>
      <w:r w:rsidRPr="00715FF5">
        <w:rPr>
          <w:rFonts w:cstheme="majorHAnsi"/>
          <w:b w:val="0"/>
          <w:bCs w:val="0"/>
          <w:lang w:val="it-IT"/>
        </w:rPr>
        <w:t>Descrizione del Codice</w:t>
      </w:r>
    </w:p>
    <w:p w:rsidR="004A3719" w:rsidRPr="00715FF5" w:rsidRDefault="00715FF5">
      <w:pPr>
        <w:pStyle w:val="Heading2"/>
        <w:rPr>
          <w:rFonts w:cstheme="majorHAnsi"/>
          <w:b w:val="0"/>
          <w:bCs w:val="0"/>
          <w:lang w:val="it-IT"/>
        </w:rPr>
      </w:pPr>
      <w:r w:rsidRPr="00715FF5">
        <w:rPr>
          <w:rFonts w:cstheme="majorHAnsi"/>
          <w:b w:val="0"/>
          <w:bCs w:val="0"/>
          <w:lang w:val="it-IT"/>
        </w:rPr>
        <w:t xml:space="preserve">Configurazione </w:t>
      </w:r>
      <w:r w:rsidR="00C5723A" w:rsidRPr="00715FF5">
        <w:rPr>
          <w:rFonts w:cstheme="majorHAnsi"/>
          <w:b w:val="0"/>
          <w:bCs w:val="0"/>
          <w:lang w:val="it-IT"/>
        </w:rPr>
        <w:t>flussi di riferimento</w:t>
      </w:r>
      <w:r w:rsidR="0059772D" w:rsidRPr="00715FF5">
        <w:rPr>
          <w:rFonts w:cstheme="majorHAnsi"/>
          <w:b w:val="0"/>
          <w:bCs w:val="0"/>
          <w:lang w:val="it-IT"/>
        </w:rPr>
        <w:t xml:space="preserve"> (parte di configurazione della scheda)</w:t>
      </w:r>
    </w:p>
    <w:p w:rsidR="004A3719" w:rsidRPr="00715FF5" w:rsidRDefault="00715FF5">
      <w:pPr>
        <w:rPr>
          <w:rFonts w:asciiTheme="majorHAnsi" w:hAnsiTheme="majorHAnsi" w:cstheme="majorHAnsi"/>
          <w:lang w:val="it-IT"/>
        </w:rPr>
      </w:pPr>
      <w:r w:rsidRPr="00715FF5">
        <w:rPr>
          <w:rFonts w:asciiTheme="majorHAnsi" w:hAnsiTheme="majorHAnsi" w:cstheme="majorHAnsi"/>
          <w:lang w:val="it-IT"/>
        </w:rPr>
        <w:t xml:space="preserve">Questa sezione del codice configura i fuse del microcontrollore, specificando vari parametri di funzionamento come il tipo di oscillatore, la disabilitazione del Watchdog Timer, l'abilitazione del </w:t>
      </w:r>
      <w:r w:rsidRPr="00715FF5">
        <w:rPr>
          <w:rFonts w:asciiTheme="majorHAnsi" w:hAnsiTheme="majorHAnsi" w:cstheme="majorHAnsi"/>
          <w:lang w:val="it-IT"/>
        </w:rPr>
        <w:t>Power-up Timer, il Brown-out Reset e la disabilitazione della programmazione a bassa tensione, la protezione della memoria EEPROM e la scrittura e protezione della memoria Flash.</w:t>
      </w:r>
    </w:p>
    <w:p w:rsidR="004A3719" w:rsidRPr="00715FF5" w:rsidRDefault="00715FF5">
      <w:pPr>
        <w:pStyle w:val="Heading2"/>
        <w:rPr>
          <w:rFonts w:cstheme="majorHAnsi"/>
          <w:b w:val="0"/>
          <w:bCs w:val="0"/>
          <w:lang w:val="it-IT"/>
        </w:rPr>
      </w:pPr>
      <w:r w:rsidRPr="00715FF5">
        <w:rPr>
          <w:rFonts w:cstheme="majorHAnsi"/>
          <w:b w:val="0"/>
          <w:bCs w:val="0"/>
          <w:lang w:val="it-IT"/>
        </w:rPr>
        <w:t>Definizione delle Costanti</w:t>
      </w:r>
    </w:p>
    <w:p w:rsidR="004A3719" w:rsidRPr="00715FF5" w:rsidRDefault="00715FF5">
      <w:pPr>
        <w:rPr>
          <w:rFonts w:asciiTheme="majorHAnsi" w:hAnsiTheme="majorHAnsi" w:cstheme="majorHAnsi"/>
          <w:lang w:val="it-IT"/>
        </w:rPr>
      </w:pPr>
      <w:r w:rsidRPr="00715FF5">
        <w:rPr>
          <w:rFonts w:asciiTheme="majorHAnsi" w:hAnsiTheme="majorHAnsi" w:cstheme="majorHAnsi"/>
          <w:lang w:val="it-IT"/>
        </w:rPr>
        <w:t>In questa sezione vengono definite le costanti utilizzate nel programma. La frequenza dell'oscillatore è impostata a 4 MHz. Inoltre, vengono assegnati nomi ai pin del microcontrollore per una gestione più semplice. I pin RD0 e RD1 controllano rispettivamente il riscaldatore e il raffreddatore, mentre i pin RB0 e RB1 sono collegati ai pulsanti per aumentare e diminuire il setpoint.</w:t>
      </w:r>
    </w:p>
    <w:p w:rsidR="004A3719" w:rsidRPr="00715FF5" w:rsidRDefault="00715FF5">
      <w:pPr>
        <w:pStyle w:val="Heading2"/>
        <w:rPr>
          <w:rFonts w:cstheme="majorHAnsi"/>
          <w:b w:val="0"/>
          <w:bCs w:val="0"/>
          <w:lang w:val="it-IT"/>
        </w:rPr>
      </w:pPr>
      <w:r w:rsidRPr="00715FF5">
        <w:rPr>
          <w:rFonts w:cstheme="majorHAnsi"/>
          <w:b w:val="0"/>
          <w:bCs w:val="0"/>
          <w:lang w:val="it-IT"/>
        </w:rPr>
        <w:t>Dichiarazione delle Variabili Globali</w:t>
      </w:r>
    </w:p>
    <w:p w:rsidR="004A3719" w:rsidRPr="00715FF5" w:rsidRDefault="00715FF5">
      <w:pPr>
        <w:rPr>
          <w:rFonts w:asciiTheme="majorHAnsi" w:hAnsiTheme="majorHAnsi" w:cstheme="majorHAnsi"/>
          <w:lang w:val="it-IT"/>
        </w:rPr>
      </w:pPr>
      <w:r w:rsidRPr="00715FF5">
        <w:rPr>
          <w:rFonts w:asciiTheme="majorHAnsi" w:hAnsiTheme="majorHAnsi" w:cstheme="majorHAnsi"/>
          <w:lang w:val="it-IT"/>
        </w:rPr>
        <w:t>Vengono dichiarate le variabili globali per il setpoint della temperatura e la temperatura rilevata. Il setpoint iniziale è impostato a 37.0°C.</w:t>
      </w:r>
    </w:p>
    <w:p w:rsidR="004A3719" w:rsidRPr="00715FF5" w:rsidRDefault="00715FF5">
      <w:pPr>
        <w:pStyle w:val="Heading2"/>
        <w:rPr>
          <w:rFonts w:cstheme="majorHAnsi"/>
          <w:b w:val="0"/>
          <w:bCs w:val="0"/>
          <w:lang w:val="it-IT"/>
        </w:rPr>
      </w:pPr>
      <w:r w:rsidRPr="00715FF5">
        <w:rPr>
          <w:rFonts w:cstheme="majorHAnsi"/>
          <w:b w:val="0"/>
          <w:bCs w:val="0"/>
          <w:lang w:val="it-IT"/>
        </w:rPr>
        <w:t>Prototipi delle Funzioni</w:t>
      </w:r>
    </w:p>
    <w:p w:rsidR="004A3719" w:rsidRPr="00715FF5" w:rsidRDefault="00715FF5">
      <w:pPr>
        <w:rPr>
          <w:rFonts w:asciiTheme="majorHAnsi" w:hAnsiTheme="majorHAnsi" w:cstheme="majorHAnsi"/>
          <w:lang w:val="it-IT"/>
        </w:rPr>
      </w:pPr>
      <w:r w:rsidRPr="00715FF5">
        <w:rPr>
          <w:rFonts w:asciiTheme="majorHAnsi" w:hAnsiTheme="majorHAnsi" w:cstheme="majorHAnsi"/>
          <w:lang w:val="it-IT"/>
        </w:rPr>
        <w:t>Questa sezione contiene i prototipi delle funzioni utilizzate nel programma. Questi prototipi definiscono le funzioni che saranno implementate successivamente e includono funzioni per l'inizializzazione, la gestione del display LCD, la lettura dell'ADC, e la comunicazione UART.</w:t>
      </w:r>
    </w:p>
    <w:p w:rsidR="004A3719" w:rsidRPr="00715FF5" w:rsidRDefault="00715FF5">
      <w:pPr>
        <w:pStyle w:val="Heading2"/>
        <w:rPr>
          <w:rFonts w:cstheme="majorHAnsi"/>
          <w:b w:val="0"/>
          <w:bCs w:val="0"/>
          <w:lang w:val="it-IT"/>
        </w:rPr>
      </w:pPr>
      <w:r w:rsidRPr="00715FF5">
        <w:rPr>
          <w:rFonts w:cstheme="majorHAnsi"/>
          <w:b w:val="0"/>
          <w:bCs w:val="0"/>
          <w:lang w:val="it-IT"/>
        </w:rPr>
        <w:t>Funzione main</w:t>
      </w:r>
    </w:p>
    <w:p w:rsidR="004A3719" w:rsidRPr="00715FF5" w:rsidRDefault="00715FF5">
      <w:pPr>
        <w:rPr>
          <w:rFonts w:asciiTheme="majorHAnsi" w:hAnsiTheme="majorHAnsi" w:cstheme="majorHAnsi"/>
          <w:lang w:val="it-IT"/>
        </w:rPr>
      </w:pPr>
      <w:r w:rsidRPr="00715FF5">
        <w:rPr>
          <w:rFonts w:asciiTheme="majorHAnsi" w:hAnsiTheme="majorHAnsi" w:cstheme="majorHAnsi"/>
          <w:lang w:val="it-IT"/>
        </w:rPr>
        <w:t>La funzione main è il punto di ingresso del programma. Dopo aver chiamato la funzione di inizializzazione, viene visualizzato un messaggio di benvenuto sul display LCD. Successivamente, entra in un ciclo infinito in cui legge la temperatura dal sensore LM35, controlla il riscaldatore e il raffreddatore basandosi sulla temperatura rilevata e il setpoint, gestisce i pulsanti per modificare il setpoint e aggiorna il display LCD.</w:t>
      </w:r>
    </w:p>
    <w:p w:rsidR="004A3719" w:rsidRPr="00715FF5" w:rsidRDefault="00715FF5">
      <w:pPr>
        <w:pStyle w:val="Heading2"/>
        <w:rPr>
          <w:rFonts w:cstheme="majorHAnsi"/>
          <w:b w:val="0"/>
          <w:bCs w:val="0"/>
          <w:lang w:val="it-IT"/>
        </w:rPr>
      </w:pPr>
      <w:r w:rsidRPr="00715FF5">
        <w:rPr>
          <w:rFonts w:cstheme="majorHAnsi"/>
          <w:b w:val="0"/>
          <w:bCs w:val="0"/>
          <w:lang w:val="it-IT"/>
        </w:rPr>
        <w:t>Funzione init</w:t>
      </w:r>
    </w:p>
    <w:p w:rsidR="004A3719" w:rsidRPr="00715FF5" w:rsidRDefault="00715FF5">
      <w:pPr>
        <w:rPr>
          <w:rFonts w:asciiTheme="majorHAnsi" w:hAnsiTheme="majorHAnsi" w:cstheme="majorHAnsi"/>
          <w:lang w:val="it-IT"/>
        </w:rPr>
      </w:pPr>
      <w:r w:rsidRPr="00715FF5">
        <w:rPr>
          <w:rFonts w:asciiTheme="majorHAnsi" w:hAnsiTheme="majorHAnsi" w:cstheme="majorHAnsi"/>
          <w:lang w:val="it-IT"/>
        </w:rPr>
        <w:t>Questa funzione inizializza le impostazioni del microcontrollore. Configura i pin come input o output, inizializza l'ADC, il display LCD e la comunicazione UART.</w:t>
      </w:r>
    </w:p>
    <w:p w:rsidR="004A3719" w:rsidRPr="00715FF5" w:rsidRDefault="00715FF5">
      <w:pPr>
        <w:pStyle w:val="Heading2"/>
        <w:rPr>
          <w:rFonts w:cstheme="majorHAnsi"/>
          <w:b w:val="0"/>
          <w:bCs w:val="0"/>
          <w:lang w:val="it-IT"/>
        </w:rPr>
      </w:pPr>
      <w:r w:rsidRPr="00715FF5">
        <w:rPr>
          <w:rFonts w:cstheme="majorHAnsi"/>
          <w:b w:val="0"/>
          <w:bCs w:val="0"/>
          <w:lang w:val="it-IT"/>
        </w:rPr>
        <w:t>Funzione lcd_init</w:t>
      </w:r>
    </w:p>
    <w:p w:rsidR="004A3719" w:rsidRPr="00715FF5" w:rsidRDefault="00715FF5">
      <w:pPr>
        <w:rPr>
          <w:rFonts w:asciiTheme="majorHAnsi" w:hAnsiTheme="majorHAnsi" w:cstheme="majorHAnsi"/>
          <w:lang w:val="it-IT"/>
        </w:rPr>
      </w:pPr>
      <w:r w:rsidRPr="00715FF5">
        <w:rPr>
          <w:rFonts w:asciiTheme="majorHAnsi" w:hAnsiTheme="majorHAnsi" w:cstheme="majorHAnsi"/>
          <w:lang w:val="it-IT"/>
        </w:rPr>
        <w:t>Questa funzione inizializza il display LCD impostando la modalità a 8-bit, attivando il display senza cursore e pulendo il display.</w:t>
      </w:r>
    </w:p>
    <w:p w:rsidR="004A3719" w:rsidRPr="00715FF5" w:rsidRDefault="00715FF5">
      <w:pPr>
        <w:pStyle w:val="Heading2"/>
        <w:rPr>
          <w:rFonts w:cstheme="majorHAnsi"/>
          <w:b w:val="0"/>
          <w:bCs w:val="0"/>
          <w:lang w:val="it-IT"/>
        </w:rPr>
      </w:pPr>
      <w:r w:rsidRPr="00715FF5">
        <w:rPr>
          <w:rFonts w:cstheme="majorHAnsi"/>
          <w:b w:val="0"/>
          <w:bCs w:val="0"/>
          <w:lang w:val="it-IT"/>
        </w:rPr>
        <w:t>Funzione lcd_command</w:t>
      </w:r>
    </w:p>
    <w:p w:rsidR="004A3719" w:rsidRPr="00715FF5" w:rsidRDefault="00715FF5">
      <w:pPr>
        <w:rPr>
          <w:rFonts w:asciiTheme="majorHAnsi" w:hAnsiTheme="majorHAnsi" w:cstheme="majorHAnsi"/>
          <w:lang w:val="it-IT"/>
        </w:rPr>
      </w:pPr>
      <w:r w:rsidRPr="00715FF5">
        <w:rPr>
          <w:rFonts w:asciiTheme="majorHAnsi" w:hAnsiTheme="majorHAnsi" w:cstheme="majorHAnsi"/>
          <w:lang w:val="it-IT"/>
        </w:rPr>
        <w:t>Questa funzione invia comandi al display LCD. I comandi controllano le impostazioni del display come la modalità di funzionamento e la pulizia del display.</w:t>
      </w:r>
    </w:p>
    <w:p w:rsidR="004A3719" w:rsidRPr="00715FF5" w:rsidRDefault="00715FF5">
      <w:pPr>
        <w:pStyle w:val="Heading2"/>
        <w:rPr>
          <w:rFonts w:cstheme="majorHAnsi"/>
          <w:b w:val="0"/>
          <w:bCs w:val="0"/>
          <w:lang w:val="it-IT"/>
        </w:rPr>
      </w:pPr>
      <w:r w:rsidRPr="00715FF5">
        <w:rPr>
          <w:rFonts w:cstheme="majorHAnsi"/>
          <w:b w:val="0"/>
          <w:bCs w:val="0"/>
          <w:lang w:val="it-IT"/>
        </w:rPr>
        <w:t>Funzione lcd_data</w:t>
      </w:r>
    </w:p>
    <w:p w:rsidR="004A3719" w:rsidRPr="00715FF5" w:rsidRDefault="00715FF5">
      <w:pPr>
        <w:rPr>
          <w:rFonts w:asciiTheme="majorHAnsi" w:hAnsiTheme="majorHAnsi" w:cstheme="majorHAnsi"/>
          <w:lang w:val="it-IT"/>
        </w:rPr>
      </w:pPr>
      <w:r w:rsidRPr="00715FF5">
        <w:rPr>
          <w:rFonts w:asciiTheme="majorHAnsi" w:hAnsiTheme="majorHAnsi" w:cstheme="majorHAnsi"/>
          <w:lang w:val="it-IT"/>
        </w:rPr>
        <w:t>Questa funzione invia dati al display LCD per visualizzare caratteri. Ogni carattere viene inviato come un byte di dati.</w:t>
      </w:r>
    </w:p>
    <w:p w:rsidR="004A3719" w:rsidRPr="00715FF5" w:rsidRDefault="00715FF5">
      <w:pPr>
        <w:pStyle w:val="Heading2"/>
        <w:rPr>
          <w:rFonts w:cstheme="majorHAnsi"/>
          <w:b w:val="0"/>
          <w:bCs w:val="0"/>
          <w:lang w:val="it-IT"/>
        </w:rPr>
      </w:pPr>
      <w:r w:rsidRPr="00715FF5">
        <w:rPr>
          <w:rFonts w:cstheme="majorHAnsi"/>
          <w:b w:val="0"/>
          <w:bCs w:val="0"/>
          <w:lang w:val="it-IT"/>
        </w:rPr>
        <w:t>Funzione lcd_clear</w:t>
      </w:r>
    </w:p>
    <w:p w:rsidR="004A3719" w:rsidRPr="00715FF5" w:rsidRDefault="00715FF5">
      <w:pPr>
        <w:rPr>
          <w:rFonts w:asciiTheme="majorHAnsi" w:hAnsiTheme="majorHAnsi" w:cstheme="majorHAnsi"/>
          <w:lang w:val="it-IT"/>
        </w:rPr>
      </w:pPr>
      <w:r w:rsidRPr="00715FF5">
        <w:rPr>
          <w:rFonts w:asciiTheme="majorHAnsi" w:hAnsiTheme="majorHAnsi" w:cstheme="majorHAnsi"/>
          <w:lang w:val="it-IT"/>
        </w:rPr>
        <w:t>Questa funzione pulisce il display LCD inviando il comando di pulizia.</w:t>
      </w:r>
    </w:p>
    <w:p w:rsidR="004A3719" w:rsidRPr="00715FF5" w:rsidRDefault="00715FF5">
      <w:pPr>
        <w:pStyle w:val="Heading2"/>
        <w:rPr>
          <w:rFonts w:cstheme="majorHAnsi"/>
          <w:b w:val="0"/>
          <w:bCs w:val="0"/>
          <w:lang w:val="it-IT"/>
        </w:rPr>
      </w:pPr>
      <w:r w:rsidRPr="00715FF5">
        <w:rPr>
          <w:rFonts w:cstheme="majorHAnsi"/>
          <w:b w:val="0"/>
          <w:bCs w:val="0"/>
          <w:lang w:val="it-IT"/>
        </w:rPr>
        <w:t>Funzione lcd_set_cursor</w:t>
      </w:r>
    </w:p>
    <w:p w:rsidR="004A3719" w:rsidRPr="00715FF5" w:rsidRDefault="00715FF5">
      <w:pPr>
        <w:rPr>
          <w:rFonts w:asciiTheme="majorHAnsi" w:hAnsiTheme="majorHAnsi" w:cstheme="majorHAnsi"/>
          <w:lang w:val="it-IT"/>
        </w:rPr>
      </w:pPr>
      <w:r w:rsidRPr="00715FF5">
        <w:rPr>
          <w:rFonts w:asciiTheme="majorHAnsi" w:hAnsiTheme="majorHAnsi" w:cstheme="majorHAnsi"/>
          <w:lang w:val="it-IT"/>
        </w:rPr>
        <w:t>Questa funzione imposta la posizione del cursore sul display LCD specificando la riga e la colonna.</w:t>
      </w:r>
    </w:p>
    <w:p w:rsidR="004A3719" w:rsidRPr="00715FF5" w:rsidRDefault="00715FF5">
      <w:pPr>
        <w:pStyle w:val="Heading2"/>
        <w:rPr>
          <w:rFonts w:cstheme="majorHAnsi"/>
          <w:b w:val="0"/>
          <w:bCs w:val="0"/>
          <w:lang w:val="it-IT"/>
        </w:rPr>
      </w:pPr>
      <w:r w:rsidRPr="00715FF5">
        <w:rPr>
          <w:rFonts w:cstheme="majorHAnsi"/>
          <w:b w:val="0"/>
          <w:bCs w:val="0"/>
          <w:lang w:val="it-IT"/>
        </w:rPr>
        <w:t>Funzione lcd_print</w:t>
      </w:r>
    </w:p>
    <w:p w:rsidR="004A3719" w:rsidRPr="00715FF5" w:rsidRDefault="00715FF5">
      <w:pPr>
        <w:rPr>
          <w:rFonts w:asciiTheme="majorHAnsi" w:hAnsiTheme="majorHAnsi" w:cstheme="majorHAnsi"/>
          <w:lang w:val="it-IT"/>
        </w:rPr>
      </w:pPr>
      <w:r w:rsidRPr="00715FF5">
        <w:rPr>
          <w:rFonts w:asciiTheme="majorHAnsi" w:hAnsiTheme="majorHAnsi" w:cstheme="majorHAnsi"/>
          <w:lang w:val="it-IT"/>
        </w:rPr>
        <w:t>Questa funzione stampa una stringa di caratteri sul display LCD. Ogni carattere della stringa viene inviato uno alla volta.</w:t>
      </w:r>
    </w:p>
    <w:p w:rsidR="004A3719" w:rsidRPr="00715FF5" w:rsidRDefault="00715FF5">
      <w:pPr>
        <w:pStyle w:val="Heading2"/>
        <w:rPr>
          <w:rFonts w:cstheme="majorHAnsi"/>
          <w:b w:val="0"/>
          <w:bCs w:val="0"/>
          <w:lang w:val="it-IT"/>
        </w:rPr>
      </w:pPr>
      <w:r w:rsidRPr="00715FF5">
        <w:rPr>
          <w:rFonts w:cstheme="majorHAnsi"/>
          <w:b w:val="0"/>
          <w:bCs w:val="0"/>
          <w:lang w:val="it-IT"/>
        </w:rPr>
        <w:t>Funzione adc_init</w:t>
      </w:r>
    </w:p>
    <w:p w:rsidR="004A3719" w:rsidRPr="00715FF5" w:rsidRDefault="00715FF5">
      <w:pPr>
        <w:rPr>
          <w:rFonts w:asciiTheme="majorHAnsi" w:hAnsiTheme="majorHAnsi" w:cstheme="majorHAnsi"/>
          <w:lang w:val="it-IT"/>
        </w:rPr>
      </w:pPr>
      <w:r w:rsidRPr="00715FF5">
        <w:rPr>
          <w:rFonts w:asciiTheme="majorHAnsi" w:hAnsiTheme="majorHAnsi" w:cstheme="majorHAnsi"/>
          <w:lang w:val="it-IT"/>
        </w:rPr>
        <w:t>Questa funzione inizializza il modulo ADC configurando il canale e attivando il modulo ADC.</w:t>
      </w:r>
    </w:p>
    <w:p w:rsidR="004A3719" w:rsidRPr="00715FF5" w:rsidRDefault="00715FF5">
      <w:pPr>
        <w:pStyle w:val="Heading2"/>
        <w:rPr>
          <w:rFonts w:cstheme="majorHAnsi"/>
          <w:b w:val="0"/>
          <w:bCs w:val="0"/>
          <w:lang w:val="it-IT"/>
        </w:rPr>
      </w:pPr>
      <w:r w:rsidRPr="00715FF5">
        <w:rPr>
          <w:rFonts w:cstheme="majorHAnsi"/>
          <w:b w:val="0"/>
          <w:bCs w:val="0"/>
          <w:lang w:val="it-IT"/>
        </w:rPr>
        <w:t>Funzione adc_read</w:t>
      </w:r>
    </w:p>
    <w:p w:rsidR="004A3719" w:rsidRPr="00715FF5" w:rsidRDefault="00715FF5">
      <w:pPr>
        <w:rPr>
          <w:rFonts w:asciiTheme="majorHAnsi" w:hAnsiTheme="majorHAnsi" w:cstheme="majorHAnsi"/>
          <w:lang w:val="it-IT"/>
        </w:rPr>
      </w:pPr>
      <w:r w:rsidRPr="00715FF5">
        <w:rPr>
          <w:rFonts w:asciiTheme="majorHAnsi" w:hAnsiTheme="majorHAnsi" w:cstheme="majorHAnsi"/>
          <w:lang w:val="it-IT"/>
        </w:rPr>
        <w:t>Questa funzione legge un valore dal modulo ADC. Avvia la conversione, attende che sia completata e restituisce il valore a 10 bit.</w:t>
      </w:r>
    </w:p>
    <w:p w:rsidR="004A3719" w:rsidRPr="00715FF5" w:rsidRDefault="00715FF5">
      <w:pPr>
        <w:pStyle w:val="Heading2"/>
        <w:rPr>
          <w:rFonts w:cstheme="majorHAnsi"/>
          <w:b w:val="0"/>
          <w:bCs w:val="0"/>
          <w:lang w:val="it-IT"/>
        </w:rPr>
      </w:pPr>
      <w:r w:rsidRPr="00715FF5">
        <w:rPr>
          <w:rFonts w:cstheme="majorHAnsi"/>
          <w:b w:val="0"/>
          <w:bCs w:val="0"/>
          <w:lang w:val="it-IT"/>
        </w:rPr>
        <w:t>Funzione uart_init</w:t>
      </w:r>
    </w:p>
    <w:p w:rsidR="004A3719" w:rsidRPr="00715FF5" w:rsidRDefault="00715FF5">
      <w:pPr>
        <w:rPr>
          <w:rFonts w:asciiTheme="majorHAnsi" w:hAnsiTheme="majorHAnsi" w:cstheme="majorHAnsi"/>
          <w:lang w:val="it-IT"/>
        </w:rPr>
      </w:pPr>
      <w:r w:rsidRPr="00715FF5">
        <w:rPr>
          <w:rFonts w:asciiTheme="majorHAnsi" w:hAnsiTheme="majorHAnsi" w:cstheme="majorHAnsi"/>
          <w:lang w:val="it-IT"/>
        </w:rPr>
        <w:t xml:space="preserve">Questa </w:t>
      </w:r>
      <w:r w:rsidRPr="00715FF5">
        <w:rPr>
          <w:rFonts w:asciiTheme="majorHAnsi" w:hAnsiTheme="majorHAnsi" w:cstheme="majorHAnsi"/>
          <w:lang w:val="it-IT"/>
        </w:rPr>
        <w:t>funzione inizializza la comunicazione UART configurando il trasmettitore e il ricevitore UART e impostando il baud rate.</w:t>
      </w:r>
    </w:p>
    <w:p w:rsidR="004A3719" w:rsidRPr="00715FF5" w:rsidRDefault="00715FF5">
      <w:pPr>
        <w:pStyle w:val="Heading2"/>
        <w:rPr>
          <w:rFonts w:cstheme="majorHAnsi"/>
          <w:b w:val="0"/>
          <w:bCs w:val="0"/>
          <w:lang w:val="it-IT"/>
        </w:rPr>
      </w:pPr>
      <w:r w:rsidRPr="00715FF5">
        <w:rPr>
          <w:rFonts w:cstheme="majorHAnsi"/>
          <w:b w:val="0"/>
          <w:bCs w:val="0"/>
          <w:lang w:val="it-IT"/>
        </w:rPr>
        <w:t>Funzione uart_transmit</w:t>
      </w:r>
    </w:p>
    <w:p w:rsidR="004A3719" w:rsidRPr="00715FF5" w:rsidRDefault="00715FF5">
      <w:pPr>
        <w:rPr>
          <w:rFonts w:asciiTheme="majorHAnsi" w:hAnsiTheme="majorHAnsi" w:cstheme="majorHAnsi"/>
          <w:lang w:val="it-IT"/>
        </w:rPr>
      </w:pPr>
      <w:r w:rsidRPr="00715FF5">
        <w:rPr>
          <w:rFonts w:asciiTheme="majorHAnsi" w:hAnsiTheme="majorHAnsi" w:cstheme="majorHAnsi"/>
          <w:lang w:val="it-IT"/>
        </w:rPr>
        <w:t>Questa funzione trasmette un byte di dati tramite UART. Attende che il buffer di trasmissione sia vuoto prima di inviare il dato.</w:t>
      </w:r>
    </w:p>
    <w:p w:rsidR="004A3719" w:rsidRPr="00715FF5" w:rsidRDefault="00715FF5">
      <w:pPr>
        <w:pStyle w:val="Heading2"/>
        <w:rPr>
          <w:rFonts w:cstheme="majorHAnsi"/>
          <w:b w:val="0"/>
          <w:bCs w:val="0"/>
          <w:lang w:val="it-IT"/>
        </w:rPr>
      </w:pPr>
      <w:r w:rsidRPr="00715FF5">
        <w:rPr>
          <w:rFonts w:cstheme="majorHAnsi"/>
          <w:b w:val="0"/>
          <w:bCs w:val="0"/>
          <w:lang w:val="it-IT"/>
        </w:rPr>
        <w:t>Funzione uart_send_string</w:t>
      </w:r>
    </w:p>
    <w:p w:rsidR="004A3719" w:rsidRPr="00715FF5" w:rsidRDefault="00715FF5">
      <w:pPr>
        <w:rPr>
          <w:rFonts w:asciiTheme="majorHAnsi" w:hAnsiTheme="majorHAnsi" w:cstheme="majorHAnsi"/>
          <w:lang w:val="it-IT"/>
        </w:rPr>
      </w:pPr>
      <w:r w:rsidRPr="00715FF5">
        <w:rPr>
          <w:rFonts w:asciiTheme="majorHAnsi" w:hAnsiTheme="majorHAnsi" w:cstheme="majorHAnsi"/>
          <w:lang w:val="it-IT"/>
        </w:rPr>
        <w:t>Questa funzione invia una stringa di caratteri tramite UART. Ogni carattere della stringa viene inviato uno alla volta.</w:t>
      </w:r>
    </w:p>
    <w:sectPr w:rsidR="004A3719" w:rsidRPr="00715FF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77916637">
    <w:abstractNumId w:val="8"/>
  </w:num>
  <w:num w:numId="2" w16cid:durableId="682366031">
    <w:abstractNumId w:val="6"/>
  </w:num>
  <w:num w:numId="3" w16cid:durableId="1153791939">
    <w:abstractNumId w:val="5"/>
  </w:num>
  <w:num w:numId="4" w16cid:durableId="856506033">
    <w:abstractNumId w:val="4"/>
  </w:num>
  <w:num w:numId="5" w16cid:durableId="166945200">
    <w:abstractNumId w:val="7"/>
  </w:num>
  <w:num w:numId="6" w16cid:durableId="402071033">
    <w:abstractNumId w:val="3"/>
  </w:num>
  <w:num w:numId="7" w16cid:durableId="1649940298">
    <w:abstractNumId w:val="2"/>
  </w:num>
  <w:num w:numId="8" w16cid:durableId="1783499203">
    <w:abstractNumId w:val="1"/>
  </w:num>
  <w:num w:numId="9" w16cid:durableId="3690648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54453"/>
    <w:rsid w:val="002839D9"/>
    <w:rsid w:val="0029639D"/>
    <w:rsid w:val="00326F90"/>
    <w:rsid w:val="00404389"/>
    <w:rsid w:val="004A3719"/>
    <w:rsid w:val="0059772D"/>
    <w:rsid w:val="00715FF5"/>
    <w:rsid w:val="0076545B"/>
    <w:rsid w:val="00AA1D8D"/>
    <w:rsid w:val="00AB51A1"/>
    <w:rsid w:val="00B47730"/>
    <w:rsid w:val="00C5723A"/>
    <w:rsid w:val="00CB0664"/>
    <w:rsid w:val="00CD0DC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79640D"/>
  <w14:defaultImageDpi w14:val="300"/>
  <w15:docId w15:val="{BCE5F874-3752-407D-B1E4-9F61DB817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4392732">
      <w:bodyDiv w:val="1"/>
      <w:marLeft w:val="0"/>
      <w:marRight w:val="0"/>
      <w:marTop w:val="0"/>
      <w:marBottom w:val="0"/>
      <w:divBdr>
        <w:top w:val="none" w:sz="0" w:space="0" w:color="auto"/>
        <w:left w:val="none" w:sz="0" w:space="0" w:color="auto"/>
        <w:bottom w:val="none" w:sz="0" w:space="0" w:color="auto"/>
        <w:right w:val="none" w:sz="0" w:space="0" w:color="auto"/>
      </w:divBdr>
      <w:divsChild>
        <w:div w:id="365764178">
          <w:marLeft w:val="0"/>
          <w:marRight w:val="0"/>
          <w:marTop w:val="0"/>
          <w:marBottom w:val="0"/>
          <w:divBdr>
            <w:top w:val="none" w:sz="0" w:space="0" w:color="auto"/>
            <w:left w:val="none" w:sz="0" w:space="0" w:color="auto"/>
            <w:bottom w:val="none" w:sz="0" w:space="0" w:color="auto"/>
            <w:right w:val="none" w:sz="0" w:space="0" w:color="auto"/>
          </w:divBdr>
          <w:divsChild>
            <w:div w:id="1863123758">
              <w:marLeft w:val="0"/>
              <w:marRight w:val="0"/>
              <w:marTop w:val="0"/>
              <w:marBottom w:val="0"/>
              <w:divBdr>
                <w:top w:val="none" w:sz="0" w:space="0" w:color="auto"/>
                <w:left w:val="none" w:sz="0" w:space="0" w:color="auto"/>
                <w:bottom w:val="none" w:sz="0" w:space="0" w:color="auto"/>
                <w:right w:val="none" w:sz="0" w:space="0" w:color="auto"/>
              </w:divBdr>
              <w:divsChild>
                <w:div w:id="895970511">
                  <w:marLeft w:val="0"/>
                  <w:marRight w:val="0"/>
                  <w:marTop w:val="0"/>
                  <w:marBottom w:val="0"/>
                  <w:divBdr>
                    <w:top w:val="none" w:sz="0" w:space="0" w:color="auto"/>
                    <w:left w:val="none" w:sz="0" w:space="0" w:color="auto"/>
                    <w:bottom w:val="none" w:sz="0" w:space="0" w:color="auto"/>
                    <w:right w:val="none" w:sz="0" w:space="0" w:color="auto"/>
                  </w:divBdr>
                  <w:divsChild>
                    <w:div w:id="1847817866">
                      <w:marLeft w:val="0"/>
                      <w:marRight w:val="0"/>
                      <w:marTop w:val="0"/>
                      <w:marBottom w:val="0"/>
                      <w:divBdr>
                        <w:top w:val="none" w:sz="0" w:space="0" w:color="auto"/>
                        <w:left w:val="none" w:sz="0" w:space="0" w:color="auto"/>
                        <w:bottom w:val="none" w:sz="0" w:space="0" w:color="auto"/>
                        <w:right w:val="none" w:sz="0" w:space="0" w:color="auto"/>
                      </w:divBdr>
                      <w:divsChild>
                        <w:div w:id="1591426242">
                          <w:marLeft w:val="0"/>
                          <w:marRight w:val="0"/>
                          <w:marTop w:val="0"/>
                          <w:marBottom w:val="0"/>
                          <w:divBdr>
                            <w:top w:val="none" w:sz="0" w:space="0" w:color="auto"/>
                            <w:left w:val="none" w:sz="0" w:space="0" w:color="auto"/>
                            <w:bottom w:val="none" w:sz="0" w:space="0" w:color="auto"/>
                            <w:right w:val="none" w:sz="0" w:space="0" w:color="auto"/>
                          </w:divBdr>
                          <w:divsChild>
                            <w:div w:id="172675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16051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Pages>
  <Words>540</Words>
  <Characters>3081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Nicola Marano</cp:lastModifiedBy>
  <cp:revision>8</cp:revision>
  <cp:lastPrinted>2024-06-14T08:27:00Z</cp:lastPrinted>
  <dcterms:created xsi:type="dcterms:W3CDTF">2013-12-23T23:15:00Z</dcterms:created>
  <dcterms:modified xsi:type="dcterms:W3CDTF">2024-06-14T08:29:00Z</dcterms:modified>
  <cp:category/>
</cp:coreProperties>
</file>