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 w:line="240" w:lineRule="auto"/>
      </w:pPr>
      <w:r>
        <w:rPr>
          <w:rFonts w:ascii="Arial" w:hAnsi="Arial"/>
          <w:b/>
          <w:color w:val="E8572E"/>
          <w:sz w:val="21"/>
        </w:rPr>
        <w:t>ACTIVIDAD 1.1.5 · INCREMENTO 1</w:t>
      </w:r>
    </w:p>
    <w:p>
      <w:pPr>
        <w:spacing w:before="0" w:after="60" w:line="240" w:lineRule="auto"/>
      </w:pPr>
      <w:r>
        <w:rPr>
          <w:rFonts w:ascii="Arial" w:hAnsi="Arial"/>
          <w:b/>
          <w:color w:val="1E2761"/>
          <w:sz w:val="42"/>
        </w:rPr>
        <w:t>Modelado de datos y entidades principales</w:t>
      </w:r>
    </w:p>
    <w:p>
      <w:pPr>
        <w:spacing w:before="0" w:after="100" w:line="240" w:lineRule="auto"/>
      </w:pPr>
      <w:r>
        <w:rPr>
          <w:rFonts w:ascii="Arial" w:hAnsi="Arial"/>
          <w:color w:val="6B7280"/>
          <w:sz w:val="21"/>
        </w:rPr>
        <w:t>Proyecto Final de Carrera — Aplicación móvil de voluntariado geolocalizado</w:t>
      </w:r>
    </w:p>
    <w:p>
      <w:pPr>
        <w:spacing w:before="0" w:after="40" w:line="240" w:lineRule="auto"/>
      </w:pPr>
      <w:r>
        <w:rPr>
          <w:rFonts w:ascii="Arial" w:hAnsi="Arial"/>
          <w:color w:val="6B7280"/>
          <w:sz w:val="18"/>
        </w:rPr>
        <w:t>Carga estimada: 18 h  ·  Dependencia: 1.1.4 (completada)  ·  Persistencia: PostgreSQL</w:t>
      </w:r>
    </w:p>
    <w:p>
      <w:pPr>
        <w:spacing w:before="0" w:after="180" w:line="240" w:lineRule="auto"/>
      </w:pPr>
      <w:r>
        <w:rPr>
          <w:rFonts w:ascii="Arial" w:hAnsi="Arial"/>
          <w:b/>
          <w:color w:val="6B7280"/>
          <w:sz w:val="18"/>
        </w:rPr>
        <w:t>Responsables: Jonas, Andrés . Mora, Nicolas</w:t>
      </w:r>
    </w:p>
    <w:tbl>
      <w:tblPr>
        <w:tblW w:type="dxa" w:w="10040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9BC3AA"/>
          <w:left w:val="single" w:sz="5" w:space="0" w:color="9BC3AA"/>
          <w:bottom w:val="single" w:sz="5" w:space="0" w:color="9BC3AA"/>
          <w:right w:val="single" w:sz="5" w:space="0" w:color="9BC3AA"/>
          <w:insideH w:val="single" w:sz="5" w:space="0" w:color="9BC3AA"/>
          <w:insideV w:val="single" w:sz="5" w:space="0" w:color="9BC3AA"/>
        </w:tblBorders>
      </w:tblPr>
      <w:tblGrid>
        <w:gridCol w:w="10040"/>
      </w:tblGrid>
      <w:tr>
        <w:tc>
          <w:tcPr>
            <w:tcW w:type="dxa" w:w="10040"/>
            <w:shd w:fill="E9F5ED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color w:val="27734B"/>
                <w:sz w:val="18"/>
              </w:rPr>
              <w:t>✓ Resultado del modelado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Se definieron las entidades, atributos, claves, cardinalidades, restricciones y estados necesarios para cubrir los RF-01 a RF-16. El modelo mantiene separadas las cuentas, los perfiles y las organizaciones, y reserva las transacciones ACID para inscripciones, cupos y cambios críticos.</w:t>
            </w:r>
          </w:p>
        </w:tc>
      </w:tr>
    </w:tbl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1. Propósito y alcance</w:t>
      </w:r>
    </w:p>
    <w:p>
      <w:pPr>
        <w:spacing w:before="0" w:after="100" w:line="252" w:lineRule="auto"/>
        <w:keepLines/>
      </w:pPr>
      <w:r>
        <w:rPr>
          <w:rFonts w:ascii="Arial" w:hAnsi="Arial"/>
          <w:sz w:val="19"/>
        </w:rPr>
        <w:t>Esta actividad transforma los requerimientos validados y la arquitectura de la actividad 1.1.4 en un modelo de datos lógico para PostgreSQL. El alcance comprende el dominio de usuarios, organizaciones, oportunidades, geolocalización, inscripciones, donaciones materiales, reputación y notificaciones.</w:t>
      </w:r>
    </w:p>
    <w:p>
      <w:pPr>
        <w:spacing w:before="0" w:after="100" w:line="252" w:lineRule="auto"/>
        <w:keepLines/>
      </w:pPr>
      <w:r>
        <w:rPr>
          <w:rFonts w:ascii="Arial" w:hAnsi="Arial"/>
          <w:sz w:val="19"/>
        </w:rPr>
        <w:t>El modelo todavía no constituye una migración SQL definitiva. Establece la estructura estable sobre la cual se implementarán las tablas, repositorios y servicios del backend durante los incrementos funcionales.</w:t>
      </w:r>
    </w:p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2. Criterios de diseño</w:t>
      </w:r>
    </w:p>
    <w:tbl>
      <w:tblPr>
        <w:tblW w:type="dxa" w:w="10040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</w:tblPr>
      <w:tblGrid>
        <w:gridCol w:w="1900"/>
        <w:gridCol w:w="814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8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Aplicación al proyecto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Trazabilidad</w:t>
            </w:r>
          </w:p>
        </w:tc>
        <w:tc>
          <w:tcPr>
            <w:tcW w:type="dxa" w:w="8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Cada entidad responde a uno o más requerimientos funcionales validados.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Normalización</w:t>
            </w:r>
          </w:p>
        </w:tc>
        <w:tc>
          <w:tcPr>
            <w:tcW w:type="dxa" w:w="8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El modelo se aproxima a tercera forma normal y utiliza catálogos compartidos para evitar duplicación.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Integridad</w:t>
            </w:r>
          </w:p>
        </w:tc>
        <w:tc>
          <w:tcPr>
            <w:tcW w:type="dxa" w:w="8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Las PK, FK, restricciones únicas y validaciones de estado preservan la coherencia.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Privacidad</w:t>
            </w:r>
          </w:p>
        </w:tc>
        <w:tc>
          <w:tcPr>
            <w:tcW w:type="dxa" w:w="8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No se persiste la ubicación en tiempo real; solo ubicaciones funcionales o aproximadas con consentimiento.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Consistencia</w:t>
            </w:r>
          </w:p>
        </w:tc>
        <w:tc>
          <w:tcPr>
            <w:tcW w:type="dxa" w:w="8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Las operaciones que afectan cupos, inscripciones e historial de estados se ejecutan mediante transacciones ACID.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Simplicidad del MVP</w:t>
            </w:r>
          </w:p>
        </w:tc>
        <w:tc>
          <w:tcPr>
            <w:tcW w:type="dxa" w:w="8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Recomendaciones y estadísticas se calculan bajo demanda y no se duplican en tablas resumen.</w:t>
            </w:r>
          </w:p>
        </w:tc>
      </w:tr>
    </w:tbl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3. Clasificación de entidades</w:t>
      </w:r>
    </w:p>
    <w:tbl>
      <w:tblPr>
        <w:tblW w:type="dxa" w:w="10040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</w:tblPr>
      <w:tblGrid>
        <w:gridCol w:w="1500"/>
        <w:gridCol w:w="5200"/>
        <w:gridCol w:w="334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5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Elementos</w:t>
            </w:r>
          </w:p>
        </w:tc>
        <w:tc>
          <w:tcPr>
            <w:tcW w:type="dxa" w:w="33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Criterio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Núcleo</w:t>
            </w:r>
          </w:p>
        </w:tc>
        <w:tc>
          <w:tcPr>
            <w:tcW w:type="dxa" w:w="5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Usuario; PerfilVoluntario; Organización; Oportunidad; Inscripción; Donación; Calificación; Notificación</w:t>
            </w:r>
          </w:p>
        </w:tc>
        <w:tc>
          <w:tcPr>
            <w:tcW w:type="dxa" w:w="33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Representan actores y operaciones principales.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Apoyo</w:t>
            </w:r>
          </w:p>
        </w:tc>
        <w:tc>
          <w:tcPr>
            <w:tcW w:type="dxa" w:w="5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Ubicación; TipoActividad; CategoríaDonación; TokenDispositivo; HistorialEstadoDonación</w:t>
            </w:r>
          </w:p>
        </w:tc>
        <w:tc>
          <w:tcPr>
            <w:tcW w:type="dxa" w:w="33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Normalizan datos compartidos y conservan trazabilidad.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Asociativas</w:t>
            </w:r>
          </w:p>
        </w:tc>
        <w:tc>
          <w:tcPr>
            <w:tcW w:type="dxa" w:w="5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VoluntarioInterés; OrganizaciónTipoActividad</w:t>
            </w:r>
          </w:p>
        </w:tc>
        <w:tc>
          <w:tcPr>
            <w:tcW w:type="dxa" w:w="33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Resuelven relaciones muchos-a-muchos.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Calculadas</w:t>
            </w:r>
          </w:p>
        </w:tc>
        <w:tc>
          <w:tcPr>
            <w:tcW w:type="dxa" w:w="5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Recomendaciones; estadísticas; cupo disponible</w:t>
            </w:r>
          </w:p>
        </w:tc>
        <w:tc>
          <w:tcPr>
            <w:tcW w:type="dxa" w:w="33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 obtienen de datos vigentes y no se persisten inicialmente.</w:t>
            </w:r>
          </w:p>
        </w:tc>
      </w:tr>
    </w:tbl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4. Modelo conceptual del dominio</w:t>
      </w:r>
    </w:p>
    <w:p>
      <w:pPr>
        <w:spacing w:before="0" w:after="100" w:line="252" w:lineRule="auto"/>
        <w:keepLines/>
      </w:pPr>
      <w:r>
        <w:rPr>
          <w:rFonts w:ascii="Arial" w:hAnsi="Arial"/>
          <w:sz w:val="19"/>
        </w:rPr>
        <w:t>La separación entre Usuario, PerfilVoluntario y Organización permite concentrar credenciales y autorización en una única identidad, sin mezclar los atributos específicos de cada rol. Inscripción, Donación y Calificación conservan la trazabilidad de las interacciones entre ambas partes.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270664"/>
            <wp:docPr id="1" name="Picture 1" descr="Diagrama del dominio principal con Usuario, PerfilVoluntario, Organización, Oportunidad, Inscripción, Donación y Calific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ominio_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70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40" w:lineRule="auto"/>
        <w:jc w:val="center"/>
        <w:keepLines/>
      </w:pPr>
      <w:r>
        <w:rPr>
          <w:rFonts w:ascii="Arial" w:hAnsi="Arial"/>
          <w:i/>
          <w:color w:val="6B7280"/>
          <w:sz w:val="17"/>
        </w:rPr>
        <w:t>Figura 1. Modelo conceptual de las entidades principales y sus cardinalidades.</w:t>
      </w:r>
    </w:p>
    <w:p>
      <w:r>
        <w:br w:type="page"/>
      </w:r>
    </w:p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5. Diccionario de entidades y atributos</w:t>
      </w:r>
    </w:p>
    <w:p>
      <w:pPr>
        <w:pStyle w:val="Heading2"/>
        <w:spacing w:before="160" w:after="80" w:line="240" w:lineRule="auto"/>
        <w:keepNext/>
      </w:pPr>
      <w:r>
        <w:rPr>
          <w:rFonts w:ascii="Arial" w:hAnsi="Arial"/>
          <w:b/>
          <w:color w:val="1E2761"/>
          <w:sz w:val="23"/>
        </w:rPr>
        <w:t>5.1. Identidad, perfiles y clasificación</w:t>
      </w:r>
    </w:p>
    <w:tbl>
      <w:tblPr>
        <w:tblW w:type="dxa" w:w="10040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</w:tblPr>
      <w:tblGrid>
        <w:gridCol w:w="1600"/>
        <w:gridCol w:w="1900"/>
        <w:gridCol w:w="3300"/>
        <w:gridCol w:w="324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Entidad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Clave primaria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Atributos principales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Restricciones y criterio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Usuario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id_usuario UUID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email; password_hash; rol; estado_cuenta; creado_en; actualizado_en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email único; rol VOLUNTARIO u ORGANIZACION. La contraseña nunca se guarda en texto plano.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PerfilVoluntario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id_usuario UUID (PK/FK)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id_ubicacion; nombre; apellido; teléfono; biografía; consentimiento_ubicacion_en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Solo existe para un Usuario con rol VOLUNTARIO. Ubicación y datos opcionales pueden omitirse.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Organización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id_organizacion UUID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id_usuario; id_ubicacion; nombre; CUIT; descripción; estado_verificacion; verificada_en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id_usuario y CUIT únicos. Estado: PENDIENTE, VERIFICADA o RECHAZADA.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Ubicación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id_ubicacion UUID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dirección_referencia; localidad; provincia; latitud; longitud; es_aproximada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Latitud entre -90 y 90; longitud entre -180 y 180. No representa seguimiento en tiempo real.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TipoActividad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id_tipo_actividad SMALLINT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nombre; descripción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nombre único. Catálogo compartido por intereses, organizaciones y oportunidades.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VoluntarioInterés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id_voluntario + id_tipo_actividad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Dos FK que forman la PK compuesta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Impide repetir un mismo interés para el voluntario.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OrganizaciónTipoActividad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id_organizacion + id_tipo_actividad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Dos FK que forman la PK compuesta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Permite filtrar organizaciones por una o varias áreas de actividad.</w:t>
            </w:r>
          </w:p>
        </w:tc>
      </w:tr>
    </w:tbl>
    <w:p>
      <w:pPr>
        <w:pStyle w:val="Heading2"/>
        <w:spacing w:before="160" w:after="80" w:line="240" w:lineRule="auto"/>
        <w:keepNext/>
      </w:pPr>
      <w:r>
        <w:rPr>
          <w:rFonts w:ascii="Arial" w:hAnsi="Arial"/>
          <w:b/>
          <w:color w:val="1E2761"/>
          <w:sz w:val="23"/>
        </w:rPr>
        <w:t>5.2. Oportunidades, inscripciones y reputación</w:t>
      </w:r>
    </w:p>
    <w:tbl>
      <w:tblPr>
        <w:tblW w:type="dxa" w:w="10040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</w:tblPr>
      <w:tblGrid>
        <w:gridCol w:w="1600"/>
        <w:gridCol w:w="1900"/>
        <w:gridCol w:w="3300"/>
        <w:gridCol w:w="324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Entidad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Clave primaria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Atributos principales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Restricciones y criterio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Oportunidad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id_oportunidad UUID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id_organizacion; id_ubicacion; id_tipo_actividad; título; descripción; fecha_inicio; fecha_fin; cupo_total; requisitos; urgencia; estado; marcas de tiempo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cupo_total &gt; 0; fecha_fin posterior a fecha_inicio; organización verificada para publicar.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Inscripción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id_inscripcion UUID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id_oportunidad; id_voluntario; estado; inscripta_en; respondida_en; actualizado_en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UNIQUE(id_oportunidad, id_voluntario). Aceptar requiere cupo disponible dentro de una transacción.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Calificación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id_calificacion UUID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id_inscripcion; id_autor; id_destinatario; puntuación; comentario; creada_en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Puntuación entre 1 y 5; autor distinto del destinatario; UNIQUE(id_inscripcion, id_autor).</w:t>
            </w:r>
          </w:p>
        </w:tc>
      </w:tr>
    </w:tbl>
    <w:p>
      <w:pPr>
        <w:pStyle w:val="Heading2"/>
        <w:spacing w:before="160" w:after="80" w:line="240" w:lineRule="auto"/>
        <w:keepNext/>
      </w:pPr>
      <w:r>
        <w:rPr>
          <w:rFonts w:ascii="Arial" w:hAnsi="Arial"/>
          <w:b/>
          <w:color w:val="1E2761"/>
          <w:sz w:val="23"/>
        </w:rPr>
        <w:t>5.3. Donaciones y notificaciones</w:t>
      </w:r>
    </w:p>
    <w:tbl>
      <w:tblPr>
        <w:tblW w:type="dxa" w:w="10040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</w:tblPr>
      <w:tblGrid>
        <w:gridCol w:w="1600"/>
        <w:gridCol w:w="1900"/>
        <w:gridCol w:w="3300"/>
        <w:gridCol w:w="324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Entidad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Clave primaria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Atributos principales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Restricciones y criterio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CategoríaDonación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id_categoria_donacion SMALLINT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nombre; descripción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nombre único. Catálogo de ropa, alimentos, muebles, insumos u otras categorías acordadas.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Donación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id_donacion UUID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id_voluntario; id_organizacion; id_ubicacion; id_categoria; descripción; cantidad; unidad; imagen_url; estado; marcas de tiempo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cantidad &gt; 0; imagen opcional; estado limitado a los cinco valores del RF-15.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HistorialEstadoDonación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id_historial UUID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id_donacion; cambiado_por; estado; observación; cambiado_en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Cada cambio de estado genera un registro; el alta inicial crea el estado PENDIENTE.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Notificación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id_notificacion UUID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id_usuario; tipo; título; mensaje; leida_en; creada_en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leida_en nulo indica pendiente de lectura. Conserva el mensaje mostrado al usuario.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TokenDispositivo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id_token_dispositivo UUID</w:t>
            </w:r>
          </w:p>
        </w:tc>
        <w:tc>
          <w:tcPr>
            <w:tcW w:type="dxa" w:w="3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id_usuario; token; plataforma; activo; registrado_en; actualizado_en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token FCM único. No corresponde al JWT de autenticación.</w:t>
            </w:r>
          </w:p>
        </w:tc>
      </w:tr>
    </w:tbl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6. Relaciones y cardinalidades</w:t>
      </w:r>
    </w:p>
    <w:tbl>
      <w:tblPr>
        <w:tblW w:type="dxa" w:w="10040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</w:tblPr>
      <w:tblGrid>
        <w:gridCol w:w="3150"/>
        <w:gridCol w:w="1500"/>
        <w:gridCol w:w="5390"/>
      </w:tblGrid>
      <w:tr>
        <w:trPr>
          <w:cantSplit/>
          <w:tblHeader w:val="true"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Relación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Cardinalidad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Interpretación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Usuario – PerfilVoluntario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1 : 0..1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Existe solo cuando el rol es VOLUNTARIO.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Usuario – Organización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1 : 0..1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Existe solo cuando el rol es ORGANIZACION.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Voluntario – TipoActividad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N : M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 resuelve mediante VoluntarioInterés.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Organización – TipoActividad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N : M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 resuelve mediante OrganizaciónTipoActividad.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Organización – Oportunidad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1 : 0..N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Cada oportunidad pertenece a una organización.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Voluntario – Oportunidad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N : M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 resuelve mediante Inscripción.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Inscripción – Calificación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1 : 0..2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Como máximo una evaluación de cada parte.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Voluntario – Donación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1 : 0..N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El voluntario actúa como donante.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Organización – Donación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1 : 0..N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La organización actúa como destinataria.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Donación – Historial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1 : 1..N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El primer registro representa el estado PENDIENTE.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Usuario – Notificación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1 : 0..N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Una cuenta puede recibir múltiples eventos.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Usuario – TokenDispositivo</w:t>
            </w:r>
          </w:p>
        </w:tc>
        <w:tc>
          <w:tcPr>
            <w:tcW w:type="dxa" w:w="15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1 : 0..N</w:t>
            </w:r>
          </w:p>
        </w:tc>
        <w:tc>
          <w:tcPr>
            <w:tcW w:type="dxa" w:w="53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Permite más de un dispositivo y desactivar tokens vencidos.</w:t>
            </w:r>
          </w:p>
        </w:tc>
      </w:tr>
    </w:tbl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7. Estados y transiciones válidas</w:t>
      </w:r>
    </w:p>
    <w:tbl>
      <w:tblPr>
        <w:tblW w:type="dxa" w:w="10040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</w:tblPr>
      <w:tblGrid>
        <w:gridCol w:w="2200"/>
        <w:gridCol w:w="4700"/>
        <w:gridCol w:w="314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Proceso</w:t>
            </w:r>
          </w:p>
        </w:tc>
        <w:tc>
          <w:tcPr>
            <w:tcW w:type="dxa" w:w="4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Transiciones</w:t>
            </w:r>
          </w:p>
        </w:tc>
        <w:tc>
          <w:tcPr>
            <w:tcW w:type="dxa" w:w="3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Regla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Verificación de organización</w:t>
            </w:r>
          </w:p>
        </w:tc>
        <w:tc>
          <w:tcPr>
            <w:tcW w:type="dxa" w:w="4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PENDIENTE → VERIFICADA o RECHAZADA; RECHAZADA → PENDIENTE</w:t>
            </w:r>
          </w:p>
        </w:tc>
        <w:tc>
          <w:tcPr>
            <w:tcW w:type="dxa" w:w="3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La reapertura permite corregir datos y volver a validar.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Oportunidad</w:t>
            </w:r>
          </w:p>
        </w:tc>
        <w:tc>
          <w:tcPr>
            <w:tcW w:type="dxa" w:w="4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BORRADOR → PUBLICADA → CERRADA o FINALIZADA; PUBLICADA → CANCELADA</w:t>
            </w:r>
          </w:p>
        </w:tc>
        <w:tc>
          <w:tcPr>
            <w:tcW w:type="dxa" w:w="3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Solo las publicadas aparecen en búsqueda y mapa.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Inscripción</w:t>
            </w:r>
          </w:p>
        </w:tc>
        <w:tc>
          <w:tcPr>
            <w:tcW w:type="dxa" w:w="4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PENDIENTE → ACEPTADA, RECHAZADA o CANCELADA; ACEPTADA → COMPLETADA, AUSENTE o CANCELADA</w:t>
            </w:r>
          </w:p>
        </w:tc>
        <w:tc>
          <w:tcPr>
            <w:tcW w:type="dxa" w:w="3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COMPLETADA habilita la reputación bidireccional.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Donación</w:t>
            </w:r>
          </w:p>
        </w:tc>
        <w:tc>
          <w:tcPr>
            <w:tcW w:type="dxa" w:w="4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PENDIENTE → ACEPTADA o RECHAZADA; ACEPTADA → COORDINADA; COORDINADA → RECIBIDA</w:t>
            </w:r>
          </w:p>
        </w:tc>
        <w:tc>
          <w:tcPr>
            <w:tcW w:type="dxa" w:w="3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Reproduce exactamente la progresión funcional del RF-15.</w:t>
            </w:r>
          </w:p>
        </w:tc>
      </w:tr>
    </w:tbl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8. Reglas de integridad y transacciones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El perfil asociado debe coincidir con el rol del Usuario. No puede existir simultáneamente un PerfilVoluntario y una Organización para la misma cuenta.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La publicación se autoriza únicamente a una organización con verificación vigente.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El cupo disponible se calcula como cupo_total menos inscripciones ACEPTADAS; no se almacena como columna duplicada.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La aceptación de una inscripción bloquea la oportunidad, verifica el cupo y actualiza el estado dentro de una única transacción ACID.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Una calificación requiere una inscripción COMPLETADA y las partes deben ser el voluntario y la organización vinculados con esa oportunidad.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Cada modificación de una donación actualiza su estado y agrega el historial correspondiente dentro de la misma transacción.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Las eliminaciones lógicas o cambios de estado preservan historial; no se eliminan participaciones o donaciones con trazabilidad asociada.</w:t>
      </w:r>
    </w:p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9. Entidades de apoyo y datos calculados</w:t>
      </w:r>
    </w:p>
    <w:p>
      <w:pPr>
        <w:spacing w:before="0" w:after="100" w:line="252" w:lineRule="auto"/>
        <w:keepLines/>
      </w:pPr>
      <w:r>
        <w:rPr>
          <w:rFonts w:ascii="Arial" w:hAnsi="Arial"/>
          <w:sz w:val="19"/>
        </w:rPr>
        <w:t>TipoActividad, Ubicación y CategoríaDonación normalizan datos reutilizados por varios módulos. HistorialEstadoDonación aporta auditoría básica y TokenDispositivo mantiene la integración con Firebase Cloud Messaging.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128308"/>
            <wp:docPr id="2" name="Picture 2" descr="Entidades de apoyo: tipo de actividad, ubicación, categoría de donación, historial, notificación y token de dispositivo; recomendaciones y estadísticas se calcul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atos_apoy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2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40" w:lineRule="auto"/>
        <w:jc w:val="center"/>
        <w:keepLines/>
      </w:pPr>
      <w:r>
        <w:rPr>
          <w:rFonts w:ascii="Arial" w:hAnsi="Arial"/>
          <w:i/>
          <w:color w:val="6B7280"/>
          <w:sz w:val="17"/>
        </w:rPr>
        <w:t>Figura 2. Entidades de apoyo y resultados derivados que no se persisten en el MVP.</w:t>
      </w:r>
    </w:p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10. Índices y criterios para PostgreSQL</w:t>
      </w:r>
    </w:p>
    <w:tbl>
      <w:tblPr>
        <w:tblW w:type="dxa" w:w="10040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</w:tblPr>
      <w:tblGrid>
        <w:gridCol w:w="1800"/>
        <w:gridCol w:w="4750"/>
        <w:gridCol w:w="349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Tabla</w:t>
            </w:r>
          </w:p>
        </w:tc>
        <w:tc>
          <w:tcPr>
            <w:tcW w:type="dxa" w:w="4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Índice propuesto</w:t>
            </w:r>
          </w:p>
        </w:tc>
        <w:tc>
          <w:tcPr>
            <w:tcW w:type="dxa" w:w="34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Finalidad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Usuario</w:t>
            </w:r>
          </w:p>
        </w:tc>
        <w:tc>
          <w:tcPr>
            <w:tcW w:type="dxa" w:w="4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UNIQUE(email)</w:t>
            </w:r>
          </w:p>
        </w:tc>
        <w:tc>
          <w:tcPr>
            <w:tcW w:type="dxa" w:w="34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Registro e inicio de sesión.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Organización</w:t>
            </w:r>
          </w:p>
        </w:tc>
        <w:tc>
          <w:tcPr>
            <w:tcW w:type="dxa" w:w="4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UNIQUE(CUIT); INDEX(nombre, estado_verificacion)</w:t>
            </w:r>
          </w:p>
        </w:tc>
        <w:tc>
          <w:tcPr>
            <w:tcW w:type="dxa" w:w="34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Verificación y filtro por nombre.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Oportunidad</w:t>
            </w:r>
          </w:p>
        </w:tc>
        <w:tc>
          <w:tcPr>
            <w:tcW w:type="dxa" w:w="4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INDEX(estado, fecha_inicio); INDEX(id_tipo_actividad); INDEX(id_organizacion)</w:t>
            </w:r>
          </w:p>
        </w:tc>
        <w:tc>
          <w:tcPr>
            <w:tcW w:type="dxa" w:w="34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Listado, filtros y gestión por organización.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Inscripción</w:t>
            </w:r>
          </w:p>
        </w:tc>
        <w:tc>
          <w:tcPr>
            <w:tcW w:type="dxa" w:w="4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UNIQUE(id_oportunidad, id_voluntario); INDEX(id_voluntario, estado)</w:t>
            </w:r>
          </w:p>
        </w:tc>
        <w:tc>
          <w:tcPr>
            <w:tcW w:type="dxa" w:w="34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Evitar duplicados e historial personal.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Donación</w:t>
            </w:r>
          </w:p>
        </w:tc>
        <w:tc>
          <w:tcPr>
            <w:tcW w:type="dxa" w:w="4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INDEX(id_organizacion, estado); INDEX(id_voluntario, creada_en)</w:t>
            </w:r>
          </w:p>
        </w:tc>
        <w:tc>
          <w:tcPr>
            <w:tcW w:type="dxa" w:w="34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Bandeja de organización e historial del donante.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Notificación</w:t>
            </w:r>
          </w:p>
        </w:tc>
        <w:tc>
          <w:tcPr>
            <w:tcW w:type="dxa" w:w="47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INDEX(id_usuario, leida_en, creada_en)</w:t>
            </w:r>
          </w:p>
        </w:tc>
        <w:tc>
          <w:tcPr>
            <w:tcW w:type="dxa" w:w="34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Lectura de notificaciones pendientes.</w:t>
            </w:r>
          </w:p>
        </w:tc>
      </w:tr>
    </w:tbl>
    <w:p>
      <w:pPr>
        <w:spacing w:before="0" w:after="100" w:line="252" w:lineRule="auto"/>
        <w:keepLines/>
      </w:pPr>
      <w:r>
        <w:rPr>
          <w:rFonts w:ascii="Arial" w:hAnsi="Arial"/>
          <w:sz w:val="19"/>
        </w:rPr>
        <w:t>Las búsquedas geográficas iniciales pueden combinar provincia, localidad y coordenadas. La incorporación de PostGIS queda fuera del MVP y solo se evaluará si las pruebas muestran que la estrategia básica no satisface el rendimiento esperado.</w:t>
      </w:r>
    </w:p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11. Trazabilidad con los requerimientos</w:t>
      </w:r>
    </w:p>
    <w:tbl>
      <w:tblPr>
        <w:tblW w:type="dxa" w:w="10040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</w:tblPr>
      <w:tblGrid>
        <w:gridCol w:w="1700"/>
        <w:gridCol w:w="4100"/>
        <w:gridCol w:w="424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Requerimientos</w:t>
            </w:r>
          </w:p>
        </w:tc>
        <w:tc>
          <w:tcPr>
            <w:tcW w:type="dxa" w:w="4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Entidades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E2761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Cobertura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RF-01 a RF-03</w:t>
            </w:r>
          </w:p>
        </w:tc>
        <w:tc>
          <w:tcPr>
            <w:tcW w:type="dxa" w:w="4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Usuario; PerfilVoluntario; Organización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Registro, roles, CUIT y verificación.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RF-04 a RF-06</w:t>
            </w:r>
          </w:p>
        </w:tc>
        <w:tc>
          <w:tcPr>
            <w:tcW w:type="dxa" w:w="4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Oportunidad; Ubicación; TipoActividad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Publicación, mapa y filtros.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RF-07 y RF-08</w:t>
            </w:r>
          </w:p>
        </w:tc>
        <w:tc>
          <w:tcPr>
            <w:tcW w:type="dxa" w:w="4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Inscripción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Alta, gestión y seguimiento de participantes.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RF-09</w:t>
            </w:r>
          </w:p>
        </w:tc>
        <w:tc>
          <w:tcPr>
            <w:tcW w:type="dxa" w:w="4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VoluntarioInterés; TipoActividad; Ubicación; Inscripción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Insumos del motor de reglas.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RF-10</w:t>
            </w:r>
          </w:p>
        </w:tc>
        <w:tc>
          <w:tcPr>
            <w:tcW w:type="dxa" w:w="4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Calificación; Inscripción; Usuario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Reputación bidireccional validada por participación.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RF-11</w:t>
            </w:r>
          </w:p>
        </w:tc>
        <w:tc>
          <w:tcPr>
            <w:tcW w:type="dxa" w:w="4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Notificación; TokenDispositivo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Persistencia del evento y entrega push.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RF-12</w:t>
            </w:r>
          </w:p>
        </w:tc>
        <w:tc>
          <w:tcPr>
            <w:tcW w:type="dxa" w:w="4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Inscripción; Oportunidad; Donación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Estadísticas calculadas desde datos operativos.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RF-13 a RF-15</w:t>
            </w:r>
          </w:p>
        </w:tc>
        <w:tc>
          <w:tcPr>
            <w:tcW w:type="dxa" w:w="4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Donación; CategoríaDonación; HistorialEstadoDonación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DF7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Oferta, clasificación y estados de donación.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RF-16</w:t>
            </w:r>
          </w:p>
        </w:tc>
        <w:tc>
          <w:tcPr>
            <w:tcW w:type="dxa" w:w="4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Organización; OrganizaciónTipoActividad; Ubicación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5"/>
              </w:rPr>
              <w:t>Filtro por nombre, actividad y ubicación aproximada.</w:t>
            </w:r>
          </w:p>
        </w:tc>
      </w:tr>
    </w:tbl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12. Decisiones adoptadas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Se utiliza UUID para las claves principales y timestamptz para registrar fechas con referencia temporal consistente.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El CUIT se almacena como CHAR(11), debido a que es un identificador y no un valor para operaciones matemáticas.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La imagen de una donación se representa mediante una URL o referencia de almacenamiento; no se guarda el archivo binario dentro de PostgreSQL.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El JWT de sesión permanece sin estado en el MVP. TokenDispositivo conserva únicamente el token requerido por Firebase Cloud Messaging.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Recomendaciones y estadísticas se implementan como consultas o servicios, evitando tablas que puedan quedar desactualizadas.</w:t>
      </w:r>
    </w:p>
    <w:p>
      <w:pPr>
        <w:pStyle w:val="ListParagraph"/>
        <w:numPr>
          <w:ilvl w:val="0"/>
          <w:numId w:val="1"/>
        </w:numPr>
        <w:spacing w:before="0" w:after="40" w:line="240" w:lineRule="auto"/>
        <w:keepLines/>
      </w:pPr>
      <w:r>
        <w:rPr>
          <w:rFonts w:ascii="Arial" w:hAnsi="Arial"/>
          <w:sz w:val="18"/>
        </w:rPr>
        <w:t>El modelo lógico se mantiene independiente del ORM o biblioteca de acceso a datos que se seleccione durante la implementación.</w:t>
      </w:r>
    </w:p>
    <w:p>
      <w:pPr>
        <w:pStyle w:val="Heading1"/>
        <w:spacing w:before="240" w:after="120" w:line="240" w:lineRule="auto"/>
        <w:keepNext/>
      </w:pPr>
      <w:r>
        <w:rPr>
          <w:rFonts w:ascii="Arial" w:hAnsi="Arial"/>
          <w:b/>
          <w:color w:val="1E2761"/>
          <w:sz w:val="30"/>
        </w:rPr>
        <w:t>13. Productos de la actividad y próximos pasos</w:t>
      </w:r>
    </w:p>
    <w:p>
      <w:pPr>
        <w:spacing w:before="0" w:after="100" w:line="252" w:lineRule="auto"/>
        <w:keepLines/>
      </w:pPr>
      <w:r>
        <w:rPr>
          <w:rFonts w:ascii="Arial" w:hAnsi="Arial"/>
          <w:sz w:val="19"/>
        </w:rPr>
        <w:t>La actividad produce el modelo conceptual del dominio, el diagrama entidad-relación editable, el diagrama de clases del dominio, el diccionario de entidades, las cardinalidades, las restricciones de integridad y los estados válidos.</w:t>
      </w:r>
    </w:p>
    <w:p>
      <w:pPr>
        <w:spacing w:before="0" w:after="100" w:line="252" w:lineRule="auto"/>
        <w:keepLines/>
      </w:pPr>
      <w:r>
        <w:rPr>
          <w:rFonts w:ascii="Arial" w:hAnsi="Arial"/>
          <w:sz w:val="19"/>
        </w:rPr>
        <w:t>Estos resultados sirven como entrada directa para la actividad 1.1.6, diseño de interfaces y flujos principales, y para la posterior implementación de migraciones, repositorios y servicios del Incremento 1.</w:t>
      </w:r>
    </w:p>
    <w:tbl>
      <w:tblPr>
        <w:tblW w:type="dxa" w:w="10040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9BC3AA"/>
          <w:left w:val="single" w:sz="5" w:space="0" w:color="9BC3AA"/>
          <w:bottom w:val="single" w:sz="5" w:space="0" w:color="9BC3AA"/>
          <w:right w:val="single" w:sz="5" w:space="0" w:color="9BC3AA"/>
          <w:insideH w:val="single" w:sz="5" w:space="0" w:color="9BC3AA"/>
          <w:insideV w:val="single" w:sz="5" w:space="0" w:color="9BC3AA"/>
        </w:tblBorders>
      </w:tblPr>
      <w:tblGrid>
        <w:gridCol w:w="10040"/>
      </w:tblGrid>
      <w:tr>
        <w:tc>
          <w:tcPr>
            <w:tcW w:type="dxa" w:w="10040"/>
            <w:shd w:fill="E9F5ED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color w:val="27734B"/>
                <w:sz w:val="18"/>
              </w:rPr>
              <w:t>✓ Criterio de cierre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/>
                <w:sz w:val="18"/>
              </w:rPr>
              <w:t>El modelado queda cerrado cuando las entidades cubren RF-01 a RF-16, las relaciones no presentan ambigüedades y las reglas críticas pueden implementarse mediante restricciones o transacciones en PostgreSQL.</w:t>
            </w:r>
          </w:p>
        </w:tc>
      </w:tr>
    </w:tbl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Jonas, Andrés . Mora, Nicolas</dc:creator>
  <cp:lastModifiedBy>Un-named</cp:lastModifiedBy>
  <cp:revision>1</cp:revision>
  <dcterms:created xsi:type="dcterms:W3CDTF">2026-07-31T12:00:09.909Z</dcterms:created>
  <dcterms:modified xsi:type="dcterms:W3CDTF">2026-07-31T12:00:09.926Z</dcterms:modified>
  <dc:title>Actividad 1.1.5 - Modelado de datos y entidades principales</dc:title>
  <dc:subject>Proyecto Final de Carrera - Voluntariado geolocalizado</dc:subject>
  <cp:keywords>arquitectura, voluntariado, React Native, Node.js, PostgreSQL, OpenStreetMap, Firebase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