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rial" w:hAnsi="Arial"/>
          <w:b/>
          <w:color w:val="C65911"/>
          <w:sz w:val="22"/>
        </w:rPr>
        <w:t>MODELO DE CASOS DE USO · INCREMENTO 1</w:t>
      </w:r>
    </w:p>
    <w:p>
      <w:pPr>
        <w:pStyle w:val="DocTitle"/>
      </w:pPr>
      <w:r>
        <w:rPr>
          <w:rFonts w:ascii="Arial" w:hAnsi="Arial"/>
        </w:rPr>
        <w:t>Diagrama de casos de uso</w:t>
      </w:r>
    </w:p>
    <w:p>
      <w:pPr>
        <w:spacing w:after="60"/>
      </w:pPr>
      <w:r>
        <w:rPr>
          <w:rFonts w:ascii="Arial" w:hAnsi="Arial"/>
          <w:color w:val="646464"/>
          <w:sz w:val="20"/>
        </w:rPr>
        <w:t>Documento técnico · Proyecto Final de Carrera — Aplicación móvil de voluntariado geolocalizado</w:t>
      </w:r>
    </w:p>
    <w:p>
      <w:pPr>
        <w:spacing w:after="20"/>
      </w:pPr>
      <w:r>
        <w:rPr>
          <w:rFonts w:ascii="Arial" w:hAnsi="Arial"/>
          <w:b/>
          <w:sz w:val="18"/>
        </w:rPr>
        <w:t xml:space="preserve">Insumos: </w:t>
      </w:r>
      <w:r>
        <w:rPr>
          <w:rFonts w:ascii="Arial" w:hAnsi="Arial"/>
          <w:sz w:val="18"/>
        </w:rPr>
        <w:t>RF-01 a RF-16 · Arquitectura 1.1.4 · Modelo de datos 1.1.5</w:t>
      </w:r>
      <w:r>
        <w:rPr>
          <w:rFonts w:ascii="Arial" w:hAnsi="Arial"/>
          <w:sz w:val="18"/>
        </w:rPr>
        <w:t xml:space="preserve">   ·   </w:t>
      </w:r>
      <w:r>
        <w:rPr>
          <w:rFonts w:ascii="Arial" w:hAnsi="Arial"/>
          <w:b/>
          <w:sz w:val="18"/>
        </w:rPr>
        <w:t xml:space="preserve">Herramienta: </w:t>
      </w:r>
      <w:r>
        <w:rPr>
          <w:rFonts w:ascii="Arial" w:hAnsi="Arial"/>
          <w:sz w:val="18"/>
        </w:rPr>
        <w:t>Enterprise Architect</w:t>
      </w:r>
    </w:p>
    <w:p>
      <w:pPr>
        <w:spacing w:after="120"/>
      </w:pPr>
      <w:r>
        <w:rPr>
          <w:rFonts w:ascii="Arial" w:hAnsi="Arial"/>
          <w:b/>
          <w:sz w:val="18"/>
        </w:rPr>
        <w:t xml:space="preserve">Responsables: </w:t>
      </w:r>
      <w:r>
        <w:rPr>
          <w:rFonts w:ascii="Arial" w:hAnsi="Arial"/>
          <w:sz w:val="18"/>
        </w:rPr>
        <w:t>Jonas, Andrés · Mora, Nicolás</w:t>
      </w:r>
    </w:p>
    <w:tbl>
      <w:tblPr>
        <w:tblW w:type="auto" w:w="0"/>
        <w:jc w:val="center"/>
        <w:tblLayout w:type="autofit"/>
        <w:tblLook w:firstColumn="1" w:firstRow="1" w:lastColumn="0" w:lastRow="0" w:noHBand="0" w:noVBand="1" w:val="04A0"/>
      </w:tblPr>
      <w:tblGrid>
        <w:gridCol w:w="10512"/>
      </w:tblGrid>
      <w:tr>
        <w:tc>
          <w:tcPr>
            <w:tcW w:type="dxa" w:w="10512"/>
            <w:shd w:fill="E2F0D9"/>
            <w:tcBorders>
              <w:top w:val="single" w:sz="6" w:color="A9D18E"/>
              <w:left w:val="single" w:sz="6" w:color="A9D18E"/>
              <w:bottom w:val="single" w:sz="6" w:color="A9D18E"/>
              <w:right w:val="single" w:sz="6" w:color="A9D18E"/>
              <w:insideH w:val="single" w:sz="6" w:color="A9D18E"/>
              <w:insideV w:val="single" w:sz="6" w:color="A9D18E"/>
            </w:tcBorders>
            <w:tcMar>
              <w:top w:w="80" w:type="dxa"/>
              <w:start w:w="100" w:type="dxa"/>
              <w:bottom w:w="80" w:type="dxa"/>
              <w:end w:w="100" w:type="dxa"/>
            </w:tcMar>
          </w:tcPr>
          <w:p>
            <w:pPr>
              <w:spacing w:after="40"/>
            </w:pPr>
            <w:r>
              <w:rPr>
                <w:b/>
                <w:color w:val="548235"/>
                <w:sz w:val="19"/>
              </w:rPr>
              <w:t>✓ Resultado del modelado funcional</w:t>
            </w:r>
          </w:p>
          <w:p>
            <w:pPr>
              <w:spacing w:after="0"/>
            </w:pPr>
            <w:r>
              <w:rPr>
                <w:sz w:val="18"/>
              </w:rPr>
              <w:t>Se definieron cuatro actores y dieciséis casos de uso principales, agrupando las operaciones CRUD dentro de casos de gestión para evitar una atomización innecesaria. El modelo contempla el rol ADMIN, las reglas críticas de inscripciones, calificaciones, donaciones, geolocalización y estadísticas, y utiliza relaciones UML solo cuando aportan significado.</w:t>
            </w:r>
          </w:p>
        </w:tc>
      </w:tr>
    </w:tbl>
    <w:p>
      <w:pPr>
        <w:spacing w:after="0"/>
      </w:pPr>
    </w:p>
    <w:p>
      <w:pPr>
        <w:pStyle w:val="H1Custom"/>
      </w:pPr>
      <w:r>
        <w:rPr>
          <w:rFonts w:ascii="Arial" w:hAnsi="Arial"/>
        </w:rPr>
        <w:t>1. Propósito y alcance</w:t>
      </w:r>
    </w:p>
    <w:p>
      <w:r>
        <w:rPr>
          <w:rFonts w:ascii="Arial" w:hAnsi="Arial"/>
          <w:sz w:val="18"/>
        </w:rPr>
        <w:t>El modelo de casos de uso describe cómo interactúan los distintos actores con la aplicación y qué objetivos funcionales ofrece el sistema. Su finalidad es transformar los requerimientos funcionales y las decisiones de arquitectura y datos en una vista comprensible del comportamiento esperado, antes de redactar las fichas detalladas y avanzar con la implementación.</w:t>
      </w:r>
    </w:p>
    <w:p>
      <w:r>
        <w:rPr>
          <w:rFonts w:ascii="Arial" w:hAnsi="Arial"/>
          <w:sz w:val="18"/>
        </w:rPr>
        <w:t>Enterprise Architect constituye la fuente editable del diagrama. Este documento resume los actores, los casos de uso, sus relaciones y las reglas de negocio que condicionan los flujos. No reemplaza las fichas individuales: los flujos principal, alternativos, precondiciones, postcondiciones y excepciones se documentarán allí con mayor detalle.</w:t>
      </w:r>
    </w:p>
    <w:p>
      <w:pPr>
        <w:pStyle w:val="H1Custom"/>
      </w:pPr>
      <w:r>
        <w:rPr>
          <w:rFonts w:ascii="Arial" w:hAnsi="Arial"/>
        </w:rPr>
        <w:t>2. Criterios de modelado</w:t>
      </w:r>
    </w:p>
    <w:tbl>
      <w:tblPr>
        <w:tblW w:type="auto" w:w="0"/>
        <w:jc w:val="center"/>
        <w:tblLayout w:type="fixed"/>
        <w:tblLook w:firstColumn="1" w:firstRow="1" w:lastColumn="0" w:lastRow="0" w:noHBand="0" w:noVBand="1" w:val="04A0"/>
      </w:tblPr>
      <w:tblGrid>
        <w:gridCol w:w="5256"/>
        <w:gridCol w:w="5256"/>
      </w:tblGrid>
      <w:tr>
        <w:trPr>
          <w:tblHeader w:val="true"/>
        </w:trPr>
        <w:tc>
          <w:tcPr>
            <w:tcW w:type="dxa" w:w="1800"/>
            <w:shd w:fill="203864"/>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center"/>
          </w:tcPr>
          <w:p>
            <w:pPr>
              <w:spacing w:after="0"/>
            </w:pPr>
            <w:r>
              <w:rPr>
                <w:rFonts w:ascii="Arial" w:hAnsi="Arial"/>
                <w:b/>
                <w:color w:val="FFFFFF"/>
                <w:sz w:val="16"/>
              </w:rPr>
              <w:t>Criterio</w:t>
            </w:r>
          </w:p>
        </w:tc>
        <w:tc>
          <w:tcPr>
            <w:tcW w:type="dxa" w:w="8568"/>
            <w:shd w:fill="203864"/>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center"/>
          </w:tcPr>
          <w:p>
            <w:pPr>
              <w:spacing w:after="0"/>
            </w:pPr>
            <w:r>
              <w:rPr>
                <w:rFonts w:ascii="Arial" w:hAnsi="Arial"/>
                <w:b/>
                <w:color w:val="FFFFFF"/>
                <w:sz w:val="16"/>
              </w:rPr>
              <w:t>Aplicación al proyecto</w:t>
            </w:r>
          </w:p>
        </w:tc>
      </w:tr>
      <w:tr>
        <w:tc>
          <w:tcPr>
            <w:tcW w:type="dxa" w:w="1800"/>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Granularidad</w:t>
            </w:r>
          </w:p>
        </w:tc>
        <w:tc>
          <w:tcPr>
            <w:tcW w:type="dxa" w:w="856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Crear, editar, cancelar, cerrar o consultar se agrupan bajo casos “Gestionar…” cuando forman parte de un mismo objetivo del actor.</w:t>
            </w:r>
          </w:p>
        </w:tc>
      </w:tr>
      <w:tr>
        <w:tc>
          <w:tcPr>
            <w:tcW w:type="dxa" w:w="1800"/>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Actores</w:t>
            </w:r>
          </w:p>
        </w:tc>
        <w:tc>
          <w:tcPr>
            <w:tcW w:type="dxa" w:w="8568"/>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Se distinguen Usuario no autenticado, Voluntario, Organización y Administrador. El Administrador es un rol funcional real, no una entidad separada.</w:t>
            </w:r>
          </w:p>
        </w:tc>
      </w:tr>
      <w:tr>
        <w:tc>
          <w:tcPr>
            <w:tcW w:type="dxa" w:w="1800"/>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Relaciones UML</w:t>
            </w:r>
          </w:p>
        </w:tc>
        <w:tc>
          <w:tcPr>
            <w:tcW w:type="dxa" w:w="856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Se priorizan asociaciones simples actor–caso de uso. &lt;&lt;include&gt;&gt; y &lt;&lt;extend&gt;&gt; se utilizan solo cuando expresan una dependencia funcional real.</w:t>
            </w:r>
          </w:p>
        </w:tc>
      </w:tr>
      <w:tr>
        <w:tc>
          <w:tcPr>
            <w:tcW w:type="dxa" w:w="1800"/>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Reglas de negocio</w:t>
            </w:r>
          </w:p>
        </w:tc>
        <w:tc>
          <w:tcPr>
            <w:tcW w:type="dxa" w:w="8568"/>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Los límites temporales, estados válidos y condiciones de habilitación se describen en las fichas; no se convierten en casos de uso independientes.</w:t>
            </w:r>
          </w:p>
        </w:tc>
      </w:tr>
      <w:tr>
        <w:tc>
          <w:tcPr>
            <w:tcW w:type="dxa" w:w="1800"/>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Trazabilidad</w:t>
            </w:r>
          </w:p>
        </w:tc>
        <w:tc>
          <w:tcPr>
            <w:tcW w:type="dxa" w:w="856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Los CU cubren RF-01 a RF-16 y además formalizan decisiones funcionales necesarias para administración y operación del sistema.</w:t>
            </w:r>
          </w:p>
        </w:tc>
      </w:tr>
    </w:tbl>
    <w:p>
      <w:pPr>
        <w:spacing w:after="0"/>
      </w:pPr>
    </w:p>
    <w:p>
      <w:pPr>
        <w:pStyle w:val="H1Custom"/>
      </w:pPr>
      <w:r>
        <w:rPr>
          <w:rFonts w:ascii="Arial" w:hAnsi="Arial"/>
        </w:rPr>
        <w:t>3. Actores del sistema</w:t>
      </w:r>
    </w:p>
    <w:tbl>
      <w:tblPr>
        <w:tblW w:type="auto" w:w="0"/>
        <w:jc w:val="center"/>
        <w:tblLayout w:type="fixed"/>
        <w:tblLook w:firstColumn="1" w:firstRow="1" w:lastColumn="0" w:lastRow="0" w:noHBand="0" w:noVBand="1" w:val="04A0"/>
      </w:tblPr>
      <w:tblGrid>
        <w:gridCol w:w="3504"/>
        <w:gridCol w:w="3504"/>
        <w:gridCol w:w="3504"/>
      </w:tblGrid>
      <w:tr>
        <w:trPr>
          <w:tblHeader w:val="true"/>
        </w:trPr>
        <w:tc>
          <w:tcPr>
            <w:tcW w:type="dxa" w:w="2016"/>
            <w:shd w:fill="203864"/>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center"/>
          </w:tcPr>
          <w:p>
            <w:pPr>
              <w:spacing w:after="0"/>
            </w:pPr>
            <w:r>
              <w:rPr>
                <w:rFonts w:ascii="Arial" w:hAnsi="Arial"/>
                <w:b/>
                <w:color w:val="FFFFFF"/>
                <w:sz w:val="16"/>
              </w:rPr>
              <w:t>Actor</w:t>
            </w:r>
          </w:p>
        </w:tc>
        <w:tc>
          <w:tcPr>
            <w:tcW w:type="dxa" w:w="5040"/>
            <w:shd w:fill="203864"/>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center"/>
          </w:tcPr>
          <w:p>
            <w:pPr>
              <w:spacing w:after="0"/>
            </w:pPr>
            <w:r>
              <w:rPr>
                <w:rFonts w:ascii="Arial" w:hAnsi="Arial"/>
                <w:b/>
                <w:color w:val="FFFFFF"/>
                <w:sz w:val="16"/>
              </w:rPr>
              <w:t>Responsabilidad principal</w:t>
            </w:r>
          </w:p>
        </w:tc>
        <w:tc>
          <w:tcPr>
            <w:tcW w:type="dxa" w:w="3312"/>
            <w:shd w:fill="203864"/>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center"/>
          </w:tcPr>
          <w:p>
            <w:pPr>
              <w:spacing w:after="0"/>
            </w:pPr>
            <w:r>
              <w:rPr>
                <w:rFonts w:ascii="Arial" w:hAnsi="Arial"/>
                <w:b/>
                <w:color w:val="FFFFFF"/>
                <w:sz w:val="16"/>
              </w:rPr>
              <w:t>Observaciones</w:t>
            </w:r>
          </w:p>
        </w:tc>
      </w:tr>
      <w:tr>
        <w:tc>
          <w:tcPr>
            <w:tcW w:type="dxa" w:w="2016"/>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Usuario no autenticado</w:t>
            </w:r>
          </w:p>
        </w:tc>
        <w:tc>
          <w:tcPr>
            <w:tcW w:type="dxa" w:w="5040"/>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Acceder a funciones previas al inicio de sesión.</w:t>
            </w:r>
          </w:p>
        </w:tc>
        <w:tc>
          <w:tcPr>
            <w:tcW w:type="dxa" w:w="3312"/>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Puede registrarse, iniciar sesión o recuperar contraseña.</w:t>
            </w:r>
          </w:p>
        </w:tc>
      </w:tr>
      <w:tr>
        <w:tc>
          <w:tcPr>
            <w:tcW w:type="dxa" w:w="2016"/>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Voluntario</w:t>
            </w:r>
          </w:p>
        </w:tc>
        <w:tc>
          <w:tcPr>
            <w:tcW w:type="dxa" w:w="5040"/>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Buscar oportunidades, inscribirse, donar, recibir recomendaciones y participar de la reputación.</w:t>
            </w:r>
          </w:p>
        </w:tc>
        <w:tc>
          <w:tcPr>
            <w:tcW w:type="dxa" w:w="3312"/>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No se almacena DNI; la cuenta se identifica mediante email y UUID interno.</w:t>
            </w:r>
          </w:p>
        </w:tc>
      </w:tr>
      <w:tr>
        <w:tc>
          <w:tcPr>
            <w:tcW w:type="dxa" w:w="2016"/>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Organización</w:t>
            </w:r>
          </w:p>
        </w:tc>
        <w:tc>
          <w:tcPr>
            <w:tcW w:type="dxa" w:w="5040"/>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Publicar oportunidades, gestionar participantes y donaciones, y consultar métricas propias.</w:t>
            </w:r>
          </w:p>
        </w:tc>
        <w:tc>
          <w:tcPr>
            <w:tcW w:type="dxa" w:w="3312"/>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El CUIT es único y no se modifica libremente desde la gestión normal del perfil.</w:t>
            </w:r>
          </w:p>
        </w:tc>
      </w:tr>
      <w:tr>
        <w:tc>
          <w:tcPr>
            <w:tcW w:type="dxa" w:w="2016"/>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Administrador</w:t>
            </w:r>
          </w:p>
        </w:tc>
        <w:tc>
          <w:tcPr>
            <w:tcW w:type="dxa" w:w="5040"/>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Verificar organizaciones, gestionar estados de cuenta y consultar estadísticas globales.</w:t>
            </w:r>
          </w:p>
        </w:tc>
        <w:tc>
          <w:tcPr>
            <w:tcW w:type="dxa" w:w="3312"/>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Su cuenta se provisiona administrativamente; no utiliza PerfilVoluntario ni Organización.</w:t>
            </w:r>
          </w:p>
        </w:tc>
      </w:tr>
    </w:tbl>
    <w:p>
      <w:pPr>
        <w:spacing w:after="0"/>
      </w:pPr>
    </w:p>
    <w:p>
      <w:pPr>
        <w:pStyle w:val="H1Custom"/>
      </w:pPr>
      <w:r>
        <w:rPr>
          <w:rFonts w:ascii="Arial" w:hAnsi="Arial"/>
        </w:rPr>
        <w:t>4. Organización del diagrama en Enterprise Architect</w:t>
      </w:r>
    </w:p>
    <w:p>
      <w:r>
        <w:rPr>
          <w:rFonts w:ascii="Arial" w:hAnsi="Arial"/>
          <w:sz w:val="18"/>
        </w:rPr>
        <w:t>Para reducir cruces de líneas, el diagrama general se distribuye por zonas. En la parte superior se ubican los casos de acceso del Usuario no autenticado; a la izquierda, los casos exclusivos del Voluntario; en el centro, los casos compartidos entre Voluntario y Organización; a la derecha, los casos propios de la Organización; y en una zona separada, las funciones del Administrador.</w:t>
      </w:r>
    </w:p>
    <w:p>
      <w:pPr>
        <w:spacing w:after="60"/>
      </w:pPr>
      <w:r>
        <w:rPr>
          <w:rFonts w:ascii="Arial" w:hAnsi="Arial"/>
          <w:b/>
          <w:sz w:val="18"/>
        </w:rPr>
        <w:t xml:space="preserve">Lectura recomendada. </w:t>
      </w:r>
      <w:r>
        <w:rPr>
          <w:rFonts w:ascii="Arial" w:hAnsi="Arial"/>
          <w:sz w:val="18"/>
        </w:rPr>
        <w:t>El diagrama muestra qué actor persigue cada objetivo funcional. Las reglas internas del backend, PostgreSQL, Firebase u OpenStreetMap no aparecen como actores porque son componentes de implementación, no participantes externos del negocio.</w:t>
      </w:r>
    </w:p>
    <w:p>
      <w:pPr>
        <w:pStyle w:val="H1Custom"/>
      </w:pPr>
      <w:r>
        <w:rPr>
          <w:rFonts w:ascii="Arial" w:hAnsi="Arial"/>
        </w:rPr>
        <w:t>5. Catálogo de casos de uso</w:t>
      </w:r>
    </w:p>
    <w:tbl>
      <w:tblPr>
        <w:tblW w:type="auto" w:w="0"/>
        <w:jc w:val="center"/>
        <w:tblLayout w:type="fixed"/>
        <w:tblLook w:firstColumn="1" w:firstRow="1" w:lastColumn="0" w:lastRow="0" w:noHBand="0" w:noVBand="1" w:val="04A0"/>
      </w:tblPr>
      <w:tblGrid>
        <w:gridCol w:w="2628"/>
        <w:gridCol w:w="2628"/>
        <w:gridCol w:w="2628"/>
        <w:gridCol w:w="2628"/>
      </w:tblGrid>
      <w:tr>
        <w:trPr>
          <w:tblHeader w:val="true"/>
        </w:trPr>
        <w:tc>
          <w:tcPr>
            <w:tcW w:type="dxa" w:w="936"/>
            <w:shd w:fill="203864"/>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center"/>
          </w:tcPr>
          <w:p>
            <w:pPr>
              <w:spacing w:after="0"/>
            </w:pPr>
            <w:r>
              <w:rPr>
                <w:rFonts w:ascii="Arial" w:hAnsi="Arial"/>
                <w:b/>
                <w:color w:val="FFFFFF"/>
                <w:sz w:val="15"/>
              </w:rPr>
              <w:t>Código</w:t>
            </w:r>
          </w:p>
        </w:tc>
        <w:tc>
          <w:tcPr>
            <w:tcW w:type="dxa" w:w="2808"/>
            <w:shd w:fill="203864"/>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center"/>
          </w:tcPr>
          <w:p>
            <w:pPr>
              <w:spacing w:after="0"/>
            </w:pPr>
            <w:r>
              <w:rPr>
                <w:rFonts w:ascii="Arial" w:hAnsi="Arial"/>
                <w:b/>
                <w:color w:val="FFFFFF"/>
                <w:sz w:val="15"/>
              </w:rPr>
              <w:t>Caso de uso</w:t>
            </w:r>
          </w:p>
        </w:tc>
        <w:tc>
          <w:tcPr>
            <w:tcW w:type="dxa" w:w="2088"/>
            <w:shd w:fill="203864"/>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center"/>
          </w:tcPr>
          <w:p>
            <w:pPr>
              <w:spacing w:after="0"/>
            </w:pPr>
            <w:r>
              <w:rPr>
                <w:rFonts w:ascii="Arial" w:hAnsi="Arial"/>
                <w:b/>
                <w:color w:val="FFFFFF"/>
                <w:sz w:val="15"/>
              </w:rPr>
              <w:t>Actor(es)</w:t>
            </w:r>
          </w:p>
        </w:tc>
        <w:tc>
          <w:tcPr>
            <w:tcW w:type="dxa" w:w="4608"/>
            <w:shd w:fill="203864"/>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center"/>
          </w:tcPr>
          <w:p>
            <w:pPr>
              <w:spacing w:after="0"/>
            </w:pPr>
            <w:r>
              <w:rPr>
                <w:rFonts w:ascii="Arial" w:hAnsi="Arial"/>
                <w:b/>
                <w:color w:val="FFFFFF"/>
                <w:sz w:val="15"/>
              </w:rPr>
              <w:t>Alcance resumido</w:t>
            </w:r>
          </w:p>
        </w:tc>
      </w:tr>
      <w:tr>
        <w:tc>
          <w:tcPr>
            <w:tcW w:type="dxa" w:w="936"/>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CU-001</w:t>
            </w:r>
          </w:p>
        </w:tc>
        <w:tc>
          <w:tcPr>
            <w:tcW w:type="dxa" w:w="280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Registrarse</w:t>
            </w:r>
          </w:p>
        </w:tc>
        <w:tc>
          <w:tcPr>
            <w:tcW w:type="dxa" w:w="208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Usuario no autenticado</w:t>
            </w:r>
          </w:p>
        </w:tc>
        <w:tc>
          <w:tcPr>
            <w:tcW w:type="dxa" w:w="460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Crear una cuenta como Voluntario u Organización. La organización registra CUIT y queda pendiente de verificación.</w:t>
            </w:r>
          </w:p>
        </w:tc>
      </w:tr>
      <w:tr>
        <w:tc>
          <w:tcPr>
            <w:tcW w:type="dxa" w:w="936"/>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CU-002</w:t>
            </w:r>
          </w:p>
        </w:tc>
        <w:tc>
          <w:tcPr>
            <w:tcW w:type="dxa" w:w="2808"/>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Iniciar sesión</w:t>
            </w:r>
          </w:p>
        </w:tc>
        <w:tc>
          <w:tcPr>
            <w:tcW w:type="dxa" w:w="2088"/>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Usuario no autenticado</w:t>
            </w:r>
          </w:p>
        </w:tc>
        <w:tc>
          <w:tcPr>
            <w:tcW w:type="dxa" w:w="4608"/>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Autenticar credenciales y acceder a la interfaz y permisos correspondientes al rol.</w:t>
            </w:r>
          </w:p>
        </w:tc>
      </w:tr>
      <w:tr>
        <w:tc>
          <w:tcPr>
            <w:tcW w:type="dxa" w:w="936"/>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CU-003</w:t>
            </w:r>
          </w:p>
        </w:tc>
        <w:tc>
          <w:tcPr>
            <w:tcW w:type="dxa" w:w="280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Recuperar contraseña</w:t>
            </w:r>
          </w:p>
        </w:tc>
        <w:tc>
          <w:tcPr>
            <w:tcW w:type="dxa" w:w="208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Usuario no autenticado</w:t>
            </w:r>
          </w:p>
        </w:tc>
        <w:tc>
          <w:tcPr>
            <w:tcW w:type="dxa" w:w="460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Restablecer el acceso cuando se olvidó la contraseña; extiende el flujo de inicio de sesión.</w:t>
            </w:r>
          </w:p>
        </w:tc>
      </w:tr>
      <w:tr>
        <w:tc>
          <w:tcPr>
            <w:tcW w:type="dxa" w:w="936"/>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CU-004</w:t>
            </w:r>
          </w:p>
        </w:tc>
        <w:tc>
          <w:tcPr>
            <w:tcW w:type="dxa" w:w="2808"/>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Gestionar perfil</w:t>
            </w:r>
          </w:p>
        </w:tc>
        <w:tc>
          <w:tcPr>
            <w:tcW w:type="dxa" w:w="2088"/>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Voluntario, Organización</w:t>
            </w:r>
          </w:p>
        </w:tc>
        <w:tc>
          <w:tcPr>
            <w:tcW w:type="dxa" w:w="4608"/>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Consultar y modificar datos permitidos, intereses, áreas de actividad y ubicación. El CUIT no se modifica libremente.</w:t>
            </w:r>
          </w:p>
        </w:tc>
      </w:tr>
      <w:tr>
        <w:tc>
          <w:tcPr>
            <w:tcW w:type="dxa" w:w="936"/>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CU-005</w:t>
            </w:r>
          </w:p>
        </w:tc>
        <w:tc>
          <w:tcPr>
            <w:tcW w:type="dxa" w:w="280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Explorar oportunidades</w:t>
            </w:r>
          </w:p>
        </w:tc>
        <w:tc>
          <w:tcPr>
            <w:tcW w:type="dxa" w:w="208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Voluntario</w:t>
            </w:r>
          </w:p>
        </w:tc>
        <w:tc>
          <w:tcPr>
            <w:tcW w:type="dxa" w:w="460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Consultar lista y mapa, aplicar filtros y definir un radio propio de búsqueda.</w:t>
            </w:r>
          </w:p>
        </w:tc>
      </w:tr>
      <w:tr>
        <w:tc>
          <w:tcPr>
            <w:tcW w:type="dxa" w:w="936"/>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CU-006</w:t>
            </w:r>
          </w:p>
        </w:tc>
        <w:tc>
          <w:tcPr>
            <w:tcW w:type="dxa" w:w="2808"/>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Consultar recomendaciones</w:t>
            </w:r>
          </w:p>
        </w:tc>
        <w:tc>
          <w:tcPr>
            <w:tcW w:type="dxa" w:w="2088"/>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Voluntario</w:t>
            </w:r>
          </w:p>
        </w:tc>
        <w:tc>
          <w:tcPr>
            <w:tcW w:type="dxa" w:w="4608"/>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Obtener oportunidades priorizadas mediante reglas simples basadas en intereses, ubicación y participación previa.</w:t>
            </w:r>
          </w:p>
        </w:tc>
      </w:tr>
      <w:tr>
        <w:tc>
          <w:tcPr>
            <w:tcW w:type="dxa" w:w="936"/>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CU-007</w:t>
            </w:r>
          </w:p>
        </w:tc>
        <w:tc>
          <w:tcPr>
            <w:tcW w:type="dxa" w:w="280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Gestionar mis inscripciones</w:t>
            </w:r>
          </w:p>
        </w:tc>
        <w:tc>
          <w:tcPr>
            <w:tcW w:type="dxa" w:w="208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Voluntario</w:t>
            </w:r>
          </w:p>
        </w:tc>
        <w:tc>
          <w:tcPr>
            <w:tcW w:type="dxa" w:w="460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Inscribirse, consultar estados y cancelar hasta 72 h antes del inicio de la actividad.</w:t>
            </w:r>
          </w:p>
        </w:tc>
      </w:tr>
      <w:tr>
        <w:tc>
          <w:tcPr>
            <w:tcW w:type="dxa" w:w="936"/>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CU-008</w:t>
            </w:r>
          </w:p>
        </w:tc>
        <w:tc>
          <w:tcPr>
            <w:tcW w:type="dxa" w:w="2808"/>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Calificar participación</w:t>
            </w:r>
          </w:p>
        </w:tc>
        <w:tc>
          <w:tcPr>
            <w:tcW w:type="dxa" w:w="2088"/>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Voluntario, Organización</w:t>
            </w:r>
          </w:p>
        </w:tc>
        <w:tc>
          <w:tcPr>
            <w:tcW w:type="dxa" w:w="4608"/>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Emitir una evaluación bidireccional después del evento, solo con una inscripción COMPLETADA.</w:t>
            </w:r>
          </w:p>
        </w:tc>
      </w:tr>
      <w:tr>
        <w:tc>
          <w:tcPr>
            <w:tcW w:type="dxa" w:w="936"/>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CU-009</w:t>
            </w:r>
          </w:p>
        </w:tc>
        <w:tc>
          <w:tcPr>
            <w:tcW w:type="dxa" w:w="280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Gestionar donaciones materiales</w:t>
            </w:r>
          </w:p>
        </w:tc>
        <w:tc>
          <w:tcPr>
            <w:tcW w:type="dxa" w:w="208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Voluntario</w:t>
            </w:r>
          </w:p>
        </w:tc>
        <w:tc>
          <w:tcPr>
            <w:tcW w:type="dxa" w:w="460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Seleccionar organización, registrar, consultar, editar o cancelar una donación cuando su estado lo permita.</w:t>
            </w:r>
          </w:p>
        </w:tc>
      </w:tr>
      <w:tr>
        <w:tc>
          <w:tcPr>
            <w:tcW w:type="dxa" w:w="936"/>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CU-010</w:t>
            </w:r>
          </w:p>
        </w:tc>
        <w:tc>
          <w:tcPr>
            <w:tcW w:type="dxa" w:w="2808"/>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Gestionar oportunidades</w:t>
            </w:r>
          </w:p>
        </w:tc>
        <w:tc>
          <w:tcPr>
            <w:tcW w:type="dxa" w:w="2088"/>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Organización</w:t>
            </w:r>
          </w:p>
        </w:tc>
        <w:tc>
          <w:tcPr>
            <w:tcW w:type="dxa" w:w="4608"/>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Crear, editar, publicar, cerrar o cancelar oportunidades; elegir ubicación EXACTA o RADIO.</w:t>
            </w:r>
          </w:p>
        </w:tc>
      </w:tr>
      <w:tr>
        <w:tc>
          <w:tcPr>
            <w:tcW w:type="dxa" w:w="936"/>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CU-011</w:t>
            </w:r>
          </w:p>
        </w:tc>
        <w:tc>
          <w:tcPr>
            <w:tcW w:type="dxa" w:w="280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Gestionar inscripciones y participantes</w:t>
            </w:r>
          </w:p>
        </w:tc>
        <w:tc>
          <w:tcPr>
            <w:tcW w:type="dxa" w:w="208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Organización</w:t>
            </w:r>
          </w:p>
        </w:tc>
        <w:tc>
          <w:tcPr>
            <w:tcW w:type="dxa" w:w="460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Aceptar o rechazar postulaciones y, después del evento, registrar COMPLETADA o AUSENTE.</w:t>
            </w:r>
          </w:p>
        </w:tc>
      </w:tr>
      <w:tr>
        <w:tc>
          <w:tcPr>
            <w:tcW w:type="dxa" w:w="936"/>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CU-012</w:t>
            </w:r>
          </w:p>
        </w:tc>
        <w:tc>
          <w:tcPr>
            <w:tcW w:type="dxa" w:w="2808"/>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Gestionar donaciones recibidas</w:t>
            </w:r>
          </w:p>
        </w:tc>
        <w:tc>
          <w:tcPr>
            <w:tcW w:type="dxa" w:w="2088"/>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Organización</w:t>
            </w:r>
          </w:p>
        </w:tc>
        <w:tc>
          <w:tcPr>
            <w:tcW w:type="dxa" w:w="4608"/>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Revisar ofrecimientos y gestionar PENDIENTE, ACEPTADA/RECHAZADA, COORDINADA y RECIBIDA.</w:t>
            </w:r>
          </w:p>
        </w:tc>
      </w:tr>
      <w:tr>
        <w:tc>
          <w:tcPr>
            <w:tcW w:type="dxa" w:w="936"/>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CU-013</w:t>
            </w:r>
          </w:p>
        </w:tc>
        <w:tc>
          <w:tcPr>
            <w:tcW w:type="dxa" w:w="280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Consultar estadísticas de la organización</w:t>
            </w:r>
          </w:p>
        </w:tc>
        <w:tc>
          <w:tcPr>
            <w:tcW w:type="dxa" w:w="208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Organización</w:t>
            </w:r>
          </w:p>
        </w:tc>
        <w:tc>
          <w:tcPr>
            <w:tcW w:type="dxa" w:w="460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Consultar métricas propias de oportunidades, inscripciones, participación y donaciones.</w:t>
            </w:r>
          </w:p>
        </w:tc>
      </w:tr>
      <w:tr>
        <w:tc>
          <w:tcPr>
            <w:tcW w:type="dxa" w:w="936"/>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CU-014</w:t>
            </w:r>
          </w:p>
        </w:tc>
        <w:tc>
          <w:tcPr>
            <w:tcW w:type="dxa" w:w="2808"/>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Consultar notificaciones</w:t>
            </w:r>
          </w:p>
        </w:tc>
        <w:tc>
          <w:tcPr>
            <w:tcW w:type="dxa" w:w="2088"/>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Voluntario, Organización</w:t>
            </w:r>
          </w:p>
        </w:tc>
        <w:tc>
          <w:tcPr>
            <w:tcW w:type="dxa" w:w="4608"/>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Visualizar eventos relevantes de oportunidades, inscripciones y donaciones. La habilitación del sistema operativo queda fuera del CU.</w:t>
            </w:r>
          </w:p>
        </w:tc>
      </w:tr>
      <w:tr>
        <w:tc>
          <w:tcPr>
            <w:tcW w:type="dxa" w:w="936"/>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CU-015</w:t>
            </w:r>
          </w:p>
        </w:tc>
        <w:tc>
          <w:tcPr>
            <w:tcW w:type="dxa" w:w="280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Administrar usuarios y organizaciones</w:t>
            </w:r>
          </w:p>
        </w:tc>
        <w:tc>
          <w:tcPr>
            <w:tcW w:type="dxa" w:w="208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Administrador</w:t>
            </w:r>
          </w:p>
        </w:tc>
        <w:tc>
          <w:tcPr>
            <w:tcW w:type="dxa" w:w="460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Verificar o rechazar organizaciones y bloquear, deshabilitar o rehabilitar cuentas cuando corresponda.</w:t>
            </w:r>
          </w:p>
        </w:tc>
      </w:tr>
      <w:tr>
        <w:tc>
          <w:tcPr>
            <w:tcW w:type="dxa" w:w="936"/>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CU-016</w:t>
            </w:r>
          </w:p>
        </w:tc>
        <w:tc>
          <w:tcPr>
            <w:tcW w:type="dxa" w:w="2808"/>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Consultar estadísticas globales</w:t>
            </w:r>
          </w:p>
        </w:tc>
        <w:tc>
          <w:tcPr>
            <w:tcW w:type="dxa" w:w="2088"/>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Administrador</w:t>
            </w:r>
          </w:p>
        </w:tc>
        <w:tc>
          <w:tcPr>
            <w:tcW w:type="dxa" w:w="4608"/>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5"/>
              </w:rPr>
              <w:t>Consultar métricas generales de uso y participación de toda la plataforma.</w:t>
            </w:r>
          </w:p>
        </w:tc>
      </w:tr>
    </w:tbl>
    <w:p>
      <w:pPr>
        <w:spacing w:after="0"/>
      </w:pPr>
    </w:p>
    <w:p>
      <w:pPr>
        <w:pStyle w:val="H1Custom"/>
      </w:pPr>
      <w:r>
        <w:rPr>
          <w:rFonts w:ascii="Arial" w:hAnsi="Arial"/>
        </w:rPr>
        <w:t>6. Relaciones UML y decisiones de representación</w:t>
      </w:r>
    </w:p>
    <w:p>
      <w:pPr>
        <w:spacing w:after="60"/>
      </w:pPr>
      <w:r>
        <w:rPr>
          <w:rFonts w:ascii="Arial" w:hAnsi="Arial"/>
          <w:b/>
          <w:sz w:val="18"/>
        </w:rPr>
        <w:t xml:space="preserve">Asociaciones actor–caso de uso. </w:t>
      </w:r>
      <w:r>
        <w:rPr>
          <w:rFonts w:ascii="Arial" w:hAnsi="Arial"/>
          <w:sz w:val="18"/>
        </w:rPr>
        <w:t>Indican que un actor inicia o participa en un objetivo funcional. No representan el flujo interno de llamadas entre capas del sistema.</w:t>
      </w:r>
    </w:p>
    <w:p>
      <w:pPr>
        <w:spacing w:after="60"/>
      </w:pPr>
      <w:r>
        <w:rPr>
          <w:rFonts w:ascii="Arial" w:hAnsi="Arial"/>
          <w:b/>
          <w:sz w:val="18"/>
        </w:rPr>
        <w:t xml:space="preserve">CU-003 &lt;&lt;extend&gt;&gt; CU-002. </w:t>
      </w:r>
      <w:r>
        <w:rPr>
          <w:rFonts w:ascii="Arial" w:hAnsi="Arial"/>
          <w:sz w:val="18"/>
        </w:rPr>
        <w:t>Recuperar contraseña es un comportamiento opcional que aparece cuando el usuario no puede completar normalmente el inicio de sesión. Por eso se modela como extensión de Iniciar sesión.</w:t>
      </w:r>
    </w:p>
    <w:p>
      <w:pPr>
        <w:spacing w:after="60"/>
      </w:pPr>
      <w:r>
        <w:rPr>
          <w:rFonts w:ascii="Arial" w:hAnsi="Arial"/>
          <w:b/>
          <w:sz w:val="18"/>
        </w:rPr>
        <w:t xml:space="preserve">Sin &lt;&lt;include&gt;&gt; innecesarios. </w:t>
      </w:r>
      <w:r>
        <w:rPr>
          <w:rFonts w:ascii="Arial" w:hAnsi="Arial"/>
          <w:sz w:val="18"/>
        </w:rPr>
        <w:t>Buscar organizaciones, validar cupos, calcular recomendaciones o enviar notificaciones son pasos internos de otros objetivos o reglas de negocio; no se convierten automáticamente en CU independientes.</w:t>
      </w:r>
    </w:p>
    <w:p>
      <w:pPr>
        <w:spacing w:after="60"/>
      </w:pPr>
      <w:r>
        <w:rPr>
          <w:rFonts w:ascii="Arial" w:hAnsi="Arial"/>
          <w:b/>
          <w:sz w:val="18"/>
        </w:rPr>
        <w:t xml:space="preserve">Casos “Gestionar…”. </w:t>
      </w:r>
      <w:r>
        <w:rPr>
          <w:rFonts w:ascii="Arial" w:hAnsi="Arial"/>
          <w:sz w:val="18"/>
        </w:rPr>
        <w:t>Agrupan operaciones coherentes del mismo objetivo. Por ejemplo, Gestionar oportunidades incluye crear, editar, publicar, cerrar y cancelar, evitando fragmentar el diagrama en múltiples óvalos CRUD.</w:t>
      </w:r>
    </w:p>
    <w:p>
      <w:pPr>
        <w:pStyle w:val="H1Custom"/>
      </w:pPr>
      <w:r>
        <w:rPr>
          <w:rFonts w:ascii="Arial" w:hAnsi="Arial"/>
        </w:rPr>
        <w:t>7. Reglas funcionales críticas</w:t>
      </w:r>
    </w:p>
    <w:tbl>
      <w:tblPr>
        <w:tblW w:type="auto" w:w="0"/>
        <w:jc w:val="center"/>
        <w:tblLayout w:type="fixed"/>
        <w:tblLook w:firstColumn="1" w:firstRow="1" w:lastColumn="0" w:lastRow="0" w:noHBand="0" w:noVBand="1" w:val="04A0"/>
      </w:tblPr>
      <w:tblGrid>
        <w:gridCol w:w="5256"/>
        <w:gridCol w:w="5256"/>
      </w:tblGrid>
      <w:tr>
        <w:trPr>
          <w:tblHeader w:val="true"/>
        </w:trPr>
        <w:tc>
          <w:tcPr>
            <w:tcW w:type="dxa" w:w="2160"/>
            <w:shd w:fill="203864"/>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center"/>
          </w:tcPr>
          <w:p>
            <w:pPr>
              <w:spacing w:after="0"/>
            </w:pPr>
            <w:r>
              <w:rPr>
                <w:rFonts w:ascii="Arial" w:hAnsi="Arial"/>
                <w:b/>
                <w:color w:val="FFFFFF"/>
                <w:sz w:val="16"/>
              </w:rPr>
              <w:t>Área</w:t>
            </w:r>
          </w:p>
        </w:tc>
        <w:tc>
          <w:tcPr>
            <w:tcW w:type="dxa" w:w="8208"/>
            <w:shd w:fill="203864"/>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center"/>
          </w:tcPr>
          <w:p>
            <w:pPr>
              <w:spacing w:after="0"/>
            </w:pPr>
            <w:r>
              <w:rPr>
                <w:rFonts w:ascii="Arial" w:hAnsi="Arial"/>
                <w:b/>
                <w:color w:val="FFFFFF"/>
                <w:sz w:val="16"/>
              </w:rPr>
              <w:t>Regla que condiciona el caso de uso</w:t>
            </w:r>
          </w:p>
        </w:tc>
      </w:tr>
      <w:tr>
        <w:tc>
          <w:tcPr>
            <w:tcW w:type="dxa" w:w="2160"/>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Registro y roles</w:t>
            </w:r>
          </w:p>
        </w:tc>
        <w:tc>
          <w:tcPr>
            <w:tcW w:type="dxa" w:w="820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Voluntarios y organizaciones pueden registrarse. La cuenta ADMIN se provisiona administrativamente. Una organización nueva queda PENDIENTE hasta ser verificada.</w:t>
            </w:r>
          </w:p>
        </w:tc>
      </w:tr>
      <w:tr>
        <w:tc>
          <w:tcPr>
            <w:tcW w:type="dxa" w:w="2160"/>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Perfil</w:t>
            </w:r>
          </w:p>
        </w:tc>
        <w:tc>
          <w:tcPr>
            <w:tcW w:type="dxa" w:w="8208"/>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El usuario puede modificar datos permitidos. El CUIT de una organización se conserva como identificador único y no se edita mediante el flujo normal.</w:t>
            </w:r>
          </w:p>
        </w:tc>
      </w:tr>
      <w:tr>
        <w:tc>
          <w:tcPr>
            <w:tcW w:type="dxa" w:w="2160"/>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Oportunidades</w:t>
            </w:r>
          </w:p>
        </w:tc>
        <w:tc>
          <w:tcPr>
            <w:tcW w:type="dxa" w:w="820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La organización puede definir una ubicación EXACTA o un área por RADIO; en este último caso se usa un punto central y radio_km. El voluntario también puede establecer un radio de búsqueda.</w:t>
            </w:r>
          </w:p>
        </w:tc>
      </w:tr>
      <w:tr>
        <w:tc>
          <w:tcPr>
            <w:tcW w:type="dxa" w:w="2160"/>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Inscripciones</w:t>
            </w:r>
          </w:p>
        </w:tc>
        <w:tc>
          <w:tcPr>
            <w:tcW w:type="dxa" w:w="8208"/>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El voluntario puede cancelar hasta 72 h antes de fecha_inicio. La organización acepta o rechaza; después del evento registra COMPLETADA o AUSENTE.</w:t>
            </w:r>
          </w:p>
        </w:tc>
      </w:tr>
      <w:tr>
        <w:tc>
          <w:tcPr>
            <w:tcW w:type="dxa" w:w="2160"/>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Calificaciones</w:t>
            </w:r>
          </w:p>
        </w:tc>
        <w:tc>
          <w:tcPr>
            <w:tcW w:type="dxa" w:w="820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Solo se habilitan después del evento y con Inscripción COMPLETADA. Cada parte puede emitir como máximo una evaluación por inscripción.</w:t>
            </w:r>
          </w:p>
        </w:tc>
      </w:tr>
      <w:tr>
        <w:tc>
          <w:tcPr>
            <w:tcW w:type="dxa" w:w="2160"/>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Donaciones</w:t>
            </w:r>
          </w:p>
        </w:tc>
        <w:tc>
          <w:tcPr>
            <w:tcW w:type="dxa" w:w="8208"/>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PENDIENTE permite editar o cancelar; ACEPTADA restringe cambios principales; COORDINADA no admite cancelación unilateral; RECIBIDA y RECHAZADA son estados cerrados.</w:t>
            </w:r>
          </w:p>
        </w:tc>
      </w:tr>
      <w:tr>
        <w:tc>
          <w:tcPr>
            <w:tcW w:type="dxa" w:w="2160"/>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Notificaciones</w:t>
            </w:r>
          </w:p>
        </w:tc>
        <w:tc>
          <w:tcPr>
            <w:tcW w:type="dxa" w:w="820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La aplicación persiste y consulta eventos; activar o desactivar las notificaciones a nivel del sistema operativo corresponde a Android y no es un CU propio.</w:t>
            </w:r>
          </w:p>
        </w:tc>
      </w:tr>
      <w:tr>
        <w:tc>
          <w:tcPr>
            <w:tcW w:type="dxa" w:w="2160"/>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Administración</w:t>
            </w:r>
          </w:p>
        </w:tc>
        <w:tc>
          <w:tcPr>
            <w:tcW w:type="dxa" w:w="8208"/>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El Administrador puede verificar organizaciones, gestionar estado_cuenta y consultar estadísticas globales, pero no modifica arbitrariamente el contenido de perfiles.</w:t>
            </w:r>
          </w:p>
        </w:tc>
      </w:tr>
    </w:tbl>
    <w:p>
      <w:pPr>
        <w:spacing w:after="0"/>
      </w:pPr>
    </w:p>
    <w:p>
      <w:pPr>
        <w:pStyle w:val="H1Custom"/>
      </w:pPr>
      <w:r>
        <w:rPr>
          <w:rFonts w:ascii="Arial" w:hAnsi="Arial"/>
        </w:rPr>
        <w:t>8. Implicancias de seguridad y autorización</w:t>
      </w:r>
    </w:p>
    <w:p>
      <w:r>
        <w:rPr>
          <w:rFonts w:ascii="Arial" w:hAnsi="Arial"/>
          <w:sz w:val="18"/>
        </w:rPr>
        <w:t>Las funciones protegidas requieren una sesión autenticada. El backend valida el JWT en cada solicitud protegida y utiliza el rol para autorizar acciones. Los roles funcionales son VOLUNTARIO, ORGANIZACION y ADMIN; el token identifica la cuenta y sus permisos, mientras que los datos de perfil, intereses, inscripciones, donaciones y demás información permanecen en PostgreSQL.</w:t>
      </w:r>
    </w:p>
    <w:p>
      <w:pPr>
        <w:spacing w:after="60"/>
      </w:pPr>
      <w:r>
        <w:rPr>
          <w:rFonts w:ascii="Arial" w:hAnsi="Arial"/>
          <w:b/>
          <w:sz w:val="18"/>
        </w:rPr>
        <w:t xml:space="preserve">Administrador. </w:t>
      </w:r>
      <w:r>
        <w:rPr>
          <w:rFonts w:ascii="Arial" w:hAnsi="Arial"/>
          <w:sz w:val="18"/>
        </w:rPr>
        <w:t>El rol ADMIN no requiere una entidad adicional en el DER. Es un Usuario sin PerfilVoluntario ni Organización y con permisos específicos para los CU-015 y CU-016.</w:t>
      </w:r>
    </w:p>
    <w:p>
      <w:pPr>
        <w:spacing w:after="60"/>
      </w:pPr>
      <w:r>
        <w:rPr>
          <w:rFonts w:ascii="Arial" w:hAnsi="Arial"/>
          <w:b/>
          <w:sz w:val="18"/>
        </w:rPr>
        <w:t xml:space="preserve">Principio de mínimo privilegio. </w:t>
      </w:r>
      <w:r>
        <w:rPr>
          <w:rFonts w:ascii="Arial" w:hAnsi="Arial"/>
          <w:sz w:val="18"/>
        </w:rPr>
        <w:t>Cada rol accede únicamente a las operaciones que necesita. Las restricciones también se verifican en el servidor, aunque la interfaz oculte acciones no permitidas.</w:t>
      </w:r>
    </w:p>
    <w:p>
      <w:pPr>
        <w:pStyle w:val="H1Custom"/>
      </w:pPr>
      <w:r>
        <w:rPr>
          <w:rFonts w:ascii="Arial" w:hAnsi="Arial"/>
        </w:rPr>
        <w:t>9. Trazabilidad funcional</w:t>
      </w:r>
    </w:p>
    <w:tbl>
      <w:tblPr>
        <w:tblW w:type="auto" w:w="0"/>
        <w:jc w:val="center"/>
        <w:tblLayout w:type="fixed"/>
        <w:tblLook w:firstColumn="1" w:firstRow="1" w:lastColumn="0" w:lastRow="0" w:noHBand="0" w:noVBand="1" w:val="04A0"/>
      </w:tblPr>
      <w:tblGrid>
        <w:gridCol w:w="3504"/>
        <w:gridCol w:w="3504"/>
        <w:gridCol w:w="3504"/>
      </w:tblGrid>
      <w:tr>
        <w:trPr>
          <w:tblHeader w:val="true"/>
        </w:trPr>
        <w:tc>
          <w:tcPr>
            <w:tcW w:type="dxa" w:w="2232"/>
            <w:shd w:fill="203864"/>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center"/>
          </w:tcPr>
          <w:p>
            <w:pPr>
              <w:spacing w:after="0"/>
            </w:pPr>
            <w:r>
              <w:rPr>
                <w:rFonts w:ascii="Arial" w:hAnsi="Arial"/>
                <w:b/>
                <w:color w:val="FFFFFF"/>
                <w:sz w:val="16"/>
              </w:rPr>
              <w:t>Requerimientos / decisión</w:t>
            </w:r>
          </w:p>
        </w:tc>
        <w:tc>
          <w:tcPr>
            <w:tcW w:type="dxa" w:w="2448"/>
            <w:shd w:fill="203864"/>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center"/>
          </w:tcPr>
          <w:p>
            <w:pPr>
              <w:spacing w:after="0"/>
            </w:pPr>
            <w:r>
              <w:rPr>
                <w:rFonts w:ascii="Arial" w:hAnsi="Arial"/>
                <w:b/>
                <w:color w:val="FFFFFF"/>
                <w:sz w:val="16"/>
              </w:rPr>
              <w:t>Casos de uso asociados</w:t>
            </w:r>
          </w:p>
        </w:tc>
        <w:tc>
          <w:tcPr>
            <w:tcW w:type="dxa" w:w="5688"/>
            <w:shd w:fill="203864"/>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center"/>
          </w:tcPr>
          <w:p>
            <w:pPr>
              <w:spacing w:after="0"/>
            </w:pPr>
            <w:r>
              <w:rPr>
                <w:rFonts w:ascii="Arial" w:hAnsi="Arial"/>
                <w:b/>
                <w:color w:val="FFFFFF"/>
                <w:sz w:val="16"/>
              </w:rPr>
              <w:t>Cobertura</w:t>
            </w:r>
          </w:p>
        </w:tc>
      </w:tr>
      <w:tr>
        <w:tc>
          <w:tcPr>
            <w:tcW w:type="dxa" w:w="2232"/>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RF-01 a RF-03</w:t>
            </w:r>
          </w:p>
        </w:tc>
        <w:tc>
          <w:tcPr>
            <w:tcW w:type="dxa" w:w="244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CU-001, CU-002, CU-004</w:t>
            </w:r>
          </w:p>
        </w:tc>
        <w:tc>
          <w:tcPr>
            <w:tcW w:type="dxa" w:w="568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Registro, acceso, roles, perfiles y datos de organización.</w:t>
            </w:r>
          </w:p>
        </w:tc>
      </w:tr>
      <w:tr>
        <w:tc>
          <w:tcPr>
            <w:tcW w:type="dxa" w:w="2232"/>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Soporte de acceso</w:t>
            </w:r>
          </w:p>
        </w:tc>
        <w:tc>
          <w:tcPr>
            <w:tcW w:type="dxa" w:w="2448"/>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CU-003</w:t>
            </w:r>
          </w:p>
        </w:tc>
        <w:tc>
          <w:tcPr>
            <w:tcW w:type="dxa" w:w="5688"/>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Recuperación de contraseña incorporada al flujo de acceso.</w:t>
            </w:r>
          </w:p>
        </w:tc>
      </w:tr>
      <w:tr>
        <w:tc>
          <w:tcPr>
            <w:tcW w:type="dxa" w:w="2232"/>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RF-04 a RF-06</w:t>
            </w:r>
          </w:p>
        </w:tc>
        <w:tc>
          <w:tcPr>
            <w:tcW w:type="dxa" w:w="244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CU-005, CU-010</w:t>
            </w:r>
          </w:p>
        </w:tc>
        <w:tc>
          <w:tcPr>
            <w:tcW w:type="dxa" w:w="568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Publicación, consulta, filtros, mapa y geolocalización.</w:t>
            </w:r>
          </w:p>
        </w:tc>
      </w:tr>
      <w:tr>
        <w:tc>
          <w:tcPr>
            <w:tcW w:type="dxa" w:w="2232"/>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RF-07 y RF-08</w:t>
            </w:r>
          </w:p>
        </w:tc>
        <w:tc>
          <w:tcPr>
            <w:tcW w:type="dxa" w:w="2448"/>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CU-007, CU-011</w:t>
            </w:r>
          </w:p>
        </w:tc>
        <w:tc>
          <w:tcPr>
            <w:tcW w:type="dxa" w:w="5688"/>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Inscripción, aceptación/rechazo y seguimiento de participación.</w:t>
            </w:r>
          </w:p>
        </w:tc>
      </w:tr>
      <w:tr>
        <w:tc>
          <w:tcPr>
            <w:tcW w:type="dxa" w:w="2232"/>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RF-09</w:t>
            </w:r>
          </w:p>
        </w:tc>
        <w:tc>
          <w:tcPr>
            <w:tcW w:type="dxa" w:w="244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CU-006</w:t>
            </w:r>
          </w:p>
        </w:tc>
        <w:tc>
          <w:tcPr>
            <w:tcW w:type="dxa" w:w="568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Recomendaciones por reglas simples.</w:t>
            </w:r>
          </w:p>
        </w:tc>
      </w:tr>
      <w:tr>
        <w:tc>
          <w:tcPr>
            <w:tcW w:type="dxa" w:w="2232"/>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RF-10</w:t>
            </w:r>
          </w:p>
        </w:tc>
        <w:tc>
          <w:tcPr>
            <w:tcW w:type="dxa" w:w="2448"/>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CU-008</w:t>
            </w:r>
          </w:p>
        </w:tc>
        <w:tc>
          <w:tcPr>
            <w:tcW w:type="dxa" w:w="5688"/>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Reputación bidireccional ligada a participación válida.</w:t>
            </w:r>
          </w:p>
        </w:tc>
      </w:tr>
      <w:tr>
        <w:tc>
          <w:tcPr>
            <w:tcW w:type="dxa" w:w="2232"/>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RF-11</w:t>
            </w:r>
          </w:p>
        </w:tc>
        <w:tc>
          <w:tcPr>
            <w:tcW w:type="dxa" w:w="244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CU-014</w:t>
            </w:r>
          </w:p>
        </w:tc>
        <w:tc>
          <w:tcPr>
            <w:tcW w:type="dxa" w:w="568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Consulta de notificaciones y eventos persistidos.</w:t>
            </w:r>
          </w:p>
        </w:tc>
      </w:tr>
      <w:tr>
        <w:tc>
          <w:tcPr>
            <w:tcW w:type="dxa" w:w="2232"/>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RF-12</w:t>
            </w:r>
          </w:p>
        </w:tc>
        <w:tc>
          <w:tcPr>
            <w:tcW w:type="dxa" w:w="2448"/>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CU-013, CU-016</w:t>
            </w:r>
          </w:p>
        </w:tc>
        <w:tc>
          <w:tcPr>
            <w:tcW w:type="dxa" w:w="5688"/>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Estadísticas por organización y vista global del administrador.</w:t>
            </w:r>
          </w:p>
        </w:tc>
      </w:tr>
      <w:tr>
        <w:tc>
          <w:tcPr>
            <w:tcW w:type="dxa" w:w="2232"/>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RF-13 a RF-15</w:t>
            </w:r>
          </w:p>
        </w:tc>
        <w:tc>
          <w:tcPr>
            <w:tcW w:type="dxa" w:w="244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CU-009, CU-012</w:t>
            </w:r>
          </w:p>
        </w:tc>
        <w:tc>
          <w:tcPr>
            <w:tcW w:type="dxa" w:w="568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Registro y gestión de donaciones materiales y sus estados.</w:t>
            </w:r>
          </w:p>
        </w:tc>
      </w:tr>
      <w:tr>
        <w:tc>
          <w:tcPr>
            <w:tcW w:type="dxa" w:w="2232"/>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RF-16</w:t>
            </w:r>
          </w:p>
        </w:tc>
        <w:tc>
          <w:tcPr>
            <w:tcW w:type="dxa" w:w="2448"/>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CU-009</w:t>
            </w:r>
          </w:p>
        </w:tc>
        <w:tc>
          <w:tcPr>
            <w:tcW w:type="dxa" w:w="5688"/>
            <w:shd w:fill="F1F4F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Búsqueda/selección de organizaciones para canalizar donaciones.</w:t>
            </w:r>
          </w:p>
        </w:tc>
      </w:tr>
      <w:tr>
        <w:tc>
          <w:tcPr>
            <w:tcW w:type="dxa" w:w="2232"/>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Decisión administrativa</w:t>
            </w:r>
          </w:p>
        </w:tc>
        <w:tc>
          <w:tcPr>
            <w:tcW w:type="dxa" w:w="244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CU-015</w:t>
            </w:r>
          </w:p>
        </w:tc>
        <w:tc>
          <w:tcPr>
            <w:tcW w:type="dxa" w:w="5688"/>
            <w:tcBorders>
              <w:top w:val="single" w:sz="4" w:color="9AA7B8"/>
              <w:left w:val="single" w:sz="4" w:color="9AA7B8"/>
              <w:bottom w:val="single" w:sz="4" w:color="9AA7B8"/>
              <w:right w:val="single" w:sz="4" w:color="9AA7B8"/>
              <w:insideH w:val="single" w:sz="4" w:color="9AA7B8"/>
              <w:insideV w:val="single" w:sz="4" w:color="9AA7B8"/>
            </w:tcBorders>
            <w:tcMar>
              <w:top w:w="50" w:type="dxa"/>
              <w:start w:w="70" w:type="dxa"/>
              <w:bottom w:w="50" w:type="dxa"/>
              <w:end w:w="70" w:type="dxa"/>
            </w:tcMar>
            <w:vAlign w:val="top"/>
          </w:tcPr>
          <w:p>
            <w:pPr>
              <w:spacing w:after="0" w:line="240" w:lineRule="auto"/>
            </w:pPr>
            <w:r>
              <w:rPr>
                <w:rFonts w:ascii="Arial" w:hAnsi="Arial"/>
                <w:color w:val="000000"/>
                <w:sz w:val="16"/>
              </w:rPr>
              <w:t>Operacionaliza la verificación de organizaciones y la gestión de estados de cuenta.</w:t>
            </w:r>
          </w:p>
        </w:tc>
      </w:tr>
    </w:tbl>
    <w:p>
      <w:pPr>
        <w:spacing w:after="0"/>
      </w:pPr>
    </w:p>
    <w:p>
      <w:pPr>
        <w:pStyle w:val="H1Custom"/>
      </w:pPr>
      <w:r>
        <w:rPr>
          <w:rFonts w:ascii="Arial" w:hAnsi="Arial"/>
        </w:rPr>
        <w:t>10. Productos del modelado y próximos pasos</w:t>
      </w:r>
    </w:p>
    <w:p>
      <w:r>
        <w:rPr>
          <w:rFonts w:ascii="Arial" w:hAnsi="Arial"/>
          <w:sz w:val="18"/>
        </w:rPr>
        <w:t>El resultado de esta etapa es el diagrama general de casos de uso editable en Enterprise Architect, el catálogo CU-001 a CU-016 y las reglas que delimitan cada objetivo funcional. Estos insumos permiten redactar las fichas detalladas de casos de uso y posteriormente derivar escenarios de prueba, validaciones de interfaz y responsabilidades de backend.</w:t>
      </w:r>
    </w:p>
    <w:tbl>
      <w:tblPr>
        <w:tblW w:type="auto" w:w="0"/>
        <w:jc w:val="center"/>
        <w:tblLook w:firstColumn="1" w:firstRow="1" w:lastColumn="0" w:lastRow="0" w:noHBand="0" w:noVBand="1" w:val="04A0"/>
      </w:tblPr>
      <w:tblGrid>
        <w:gridCol w:w="10512"/>
      </w:tblGrid>
      <w:tr>
        <w:tc>
          <w:tcPr>
            <w:tcW w:type="dxa" w:w="10512"/>
            <w:shd w:fill="E2F0D9"/>
            <w:tcBorders>
              <w:top w:val="single" w:sz="6" w:color="A9D18E"/>
              <w:left w:val="single" w:sz="6" w:color="A9D18E"/>
              <w:bottom w:val="single" w:sz="6" w:color="A9D18E"/>
              <w:right w:val="single" w:sz="6" w:color="A9D18E"/>
              <w:insideH w:val="single" w:sz="6" w:color="A9D18E"/>
              <w:insideV w:val="single" w:sz="6" w:color="A9D18E"/>
            </w:tcBorders>
            <w:tcMar>
              <w:top w:w="80" w:type="dxa"/>
              <w:start w:w="100" w:type="dxa"/>
              <w:bottom w:w="80" w:type="dxa"/>
              <w:end w:w="100" w:type="dxa"/>
            </w:tcMar>
          </w:tcPr>
          <w:p>
            <w:r>
              <w:rPr>
                <w:b/>
                <w:color w:val="548235"/>
                <w:sz w:val="19"/>
              </w:rPr>
              <w:t>✓ Criterio de cierre</w:t>
            </w:r>
          </w:p>
          <w:p>
            <w:pPr>
              <w:spacing w:after="0"/>
            </w:pPr>
            <w:r>
              <w:rPr>
                <w:sz w:val="18"/>
              </w:rPr>
              <w:t>El modelado general queda cerrado cuando los actores y casos de uso cubren el comportamiento previsto, las responsabilidades entre roles no son ambiguas, las reglas críticas se encuentran documentadas y el diagrama no introduce casos CRUD redundantes ni relaciones UML artificiales.</w:t>
            </w:r>
          </w:p>
        </w:tc>
      </w:tr>
    </w:tbl>
    <w:sectPr w:rsidR="00FC693F" w:rsidRPr="0006063C" w:rsidSect="00034616">
      <w:headerReference w:type="default" r:id="rId9"/>
      <w:footerReference w:type="default" r:id="rId10"/>
      <w:pgSz w:w="12240" w:h="15840"/>
      <w:pgMar w:top="835" w:right="864" w:bottom="792" w:left="86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A8A8A"/>
        <w:sz w:val="16"/>
      </w:rPr>
      <w:t>Aplicación móvil de voluntariado geolocalizado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A8A8A"/>
        <w:sz w:val="16"/>
      </w:rPr>
      <w:t>Proyecto Final de Carrera · Modelo de casos de uso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pPr>
      <w:keepNext/>
      <w:spacing w:before="0" w:after="80"/>
    </w:pPr>
    <w:rPr>
      <w:rFonts w:ascii="Arial" w:hAnsi="Arial"/>
      <w:b/>
      <w:color w:val="203864"/>
      <w:sz w:val="44"/>
    </w:rPr>
  </w:style>
  <w:style w:type="paragraph" w:customStyle="1" w:styleId="H1Custom">
    <w:name w:val="H1Custom"/>
    <w:pPr>
      <w:keepNext/>
      <w:spacing w:before="160" w:after="80"/>
    </w:pPr>
    <w:rPr>
      <w:rFonts w:ascii="Arial" w:hAnsi="Arial"/>
      <w:b/>
      <w:color w:val="203864"/>
      <w:sz w:val="26"/>
    </w:rPr>
  </w:style>
  <w:style w:type="paragraph" w:customStyle="1" w:styleId="H2Custom">
    <w:name w:val="H2Custom"/>
    <w:pPr>
      <w:keepNext/>
      <w:spacing w:before="100" w:after="40"/>
    </w:pPr>
    <w:rPr>
      <w:rFonts w:ascii="Arial" w:hAnsi="Arial"/>
      <w:b/>
      <w:color w:val="203864"/>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