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454213" cy="1201745"/>
            <wp:effectExtent b="0" l="0" r="0" t="0"/>
            <wp:docPr descr="Research y Teaching Assistant para IAE Business School en Universidad ..." id="2123773939" name="image5.png"/>
            <a:graphic>
              <a:graphicData uri="http://schemas.openxmlformats.org/drawingml/2006/picture">
                <pic:pic>
                  <pic:nvPicPr>
                    <pic:cNvPr descr="Research y Teaching Assistant para IAE Business School en Universidad ..." id="0" name="image5.png"/>
                    <pic:cNvPicPr preferRelativeResize="0"/>
                  </pic:nvPicPr>
                  <pic:blipFill>
                    <a:blip r:embed="rId7"/>
                    <a:srcRect b="0" l="0" r="0" t="0"/>
                    <a:stretch>
                      <a:fillRect/>
                    </a:stretch>
                  </pic:blipFill>
                  <pic:spPr>
                    <a:xfrm>
                      <a:off x="0" y="0"/>
                      <a:ext cx="1454213" cy="12017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1"/>
          <w:smallCaps w:val="0"/>
          <w:strike w:val="0"/>
          <w:color w:val="000000"/>
          <w:sz w:val="20"/>
          <w:szCs w:val="20"/>
          <w:u w:val="none"/>
          <w:shd w:fill="auto" w:val="clear"/>
          <w:vertAlign w:val="baseline"/>
        </w:rPr>
      </w:pPr>
      <w:r w:rsidDel="00000000" w:rsidR="00000000" w:rsidRPr="00000000">
        <w:rPr>
          <w:rFonts w:ascii="Aptos" w:cs="Aptos" w:eastAsia="Aptos" w:hAnsi="Aptos"/>
          <w:b w:val="0"/>
          <w:i w:val="1"/>
          <w:smallCaps w:val="0"/>
          <w:strike w:val="0"/>
          <w:color w:val="000000"/>
          <w:sz w:val="20"/>
          <w:szCs w:val="20"/>
          <w:u w:val="none"/>
          <w:shd w:fill="auto" w:val="clear"/>
          <w:vertAlign w:val="baseline"/>
          <w:rtl w:val="0"/>
        </w:rPr>
        <w:t xml:space="preserve">Maestría en Ciencia de Datos (Virtual)</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1"/>
          <w:smallCaps w:val="0"/>
          <w:strike w:val="0"/>
          <w:color w:val="000000"/>
          <w:sz w:val="20"/>
          <w:szCs w:val="20"/>
          <w:u w:val="none"/>
          <w:shd w:fill="auto" w:val="clear"/>
          <w:vertAlign w:val="baseline"/>
        </w:rPr>
      </w:pPr>
      <w:r w:rsidDel="00000000" w:rsidR="00000000" w:rsidRPr="00000000">
        <w:rPr>
          <w:rFonts w:ascii="Aptos" w:cs="Aptos" w:eastAsia="Aptos" w:hAnsi="Aptos"/>
          <w:b w:val="0"/>
          <w:i w:val="1"/>
          <w:smallCaps w:val="0"/>
          <w:strike w:val="0"/>
          <w:color w:val="000000"/>
          <w:sz w:val="20"/>
          <w:szCs w:val="20"/>
          <w:u w:val="none"/>
          <w:shd w:fill="auto" w:val="clear"/>
          <w:vertAlign w:val="baseline"/>
          <w:rtl w:val="0"/>
        </w:rPr>
        <w:t xml:space="preserve">Facultad de Ingeniería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40"/>
          <w:szCs w:val="40"/>
          <w:u w:val="none"/>
          <w:shd w:fill="auto" w:val="clear"/>
          <w:vertAlign w:val="baseline"/>
        </w:rPr>
      </w:pPr>
      <w:r w:rsidDel="00000000" w:rsidR="00000000" w:rsidRPr="00000000">
        <w:rPr>
          <w:rFonts w:ascii="Aptos" w:cs="Aptos" w:eastAsia="Aptos" w:hAnsi="Aptos"/>
          <w:b w:val="1"/>
          <w:i w:val="0"/>
          <w:smallCaps w:val="0"/>
          <w:strike w:val="0"/>
          <w:color w:val="000000"/>
          <w:sz w:val="40"/>
          <w:szCs w:val="40"/>
          <w:u w:val="none"/>
          <w:shd w:fill="auto" w:val="clear"/>
          <w:vertAlign w:val="baseline"/>
          <w:rtl w:val="0"/>
        </w:rPr>
        <w:t xml:space="preserve">Trabajo Práctico - Introducción a Data Warehousing</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Flujo de datos en un DWA</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Docentes: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Esteban Alonso</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Eduardo Poggi</w:t>
        <w:br w:type="textWrapping"/>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Integrantes del Grupo:</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Brusasca, Lucas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Durán, Pedro</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Gaddi, Martín</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Lijtmaer, Paul</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Palavecino, Nicolás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Fecha de entrega:</w:t>
      </w:r>
      <w:r w:rsidDel="00000000" w:rsidR="00000000" w:rsidRPr="00000000">
        <w:rPr>
          <w:rtl w:val="0"/>
        </w:rPr>
        <w:t xml:space="preserve"> 3 de Julio 2025</w:t>
      </w:r>
    </w:p>
    <w:p w:rsidR="00000000" w:rsidDel="00000000" w:rsidP="00000000" w:rsidRDefault="00000000" w:rsidRPr="00000000" w14:paraId="00000012">
      <w:pPr>
        <w:rPr/>
      </w:pPr>
      <w:r w:rsidDel="00000000" w:rsidR="00000000" w:rsidRPr="00000000">
        <w:rPr>
          <w:b w:val="1"/>
          <w:rtl w:val="0"/>
        </w:rPr>
        <w:t xml:space="preserve">Repositorio de GitHub</w:t>
      </w:r>
      <w:r w:rsidDel="00000000" w:rsidR="00000000" w:rsidRPr="00000000">
        <w:rPr>
          <w:rtl w:val="0"/>
        </w:rPr>
        <w:t xml:space="preserve">: </w:t>
      </w:r>
      <w:hyperlink r:id="rId8">
        <w:r w:rsidDel="00000000" w:rsidR="00000000" w:rsidRPr="00000000">
          <w:rPr>
            <w:color w:val="1155cc"/>
            <w:u w:val="single"/>
            <w:rtl w:val="0"/>
          </w:rPr>
          <w:t xml:space="preserve">https://github.com/plijtmaer/data-warehousing-tp-grupal</w:t>
        </w:r>
      </w:hyperlink>
      <w:r w:rsidDel="00000000" w:rsidR="00000000" w:rsidRPr="00000000">
        <w:rPr>
          <w:rtl w:val="0"/>
        </w:rPr>
        <w:t xml:space="preserve"> </w:t>
      </w:r>
    </w:p>
    <w:bookmarkStart w:colFirst="0" w:colLast="0" w:name="bookmark=id.ue7d3qw4khd6" w:id="0"/>
    <w:bookmarkEnd w:id="0"/>
    <w:p w:rsidR="00000000" w:rsidDel="00000000" w:rsidP="00000000" w:rsidRDefault="00000000" w:rsidRPr="00000000" w14:paraId="00000013">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59" w:lineRule="auto"/>
        <w:ind w:left="0" w:right="0" w:firstLine="0"/>
        <w:jc w:val="left"/>
        <w:rPr>
          <w:rFonts w:ascii="Play" w:cs="Play" w:eastAsia="Play" w:hAnsi="Play"/>
          <w:b w:val="0"/>
          <w:i w:val="0"/>
          <w:smallCaps w:val="0"/>
          <w:strike w:val="0"/>
          <w:color w:val="0f4761"/>
          <w:sz w:val="40"/>
          <w:szCs w:val="40"/>
          <w:u w:val="none"/>
          <w:shd w:fill="auto" w:val="clear"/>
          <w:vertAlign w:val="baseline"/>
        </w:rPr>
      </w:pPr>
      <w:r w:rsidDel="00000000" w:rsidR="00000000" w:rsidRPr="00000000">
        <w:rPr>
          <w:rFonts w:ascii="Play" w:cs="Play" w:eastAsia="Play" w:hAnsi="Play"/>
          <w:b w:val="0"/>
          <w:i w:val="0"/>
          <w:smallCaps w:val="0"/>
          <w:strike w:val="0"/>
          <w:color w:val="0f4761"/>
          <w:sz w:val="40"/>
          <w:szCs w:val="40"/>
          <w:u w:val="none"/>
          <w:shd w:fill="auto" w:val="clear"/>
          <w:vertAlign w:val="baseline"/>
          <w:rtl w:val="0"/>
        </w:rPr>
        <w:t xml:space="preserve">Índice</w:t>
      </w:r>
    </w:p>
    <w:sdt>
      <w:sdtPr>
        <w:id w:val="1736622193"/>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lbc0bhcuoy8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mqsm239x3y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Descripción de la Base de Datos Fuente</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v2a9x5oc6y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Procesos de Construcción del Data Warehouse</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qfvodccpcx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Área Temporal (TMP_) - Recepción y Validación Inicial de Datos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x7sdeyhuv4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Capa Staging (STG_) - Transformación y Homogeneización de Datos</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aai4iap24o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Modelo Dimensional (DWH_) - Diseño Analítico basado en Esquema Estrella</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h3j0zg7hkj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Capas de Memoria e Historización (MEM_) - Conservación de Evolución Histórica</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gi0ik5m550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Enriquecimiento Analítico (ENR_) - Generación de Indicadores Estratégicos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c1tnobqap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Sistema de Metadata - Documentación y Trazabilidad Integral</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pv3ss6nhi5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Data Quality Management (DQM) - Monitoreo de Calidad de Datos</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y29ebj3oqs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Actualización Incremental (Ingesta2) - Incorporación Segura de Nuevos Datos</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q07655fe2k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Tratamientos y Controles Aplicados</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e3h854bb13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Productos de Datos Generados</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81hmli3wyx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Visualización y Dashboards en Power BI</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5hn3jg4vs2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Insights y Findings Principales</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0gn2ld5ywz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Conclusión</w:t>
              <w:tab/>
              <w:t xml:space="preserve">13</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heading=h.lbc0bhcuoy83" w:id="1"/>
      <w:bookmarkEnd w:id="1"/>
      <w:r w:rsidDel="00000000" w:rsidR="00000000" w:rsidRPr="00000000">
        <w:rPr>
          <w:rtl w:val="0"/>
        </w:rPr>
        <w:t xml:space="preserve">Resumen Ejecutivo</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informe presenta, de manera resumida, el desarrollo completo de un Data Warehouse Analítico basado en datos del sistema Northwind, orientado al análisis de ventas, productos, clientes, empleados y desempeño de la organización. El proyecto abarca desde la ingesta inicial y los tratamientos de datos, hasta la generación de productos analíticos de valor y su visualización mediante dashboards (en una herramienta de visualización de elección del equipo: Power BI).</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foco se centró en construir un sistema robusto, confiable y alineado con las mejores prácticas de Data Warehousing, aprendidas a lo largo de la materia, habilitando la detección de insights concretos para la toma de decisiones estratégicas.</w:t>
      </w:r>
    </w:p>
    <w:bookmarkStart w:colFirst="0" w:colLast="0" w:name="bookmark=id.488j98p3eff6" w:id="2"/>
    <w:bookmarkEnd w:id="2"/>
    <w:p w:rsidR="00000000" w:rsidDel="00000000" w:rsidP="00000000" w:rsidRDefault="00000000" w:rsidRPr="00000000" w14:paraId="0000002A">
      <w:pPr>
        <w:pStyle w:val="Heading1"/>
        <w:jc w:val="both"/>
        <w:rPr/>
      </w:pPr>
      <w:bookmarkStart w:colFirst="0" w:colLast="0" w:name="_heading=h.amqsm239x3yr" w:id="3"/>
      <w:bookmarkEnd w:id="3"/>
      <w:r w:rsidDel="00000000" w:rsidR="00000000" w:rsidRPr="00000000">
        <w:rPr>
          <w:rtl w:val="0"/>
        </w:rPr>
        <w:t xml:space="preserve">Descripción de la Base de Datos Fuente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Northwind simula un entorno real de negocio basado en la industria alimenticia y de bebidas, incluyendo datos de clientes, productos, categorías, empleados, proveedores, transportistas y órdenes de compra.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 base de datos fue proveída en forma de 12 csv, con la siguiente composición:</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customers.csv</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products.csv</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orders.csv</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order_details.csv</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employees.csv</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categories.csv</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suppliers.csv</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shippers.csv</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regions.csv</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territories.csv</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employee_territories.csv</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estructura original fue enriquecida con información externa proveniente de 198 países (</w:t>
      </w:r>
      <w:r w:rsidDel="00000000" w:rsidR="00000000" w:rsidRPr="00000000">
        <w:rPr>
          <w:rtl w:val="0"/>
        </w:rPr>
        <w:t xml:space="preserve">world-data-2023.csv)</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la cual incorpora indicadores socioeconómicos como GDP, expectativa de vida, densidad poblacional y otros factores relevantes que aportan contexto al análisis comercial y geográfico. La incorporación de datos externos, agregó una dificultad adicional, al requerir normalización de los datos para su posterior conexión y explotación. Este proceso se explica en los apartados posteriores.</w:t>
      </w:r>
    </w:p>
    <w:bookmarkStart w:colFirst="0" w:colLast="0" w:name="bookmark=id.5ofsyfg1ohc" w:id="4"/>
    <w:bookmarkEnd w:id="4"/>
    <w:p w:rsidR="00000000" w:rsidDel="00000000" w:rsidP="00000000" w:rsidRDefault="00000000" w:rsidRPr="00000000" w14:paraId="00000039">
      <w:pPr>
        <w:pStyle w:val="Heading1"/>
        <w:jc w:val="both"/>
        <w:rPr/>
      </w:pPr>
      <w:bookmarkStart w:colFirst="0" w:colLast="0" w:name="_heading=h.qv2a9x5oc6yf" w:id="5"/>
      <w:bookmarkEnd w:id="5"/>
      <w:r w:rsidDel="00000000" w:rsidR="00000000" w:rsidRPr="00000000">
        <w:rPr>
          <w:rtl w:val="0"/>
        </w:rPr>
        <w:t xml:space="preserve">Procesos de Construcción del Data Warehouse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creación del Data Warehouse se abordó siguiendo un proceso escalonado que garantiza la limpieza, estandarización y transformación progresiva de los datos hasta su disponibilidad final para el análisis:</w:t>
      </w:r>
    </w:p>
    <w:bookmarkStart w:colFirst="0" w:colLast="0" w:name="bookmark=id.b6jsw75kpb19" w:id="6"/>
    <w:bookmarkEnd w:id="6"/>
    <w:p w:rsidR="00000000" w:rsidDel="00000000" w:rsidP="00000000" w:rsidRDefault="00000000" w:rsidRPr="00000000" w14:paraId="0000003B">
      <w:pPr>
        <w:pStyle w:val="Heading2"/>
        <w:jc w:val="both"/>
        <w:rPr/>
      </w:pPr>
      <w:bookmarkStart w:colFirst="0" w:colLast="0" w:name="_heading=h.fqfvodccpcx8" w:id="7"/>
      <w:bookmarkEnd w:id="7"/>
      <w:r w:rsidDel="00000000" w:rsidR="00000000" w:rsidRPr="00000000">
        <w:rPr>
          <w:rtl w:val="0"/>
        </w:rPr>
        <w:t xml:space="preserve">Área Temporal (TMP_) - Recepción y Validación Inicial de Datos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esta etapa se realiza la ingesta inicial de los archivos .csv, conservando la estructura relacional original y respetando llaves primarias y foráneas. Esta capa funciona como una zona de aislamiento que permite inspeccionar los datos en su formato bruto, sin alteraciones ni transformaciones. Se validan los registros incompletos, se identifican potenciales inconsistencias y se prepara el terreno para su tratamiento posterior.</w:t>
      </w:r>
    </w:p>
    <w:bookmarkStart w:colFirst="0" w:colLast="0" w:name="bookmark=id.ftv2ntdovq8c" w:id="8"/>
    <w:bookmarkEnd w:id="8"/>
    <w:p w:rsidR="00000000" w:rsidDel="00000000" w:rsidP="00000000" w:rsidRDefault="00000000" w:rsidRPr="00000000" w14:paraId="0000003D">
      <w:pPr>
        <w:pStyle w:val="Heading2"/>
        <w:jc w:val="both"/>
        <w:rPr/>
      </w:pPr>
      <w:bookmarkStart w:colFirst="0" w:colLast="0" w:name="_heading=h.ux7sdeyhuv4c" w:id="9"/>
      <w:bookmarkEnd w:id="9"/>
      <w:r w:rsidDel="00000000" w:rsidR="00000000" w:rsidRPr="00000000">
        <w:rPr>
          <w:rtl w:val="0"/>
        </w:rPr>
        <w:t xml:space="preserve">Capa Staging (STG_) - Transformación y Homogeneización de Datos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la capa STG_ se aplican transformaciones intermedias indispensables para asegurar la coherencia y calidad de los datos antes de su carga al modelo dimensional. Las tareas incluyen: </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Estandarización de nombres de países, regiones y categorías.</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Normalización de formatos numéricos, fechas y campos de texto.</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Corrección de errores de codificación (acentos, símbolos, caracteres especiales).</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Validación de relaciones jerárquicas, especialmente en estructuras como empleados y territorios.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 capa sirve de filtro de calidad y asegura que los datos cumplen los estándares requeridos.</w:t>
      </w:r>
    </w:p>
    <w:bookmarkStart w:colFirst="0" w:colLast="0" w:name="bookmark=id.nqruoexwgoot" w:id="10"/>
    <w:bookmarkEnd w:id="10"/>
    <w:p w:rsidR="00000000" w:rsidDel="00000000" w:rsidP="00000000" w:rsidRDefault="00000000" w:rsidRPr="00000000" w14:paraId="00000044">
      <w:pPr>
        <w:pStyle w:val="Heading2"/>
        <w:jc w:val="both"/>
        <w:rPr/>
      </w:pPr>
      <w:bookmarkStart w:colFirst="0" w:colLast="0" w:name="_heading=h.iaai4iap24od" w:id="11"/>
      <w:bookmarkEnd w:id="11"/>
      <w:r w:rsidDel="00000000" w:rsidR="00000000" w:rsidRPr="00000000">
        <w:rPr>
          <w:rtl w:val="0"/>
        </w:rPr>
        <w:t xml:space="preserve">Modelo Dimensional (DWH_) - Diseño Analítico basado en Esquema Estrella</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corazón del Data Warehouse se construye bajo un esquema copo de nieve, permitiendo una organización eficiente y flexible de los datos para el análisis.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modelo comprende 10 dimensiones/sub-dimensiones (clientes, productos, tiempo, empleados, proveedores, categorías, transportistas, regiones, países y territorios) y 2 tablas de hechos (órdenes y detalles de productos vendidos) conectadas entre sí en el centro. La estructura favorece consultas rápidas, análisis multidimensionales y la integración de múltiples fuentes de información.</w:t>
      </w:r>
    </w:p>
    <w:bookmarkStart w:colFirst="0" w:colLast="0" w:name="bookmark=id.fedaaeu2p7vf" w:id="12"/>
    <w:bookmarkEnd w:id="12"/>
    <w:p w:rsidR="00000000" w:rsidDel="00000000" w:rsidP="00000000" w:rsidRDefault="00000000" w:rsidRPr="00000000" w14:paraId="00000047">
      <w:pPr>
        <w:pStyle w:val="Heading2"/>
        <w:jc w:val="both"/>
        <w:rPr/>
      </w:pPr>
      <w:bookmarkStart w:colFirst="0" w:colLast="0" w:name="_heading=h.eh3j0zg7hkje" w:id="13"/>
      <w:bookmarkEnd w:id="13"/>
      <w:r w:rsidDel="00000000" w:rsidR="00000000" w:rsidRPr="00000000">
        <w:rPr>
          <w:rtl w:val="0"/>
        </w:rPr>
        <w:t xml:space="preserve">Capas de Memoria e Historización (MEM_) - Conservación de Evolución Histórica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implementan mecanismos para preservar el historial de cambios en los datos maestros clave, como clientes, productos y empleados. Esto permite realizar análisis evolutivos, comparar estados en diferentes momentos y comprender la dinámica del negocio a lo largo del tiempo.</w:t>
      </w:r>
    </w:p>
    <w:bookmarkStart w:colFirst="0" w:colLast="0" w:name="bookmark=id.y98wxruvho2y" w:id="14"/>
    <w:bookmarkEnd w:id="14"/>
    <w:p w:rsidR="00000000" w:rsidDel="00000000" w:rsidP="00000000" w:rsidRDefault="00000000" w:rsidRPr="00000000" w14:paraId="00000049">
      <w:pPr>
        <w:pStyle w:val="Heading2"/>
        <w:jc w:val="both"/>
        <w:rPr/>
      </w:pPr>
      <w:bookmarkStart w:colFirst="0" w:colLast="0" w:name="_heading=h.3gi0ik5m550a" w:id="15"/>
      <w:bookmarkEnd w:id="15"/>
      <w:r w:rsidDel="00000000" w:rsidR="00000000" w:rsidRPr="00000000">
        <w:rPr>
          <w:rtl w:val="0"/>
        </w:rPr>
        <w:t xml:space="preserve">Enriquecimiento Analítico (ENR_) - Generación de Indicadores Estratégicos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esta capa se calculan métricas adicionales, rankings y segmentaciones avanzadas que amplifican el valor analítico de los datos. Algunos ejemplos incluyen la clasificación de clientes según facturación acumulada y frecuencia de compra, el ranking de productos por unidades vendidas y contribución al ingreso total, y métricas de desempeño desagregadas por región, empleado y categoría. Este enriquecimiento facilita la identificación de patrones, tendencias y oportunidades comerciales.</w:t>
      </w:r>
    </w:p>
    <w:bookmarkStart w:colFirst="0" w:colLast="0" w:name="bookmark=id.e16pg9naubjd" w:id="16"/>
    <w:bookmarkEnd w:id="16"/>
    <w:p w:rsidR="00000000" w:rsidDel="00000000" w:rsidP="00000000" w:rsidRDefault="00000000" w:rsidRPr="00000000" w14:paraId="0000004B">
      <w:pPr>
        <w:pStyle w:val="Heading2"/>
        <w:jc w:val="both"/>
        <w:rPr/>
      </w:pPr>
      <w:bookmarkStart w:colFirst="0" w:colLast="0" w:name="_heading=h.tc1tnobqapz" w:id="17"/>
      <w:bookmarkEnd w:id="17"/>
      <w:r w:rsidDel="00000000" w:rsidR="00000000" w:rsidRPr="00000000">
        <w:rPr>
          <w:rtl w:val="0"/>
        </w:rPr>
        <w:t xml:space="preserve">Sistema de Metadata - Documentación y Trazabilidad Integral</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desarrolla una documentación centralizada y detallada que describe técnicamente la estructura de tablas y campos, las relaciones entre entidades, y las transformaciones aplicadas. La categorización por tipos de tabla (staging, dimension, hecho, etc.) permite gestionar el ciclo de vida de los datos de manera sistemática. Cada campo está documentado con su tipo de dato, descripción funcional y origen, creando un diccionario de datos completo que facilita tanto el desarrollo como el uso analítico del DWH.</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 documentación asegura trazabilidad completa, facilita auditorías, promueve la gobernanza de datos y simplifica futuras expansiones o mantenimientos. Esta documentación es crucial para el mantenimiento a largo plazo y facilita la incorporación de nuevos usuarios al sistema.</w:t>
      </w:r>
    </w:p>
    <w:bookmarkStart w:colFirst="0" w:colLast="0" w:name="bookmark=id.jjs1ife8ztyq" w:id="18"/>
    <w:bookmarkEnd w:id="18"/>
    <w:p w:rsidR="00000000" w:rsidDel="00000000" w:rsidP="00000000" w:rsidRDefault="00000000" w:rsidRPr="00000000" w14:paraId="0000004E">
      <w:pPr>
        <w:pStyle w:val="Heading2"/>
        <w:jc w:val="both"/>
        <w:rPr/>
      </w:pPr>
      <w:bookmarkStart w:colFirst="0" w:colLast="0" w:name="_heading=h.gpv3ss6nhi5r" w:id="19"/>
      <w:bookmarkEnd w:id="19"/>
      <w:r w:rsidDel="00000000" w:rsidR="00000000" w:rsidRPr="00000000">
        <w:rPr>
          <w:rtl w:val="0"/>
        </w:rPr>
        <w:t xml:space="preserve">Data Quality Management (DQM) - Monitoreo de Calidad de Datos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sistema DQM garantiza la calidad continua de los datos a través de métricas de completitud, unicidad y consistencia, reglas de validación configurables para cada entidad y umbrales que definen estándares mínimos de aceptación. A su vez, cuenta con un motor de decisiones que automatiza la aprobación o rechazo de procesos de carga. Este enfoque proactivo minimiza errores y asegura la confiabilidad del Data Warehouse.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sistema cuenta con cuatro tablas:</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DQM_Procesos: registro de procesos ejecutados</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DQM_Indicadores: métricas de calidad con umbrales</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DQM_Descriptivos: estadísticas de datos procesados</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DQM_Reglas: reglas de calidad configurables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Parte de estas se utilizará más adelante para analizar la performance del DWH, a través de una visualización en power BI.</w:t>
      </w:r>
    </w:p>
    <w:bookmarkStart w:colFirst="0" w:colLast="0" w:name="bookmark=id.7l3fs4f0u2r2" w:id="20"/>
    <w:bookmarkEnd w:id="20"/>
    <w:p w:rsidR="00000000" w:rsidDel="00000000" w:rsidP="00000000" w:rsidRDefault="00000000" w:rsidRPr="00000000" w14:paraId="00000056">
      <w:pPr>
        <w:pStyle w:val="Heading2"/>
        <w:jc w:val="both"/>
        <w:rPr/>
      </w:pPr>
      <w:bookmarkStart w:colFirst="0" w:colLast="0" w:name="_heading=h.6y29ebj3oqsp" w:id="21"/>
      <w:bookmarkEnd w:id="21"/>
      <w:r w:rsidDel="00000000" w:rsidR="00000000" w:rsidRPr="00000000">
        <w:rPr>
          <w:rtl w:val="0"/>
        </w:rPr>
        <w:t xml:space="preserve">Actualización Incremental (Ingesta2) - Incorporación Segura de Nuevos Datos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diseña un proceso robusto que permite incorporar nuevos registros o modificaciones de forma controlada. Se contempla la identificación de cambios (altas, bajas, modificaciones), la preservación del historial de datos relevantes, y se implementan controles de integridad antes y después de la carga. Este mecanismo garantiza que el DWH se mantenga actualizado, sin comprometer la integridad ni la coherencia de la información histórica.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Como primer paso, los datos nuevos se cargaron en el área temporal a través de tablas espejo, las cuales incorporan un campo que identifica el tipo de operación (inserción, modificación o eliminación). De esta manera, se mantiene la trazabilidad de cada registro sin comprometer la estructura productiva. Esta segunda ingestión incorporó 270 órdenes nuevas, 691 líneas de detalle asociadas y actualizaciones sobre dos clientes existentes.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Antes de avanzar, se aplicaron controles específicos para este tipo de actualización incremental. Los umbrales de calidad se adaptaron al contexto, con exigencias elevadas para la integridad referencial y niveles de completitud y validez de los datos acordes a los estándares definidos. Se verificó que el 100% de los clientes fueran válidos y que más del 98% de las órdenes cumplieran con las reglas de negocio, detectándose algunos valores atípicos que fueron marcados para revisión.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Una vez validados los datos, se ejecutó el motor de decisiones automatizado. Este mecanismo analiza los resultados de los controles de calidad y decide si corresponde continuar, procesar parcialmente o cancelar la actualización. En esta instancia, se identificó un error crítico de integridad referencial y una alta cantidad de registros duplicados, lo que activó automáticamente la cancelación del proceso. Gracias a esta decisión, el DWH se mantuvo protegido y sin alteraciones.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Como parte del proceso, se generaron snapshots históricos previos a la actualización, que permiten comparar el estado de los datos antes y después de cada operación. Esta práctica garantiza la trazabilidad y facilita las auditorías futuras. Asimismo, se actualizaron las capas de enriquecimiento y métricas analíticas, pero únicamente en los casos donde se aplicaron cambios, optimizando así los tiempos y recursos.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Todo el proceso se encuentra estandarizado mediante scripts secuenciales que aseguran el orden, la validación de prerequisitos y la coherencia general. Al finalizar, se actualizaron los sistemas de metadata y los indicadores del sistema de calidad, registrando el estado de las tablas, los campos, los históricos de ingestiones y los resultados de los controles.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 importante destacar que el fallo controlado de Ingesta2 constituye una demostración concreta del valor de la arquitectura implementada. El sistema reaccionó de forma autónoma, protegiendo los datos, bloqueando el avance de registros problemáticos y dejando evidencia documentada de todo el proceso. Este comportamiento refleja la madurez alcanzada, con un DWH que incorpora prácticas empresariales robustas como detección automática de cambios, preservación histórica, controles de calidad avanzados, auditoría integral y mecanismos de recuperación ante errores.</w:t>
      </w:r>
    </w:p>
    <w:bookmarkStart w:colFirst="0" w:colLast="0" w:name="bookmark=id.vks8uvg02vpk" w:id="22"/>
    <w:bookmarkEnd w:id="22"/>
    <w:p w:rsidR="00000000" w:rsidDel="00000000" w:rsidP="00000000" w:rsidRDefault="00000000" w:rsidRPr="00000000" w14:paraId="0000005E">
      <w:pPr>
        <w:pStyle w:val="Heading1"/>
        <w:jc w:val="both"/>
        <w:rPr/>
      </w:pPr>
      <w:bookmarkStart w:colFirst="0" w:colLast="0" w:name="_heading=h.gq07655fe2ko" w:id="23"/>
      <w:bookmarkEnd w:id="23"/>
      <w:r w:rsidDel="00000000" w:rsidR="00000000" w:rsidRPr="00000000">
        <w:rPr>
          <w:rtl w:val="0"/>
        </w:rPr>
        <w:t xml:space="preserve">Tratamientos y Controles Aplicados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Durante todo el pipeline de construcción se aplicaron diversas técnicas de limpieza, estandarización y control para asegurar la confiabilidad de los datos. Muchos de ellos mencionados en la etapa previa de ingesta.</w:t>
      </w:r>
    </w:p>
    <w:bookmarkStart w:colFirst="0" w:colLast="0" w:name="bookmark=id.iu9j0bocukm0" w:id="24"/>
    <w:bookmarkEnd w:id="24"/>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el marco de los tratamientos y controles aplicados, el primer paso consistió en la estandarización de países y regiones, abordando inconsistencias en la denominación de territorios para unificar criterios. Por ejemplo, normalizando los países “United States”, “United Kingdom” y “Republic of Ireland”, a “USA”, “UK” e “Ireland” respectivamente. Esto era especialmente importante para la incorporación de los datos externos al dataset (proveniente de los datos de World_data).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Como segundo paso, se procedió a la corrección de encoding y formatos, solucionando problemas de acentuación, caracteres especiales y símbolos en campos numéricos para mejorar la calidad de los datos.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una tercera instancia, se implementaron validaciones de integridad referencial y jerárquica, asegurando que las órdenes hicieran referencia a clientes, empleados y transportistas válidos, y que las jerarquías internas no presentaran ciclos o errores. Posteriormente, como cuarto paso, se incorporó enriquecimiento con datos externos (ya estandarizados en pasos previos), especialmente indicadores macroeconómicos como el GDP o la expectativa de vida, fortaleciendo el análisis geográfico y la correlación con el desempeño comercial.</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quinto paso abarcó el cálculo de métricas avanzadas y la segmentación, incluyendo la elaboración de rankings de productos más vendidos, la categorización de clientes según su valor y la identificación de las personas con mejor desempeño, así como el análisis de eficiencia logística mediante tiempos de entrega.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Por último, se llevaron a cabo controles específicos en los procesos de actualización incremental. Esto implicó validar la integración de nuevos datos, detectar duplicados y aplicar chequeos adicionales de integridad y calidad, asegurando la coherencia y robustez del modelo en cada etapa de actualización.</w:t>
      </w:r>
    </w:p>
    <w:bookmarkStart w:colFirst="0" w:colLast="0" w:name="bookmark=id.sl2wda8g8m75" w:id="25"/>
    <w:bookmarkEnd w:id="25"/>
    <w:p w:rsidR="00000000" w:rsidDel="00000000" w:rsidP="00000000" w:rsidRDefault="00000000" w:rsidRPr="00000000" w14:paraId="00000065">
      <w:pPr>
        <w:pStyle w:val="Heading1"/>
        <w:jc w:val="both"/>
        <w:rPr/>
      </w:pPr>
      <w:bookmarkStart w:colFirst="0" w:colLast="0" w:name="_heading=h.fe3h854bb13s" w:id="26"/>
      <w:bookmarkEnd w:id="26"/>
      <w:r w:rsidDel="00000000" w:rsidR="00000000" w:rsidRPr="00000000">
        <w:rPr>
          <w:rtl w:val="0"/>
        </w:rPr>
        <w:t xml:space="preserve">Productos de Datos Generados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Luego del desarrollo del Warehouse y su modelado, se generaron productos analíticos diseñados para responder a preguntas estratégicas del negocio, entre los que se destacan: </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Ventas consolidadas por categoría y país.</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Evolución mensual y estacional de los pedidos.</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Top 10 de productos más vendidos.</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Distribución de pedidos y desempeño por empleado.</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Ranking de clientes por facturación.</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Análisis de tiempos promedio de entrega por país.</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Frecuencia de compra y lealtad de clientes.</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Porcentaje de entregas rápidas y su impacto.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Estos productos están integrados en el DWH y preparados para ser explotados mediante reportes y dashboards.</w:t>
      </w:r>
    </w:p>
    <w:bookmarkStart w:colFirst="0" w:colLast="0" w:name="bookmark=id.st7r49nd8dhu" w:id="27"/>
    <w:bookmarkEnd w:id="27"/>
    <w:p w:rsidR="00000000" w:rsidDel="00000000" w:rsidP="00000000" w:rsidRDefault="00000000" w:rsidRPr="00000000" w14:paraId="00000070">
      <w:pPr>
        <w:pStyle w:val="Heading1"/>
        <w:jc w:val="both"/>
        <w:rPr/>
      </w:pPr>
      <w:bookmarkStart w:colFirst="0" w:colLast="0" w:name="_heading=h.i81hmli3wyxk" w:id="28"/>
      <w:bookmarkEnd w:id="28"/>
      <w:r w:rsidDel="00000000" w:rsidR="00000000" w:rsidRPr="00000000">
        <w:rPr>
          <w:rtl w:val="0"/>
        </w:rPr>
        <w:t xml:space="preserve">Visualización y Dashboards en Power BI</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diseñaron dashboards en Power BI que sintetizan los principales indicadores y métricas de negocio. Para probar la funcionalidad de la herramienta, se realizaron distintos reportes.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primer lugar, uno conectado directamente con el Warehouse puro (para validar la integridad de las relaciones, y probar su cohesión). Este se entrega como DB_TP_DW (conectado a DWA). El modelo resultante, una vez conectado, nos muestra que el trabajo realizado en el Warehouse es correcto, y sólido.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089786" cy="3246369"/>
            <wp:effectExtent b="0" l="0" r="0" t="0"/>
            <wp:docPr descr="A screenshot of a computer screen&#10;&#10;AI-generated content may be incorrect." id="2123773941" name="image2.png"/>
            <a:graphic>
              <a:graphicData uri="http://schemas.openxmlformats.org/drawingml/2006/picture">
                <pic:pic>
                  <pic:nvPicPr>
                    <pic:cNvPr descr="A screenshot of a computer screen&#10;&#10;AI-generated content may be incorrect." id="0" name="image2.png"/>
                    <pic:cNvPicPr preferRelativeResize="0"/>
                  </pic:nvPicPr>
                  <pic:blipFill>
                    <a:blip r:embed="rId9"/>
                    <a:srcRect b="0" l="0" r="0" t="0"/>
                    <a:stretch>
                      <a:fillRect/>
                    </a:stretch>
                  </pic:blipFill>
                  <pic:spPr>
                    <a:xfrm>
                      <a:off x="0" y="0"/>
                      <a:ext cx="5089786" cy="324636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Dashboard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se encuentra divido en cuatro</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hojas, cada una referenciando áreas de interés diferentes (Ventas, performance de empleados,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deliveries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y </w:t>
      </w: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customer reviews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Ventas: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50057" cy="2145090"/>
            <wp:effectExtent b="0" l="0" r="0" t="0"/>
            <wp:docPr descr="A screenshot of a computer&#10;&#10;AI-generated content may be incorrect." id="2123773940" name="image7.png"/>
            <a:graphic>
              <a:graphicData uri="http://schemas.openxmlformats.org/drawingml/2006/picture">
                <pic:pic>
                  <pic:nvPicPr>
                    <pic:cNvPr descr="A screenshot of a computer&#10;&#10;AI-generated content may be incorrect." id="0" name="image7.png"/>
                    <pic:cNvPicPr preferRelativeResize="0"/>
                  </pic:nvPicPr>
                  <pic:blipFill>
                    <a:blip r:embed="rId10"/>
                    <a:srcRect b="0" l="0" r="0" t="0"/>
                    <a:stretch>
                      <a:fillRect/>
                    </a:stretch>
                  </pic:blipFill>
                  <pic:spPr>
                    <a:xfrm>
                      <a:off x="0" y="0"/>
                      <a:ext cx="3850057" cy="214509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Employees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763592" cy="2095308"/>
            <wp:effectExtent b="0" l="0" r="0" t="0"/>
            <wp:docPr descr="A screenshot of a computer&#10;&#10;AI-generated content may be incorrect." id="2123773943" name="image1.png"/>
            <a:graphic>
              <a:graphicData uri="http://schemas.openxmlformats.org/drawingml/2006/picture">
                <pic:pic>
                  <pic:nvPicPr>
                    <pic:cNvPr descr="A screenshot of a computer&#10;&#10;AI-generated content may be incorrect." id="0" name="image1.png"/>
                    <pic:cNvPicPr preferRelativeResize="0"/>
                  </pic:nvPicPr>
                  <pic:blipFill>
                    <a:blip r:embed="rId11"/>
                    <a:srcRect b="0" l="0" r="0" t="0"/>
                    <a:stretch>
                      <a:fillRect/>
                    </a:stretch>
                  </pic:blipFill>
                  <pic:spPr>
                    <a:xfrm>
                      <a:off x="0" y="0"/>
                      <a:ext cx="3763592" cy="209530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Deliveries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44701" cy="2150321"/>
            <wp:effectExtent b="0" l="0" r="0" t="0"/>
            <wp:docPr descr="A screenshot of a computer&#10;&#10;AI-generated content may be incorrect." id="2123773942" name="image3.png"/>
            <a:graphic>
              <a:graphicData uri="http://schemas.openxmlformats.org/drawingml/2006/picture">
                <pic:pic>
                  <pic:nvPicPr>
                    <pic:cNvPr descr="A screenshot of a computer&#10;&#10;AI-generated content may be incorrect." id="0" name="image3.png"/>
                    <pic:cNvPicPr preferRelativeResize="0"/>
                  </pic:nvPicPr>
                  <pic:blipFill>
                    <a:blip r:embed="rId12"/>
                    <a:srcRect b="0" l="0" r="0" t="0"/>
                    <a:stretch>
                      <a:fillRect/>
                    </a:stretch>
                  </pic:blipFill>
                  <pic:spPr>
                    <a:xfrm>
                      <a:off x="0" y="0"/>
                      <a:ext cx="3844701" cy="215032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1"/>
          <w:smallCaps w:val="0"/>
          <w:strike w:val="0"/>
          <w:color w:val="000000"/>
          <w:sz w:val="24"/>
          <w:szCs w:val="24"/>
          <w:u w:val="none"/>
          <w:shd w:fill="auto" w:val="clear"/>
          <w:vertAlign w:val="baseline"/>
          <w:rtl w:val="0"/>
        </w:rPr>
        <w:t xml:space="preserve">Customer Review:</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314071" cy="2958506"/>
            <wp:effectExtent b="0" l="0" r="0" t="0"/>
            <wp:docPr descr="A screenshot of a computer dashboard&#10;&#10;AI-generated content may be incorrect." id="2123773945" name="image4.png"/>
            <a:graphic>
              <a:graphicData uri="http://schemas.openxmlformats.org/drawingml/2006/picture">
                <pic:pic>
                  <pic:nvPicPr>
                    <pic:cNvPr descr="A screenshot of a computer dashboard&#10;&#10;AI-generated content may be incorrect." id="0" name="image4.png"/>
                    <pic:cNvPicPr preferRelativeResize="0"/>
                  </pic:nvPicPr>
                  <pic:blipFill>
                    <a:blip r:embed="rId13"/>
                    <a:srcRect b="0" l="0" r="0" t="0"/>
                    <a:stretch>
                      <a:fillRect/>
                    </a:stretch>
                  </pic:blipFill>
                  <pic:spPr>
                    <a:xfrm>
                      <a:off x="0" y="0"/>
                      <a:ext cx="5314071" cy="295850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arquitecturas de Data Warehouse diseñadas para entornos reales de alta demanda y grandes volúmenes de datos, es ampliamente reconocido que una conexión directa desde herramientas de visualización al modelo completo del DWH puede generar múltiples inconvenientes. Fundamentalmente, problemas de performance en las consultas, la saturación de los recursos del servidor y, en ciertos casos, la exposición innecesaria de datos que no son relevantes para los usuarios finales.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Asimismo, permitir el acceso directo al DWH puede derivar en redundancia de cálculos, ya que cada usuario o dashboard podría replicar transformaciones o métricas, aumentando la carga sobre la infraestructura y generando potenciales inconsistencias en los resultados. Por estas razones, se adoptó luego un enfoque más eficiente y seguro, que consiste en la generación de reportes en base a los productos de datos generados previamente, las cuales sintetizan los principales indicadores y métricas clave, prefiltradas y modeladas para los casos de uso específicos. Esto garantiza mayor eficiencia, menor tiempo de respuesta en las consultas y evita la redundancia de cálculos o transformaciones al momento de visualizar la información.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esquema representa el producto final de consumo analítico, donde los usuarios acceden únicamente a datos preparados, confiables y diseñados para la toma de decisiones, respetando las mejores prácticas de rendimiento y seguridad en entornos empresariales.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adjuntan visualizaciones para mostrar los resultados, y se adjunta en la entrega el “DB_TP_DW (Conectado a Vista)”.</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04124" cy="2078856"/>
            <wp:effectExtent b="0" l="0" r="0" t="0"/>
            <wp:docPr descr="A screenshot of a computer&#10;&#10;AI-generated content may be incorrect." id="2123773944" name="image9.png"/>
            <a:graphic>
              <a:graphicData uri="http://schemas.openxmlformats.org/drawingml/2006/picture">
                <pic:pic>
                  <pic:nvPicPr>
                    <pic:cNvPr descr="A screenshot of a computer&#10;&#10;AI-generated content may be incorrect." id="0" name="image9.png"/>
                    <pic:cNvPicPr preferRelativeResize="0"/>
                  </pic:nvPicPr>
                  <pic:blipFill>
                    <a:blip r:embed="rId14"/>
                    <a:srcRect b="0" l="0" r="0" t="0"/>
                    <a:stretch>
                      <a:fillRect/>
                    </a:stretch>
                  </pic:blipFill>
                  <pic:spPr>
                    <a:xfrm>
                      <a:off x="0" y="0"/>
                      <a:ext cx="3804124" cy="207885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42057" cy="1442413"/>
            <wp:effectExtent b="0" l="0" r="0" t="0"/>
            <wp:docPr descr="A screenshot of a computer&#10;&#10;AI-generated content may be incorrect." id="2123773947"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15"/>
                    <a:srcRect b="0" l="0" r="0" t="0"/>
                    <a:stretch>
                      <a:fillRect/>
                    </a:stretch>
                  </pic:blipFill>
                  <pic:spPr>
                    <a:xfrm>
                      <a:off x="0" y="0"/>
                      <a:ext cx="3842057" cy="14424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17548" cy="1456868"/>
            <wp:effectExtent b="0" l="0" r="0" t="0"/>
            <wp:docPr descr="A screenshot of a computer&#10;&#10;AI-generated content may be incorrect." id="2123773946" name="image8.png"/>
            <a:graphic>
              <a:graphicData uri="http://schemas.openxmlformats.org/drawingml/2006/picture">
                <pic:pic>
                  <pic:nvPicPr>
                    <pic:cNvPr descr="A screenshot of a computer&#10;&#10;AI-generated content may be incorrect." id="0" name="image8.png"/>
                    <pic:cNvPicPr preferRelativeResize="0"/>
                  </pic:nvPicPr>
                  <pic:blipFill>
                    <a:blip r:embed="rId16"/>
                    <a:srcRect b="0" l="0" r="0" t="0"/>
                    <a:stretch>
                      <a:fillRect/>
                    </a:stretch>
                  </pic:blipFill>
                  <pic:spPr>
                    <a:xfrm>
                      <a:off x="0" y="0"/>
                      <a:ext cx="3817548" cy="145686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3814449" cy="1930860"/>
            <wp:effectExtent b="0" l="0" r="0" t="0"/>
            <wp:docPr descr="A screenshot of a graph&#10;&#10;AI-generated content may be incorrect." id="2123773949" name="image10.png"/>
            <a:graphic>
              <a:graphicData uri="http://schemas.openxmlformats.org/drawingml/2006/picture">
                <pic:pic>
                  <pic:nvPicPr>
                    <pic:cNvPr descr="A screenshot of a graph&#10;&#10;AI-generated content may be incorrect." id="0" name="image10.png"/>
                    <pic:cNvPicPr preferRelativeResize="0"/>
                  </pic:nvPicPr>
                  <pic:blipFill>
                    <a:blip r:embed="rId17"/>
                    <a:srcRect b="0" l="0" r="0" t="0"/>
                    <a:stretch>
                      <a:fillRect/>
                    </a:stretch>
                  </pic:blipFill>
                  <pic:spPr>
                    <a:xfrm>
                      <a:off x="0" y="0"/>
                      <a:ext cx="3814449" cy="19308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Por último, se realizó un dashboard sobre el DQM, para observar la performance del DWA en relación a los procesos internos. El mismo se adjunta con el nombre “TPDW – DQM”.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5943600" cy="4391025"/>
            <wp:effectExtent b="0" l="0" r="0" t="0"/>
            <wp:docPr descr="A screenshot of a computer screen&#10;&#10;AI-generated content may be incorrect." id="2123773948" name="image6.png"/>
            <a:graphic>
              <a:graphicData uri="http://schemas.openxmlformats.org/drawingml/2006/picture">
                <pic:pic>
                  <pic:nvPicPr>
                    <pic:cNvPr descr="A screenshot of a computer screen&#10;&#10;AI-generated content may be incorrect." id="0" name="image6.png"/>
                    <pic:cNvPicPr preferRelativeResize="0"/>
                  </pic:nvPicPr>
                  <pic:blipFill>
                    <a:blip r:embed="rId18"/>
                    <a:srcRect b="0" l="0" r="0" t="0"/>
                    <a:stretch>
                      <a:fillRect/>
                    </a:stretch>
                  </pic:blipFill>
                  <pic:spPr>
                    <a:xfrm>
                      <a:off x="0" y="0"/>
                      <a:ext cx="5943600" cy="4391025"/>
                    </a:xfrm>
                    <a:prstGeom prst="rect"/>
                    <a:ln/>
                  </pic:spPr>
                </pic:pic>
              </a:graphicData>
            </a:graphic>
          </wp:inline>
        </w:drawing>
      </w:r>
      <w:r w:rsidDel="00000000" w:rsidR="00000000" w:rsidRPr="00000000">
        <w:rPr>
          <w:rtl w:val="0"/>
        </w:rPr>
      </w:r>
    </w:p>
    <w:bookmarkStart w:colFirst="0" w:colLast="0" w:name="bookmark=id.qq9ivs98l3k4" w:id="29"/>
    <w:bookmarkEnd w:id="29"/>
    <w:p w:rsidR="00000000" w:rsidDel="00000000" w:rsidP="00000000" w:rsidRDefault="00000000" w:rsidRPr="00000000" w14:paraId="00000088">
      <w:pPr>
        <w:pStyle w:val="Heading1"/>
        <w:jc w:val="both"/>
        <w:rPr/>
      </w:pPr>
      <w:bookmarkStart w:colFirst="0" w:colLast="0" w:name="_heading=h.h5hn3jg4vs2k" w:id="30"/>
      <w:bookmarkEnd w:id="30"/>
      <w:r w:rsidDel="00000000" w:rsidR="00000000" w:rsidRPr="00000000">
        <w:rPr>
          <w:rtl w:val="0"/>
        </w:rPr>
        <w:t xml:space="preserve">Insights y Findings Principales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En base a los análisis que se pudieron realizar durante el armado, y los resultantes de los productos de datos y visualizaciones generados, se pueden sacar múltiples conclusiones relevantes al negocio.</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Para mencionar solo algunos, y evidenciar la potencia de estos desarrollos, podemos observar:</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Existe una alta concentración de ventas en 5 clientes estratégicos que generan el 33% del total de ingresos de la empresa. En todos ellos, más de la mitad de las órdenes tuvieron descuentos.</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Liderazgo de la categoría “Beverages”, cercano a la segunda, “Dairy Products”. Entre ambos, representan casi el 40% del total de facturación. Hay un producto de bebida en particular (“Côte de Blaye”) que por sí solo representa el 11% de la facturación total, siendo solamente parte del 1% de las órdenes de venta realizadas. Podríamos decir, el producto de mejor margen.</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Picos estacionales de ventas en el cuarto trimestre, asociados a campañas navideñas y de fin de año.</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Correlación positiva entre el GDP de los países y el ticket promedio, validando el enfoque geográfico. Los dos países con mayor facturación, a su vez, son dos de los países mejor posicionados en esa variable (USA, y Alemania).</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Identificación de Margaret Peacock como la empleada con mayor desempeño en ventas (tanto en cantidad como en facturación). En relación a la performance, Steve Buchanan es el que más proporción de órdenes con descuentos otorgados tiene. Y a su vez, es el de menor cantidad y valor de ventas posee.</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Detección de un 5% de entregas fuera de los plazos establecidos, con disparidad entra las empresas de transporte en cuánto a la performance (siendo Federal Shipping la que menos tiempo toma en promedio, y la que menos pedidos tardíos posee). Esta tendencia NO es igual por país, ya que por ejemplo, en Brasil, Federal Shipping es la de peor performance. Existe posibilidad de mejorar la logística, delimitando los proveedores a trabajar en las regiones que mejor performen.</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 observa que los clientes con menor cantidad de órdenes, prácticamente no tuvieron nunca un descuento. Lo que refleja una política de empresa orientada a “premiar” la lealtad de sus clientes con descuentos, en vez de ofrecer descuentos en pos de obtener nuevos clientes. Esto no es un input para la empresa, pero sí para aquellos que busquen trabajar con la misma o competir.</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Estas son solo algunas de las conclusiones que se puede obtener. Para más inputs, pueden utilizarse los dashboards generados.</w:t>
      </w:r>
    </w:p>
    <w:bookmarkStart w:colFirst="0" w:colLast="0" w:name="bookmark=id.394fyeodm5gd" w:id="31"/>
    <w:bookmarkEnd w:id="31"/>
    <w:p w:rsidR="00000000" w:rsidDel="00000000" w:rsidP="00000000" w:rsidRDefault="00000000" w:rsidRPr="00000000" w14:paraId="00000093">
      <w:pPr>
        <w:pStyle w:val="Heading1"/>
        <w:jc w:val="both"/>
        <w:rPr/>
      </w:pPr>
      <w:bookmarkStart w:colFirst="0" w:colLast="0" w:name="_heading=h.10gn2ld5ywzx" w:id="32"/>
      <w:bookmarkEnd w:id="32"/>
      <w:r w:rsidDel="00000000" w:rsidR="00000000" w:rsidRPr="00000000">
        <w:rPr>
          <w:rtl w:val="0"/>
        </w:rPr>
        <w:t xml:space="preserve">Conclusión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La implementación integral de este Data Warehouse demostró ser mucho más que un simple ejercicio técnico: se consolidó como una herramienta concreta de apoyo a la toma de decisiones, capaz de transformar datos dispersos y operativos en información estructurada, confiable y enfocada en las verdaderas necesidades del negocio.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El enfoque modular permitió construir una arquitectura ordenada y escalable, que separa de forma clara cada etapa del proceso: desde la ingesta de datos crudos, los controles de calidad, la integración de fuentes externas, hasta la publicación de métricas listas para ser consumidas. Este diseño, combinado con mecanismos de control, auditoría y enriquecimiento, garantiza no solo la precisión de los datos, sino también su contexto y relevancia para quienes deben interpretarlos.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Los análisis realizados sobre el modelo permitieron detectar patrones comerciales relevantes, como la alta concentración de ventas en pocos clientes, tendencias estacionales y oportunidades de mejora en distintos ámbitos de la empresa. A su vez, las métricas de desempeño por empleado, producto y país brindan una visión concreta que ayuda a entender dónde se generan los mejores resultados y dónde es necesario ajustar las estrategias.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Más allá de lo técnico, este proyecto refleja la importancia de aplicar un enfoque metódico y robusto en la gestión de datos, como requisito indispensable para que los sistemas de información se conviertan en aliados reales del negocio. No se trata solo de almacenar datos, sino de organizarlos, depurarlos y convertirlos en una fuente de valor accesible, confiable y accionable para todos los niveles de la organización.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Este trabajo representa un paso clave en la construcción de una cultura basada en datos, sentando las bases para un ecosistema analítico que, con el tiempo, podrá evolucionar, escalar y seguir generando valor de manera sostenida. Y tener la posibilidad de desarrollarlo en el ámbito académico, permite toparnos con los desafíos de la vida laboral, en un contexto de menor riesgo. Algo que enriquece nuestras capacidades de llevarlo a cabo en el mundo corporativo más adelante.</w:t>
      </w:r>
    </w:p>
    <w:sectPr>
      <w:footerReference r:id="rId19"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AR"/>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Rule="auto"/>
      <w:jc w:val="center"/>
    </w:pPr>
    <w:rPr>
      <w:rFonts w:ascii="Play" w:cs="Play" w:eastAsia="Play" w:hAnsi="Play"/>
      <w:sz w:val="56"/>
      <w:szCs w:val="5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character" w:styleId="TitleChar" w:customStyle="1">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qFormat w:val="1"/>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paragraph" w:styleId="FootnoteBlockText" w:customStyle="1">
    <w:name w:val="Footnote Block Text"/>
    <w:basedOn w:val="FootnoteText"/>
    <w:next w:val="FootnoteText"/>
    <w:uiPriority w:val="9"/>
    <w:unhideWhenUsed w:val="1"/>
    <w:qFormat w:val="1"/>
    <w:pPr>
      <w:spacing w:after="100" w:before="100"/>
      <w:ind w:left="480" w:right="480"/>
    </w:pPr>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val="1"/>
    <w:qFormat w:val="1"/>
    <w:pPr>
      <w:spacing w:before="240" w:line="259" w:lineRule="auto"/>
      <w:outlineLvl w:val="9"/>
    </w:p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val="1"/>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val="1"/>
      <w:color w:val="008000"/>
      <w:sz w:val="22"/>
    </w:rPr>
  </w:style>
  <w:style w:type="character" w:styleId="CommentTok" w:customStyle="1">
    <w:name w:val="CommentTok"/>
    <w:basedOn w:val="VerbatimChar"/>
    <w:rPr>
      <w:rFonts w:ascii="Consolas" w:hAnsi="Consolas"/>
      <w:i w:val="1"/>
      <w:color w:val="60a0b0"/>
      <w:sz w:val="22"/>
    </w:rPr>
  </w:style>
  <w:style w:type="character" w:styleId="DocumentationTok" w:customStyle="1">
    <w:name w:val="DocumentationTok"/>
    <w:basedOn w:val="VerbatimChar"/>
    <w:rPr>
      <w:rFonts w:ascii="Consolas" w:hAnsi="Consolas"/>
      <w:i w:val="1"/>
      <w:color w:val="ba2121"/>
      <w:sz w:val="22"/>
    </w:rPr>
  </w:style>
  <w:style w:type="character" w:styleId="AnnotationTok" w:customStyle="1">
    <w:name w:val="AnnotationTok"/>
    <w:basedOn w:val="VerbatimChar"/>
    <w:rPr>
      <w:rFonts w:ascii="Consolas" w:hAnsi="Consolas"/>
      <w:b w:val="1"/>
      <w:i w:val="1"/>
      <w:color w:val="60a0b0"/>
      <w:sz w:val="22"/>
    </w:rPr>
  </w:style>
  <w:style w:type="character" w:styleId="CommentVarTok" w:customStyle="1">
    <w:name w:val="CommentVarTok"/>
    <w:basedOn w:val="VerbatimChar"/>
    <w:rPr>
      <w:rFonts w:ascii="Consolas" w:hAnsi="Consolas"/>
      <w:b w:val="1"/>
      <w:i w:val="1"/>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val="1"/>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val="1"/>
      <w:i w:val="1"/>
      <w:color w:val="60a0b0"/>
      <w:sz w:val="22"/>
    </w:rPr>
  </w:style>
  <w:style w:type="character" w:styleId="WarningTok" w:customStyle="1">
    <w:name w:val="WarningTok"/>
    <w:basedOn w:val="VerbatimChar"/>
    <w:rPr>
      <w:rFonts w:ascii="Consolas" w:hAnsi="Consolas"/>
      <w:b w:val="1"/>
      <w:i w:val="1"/>
      <w:color w:val="60a0b0"/>
      <w:sz w:val="22"/>
    </w:rPr>
  </w:style>
  <w:style w:type="character" w:styleId="AlertTok" w:customStyle="1">
    <w:name w:val="AlertTok"/>
    <w:basedOn w:val="VerbatimChar"/>
    <w:rPr>
      <w:rFonts w:ascii="Consolas" w:hAnsi="Consolas"/>
      <w:b w:val="1"/>
      <w:color w:val="ff0000"/>
      <w:sz w:val="22"/>
    </w:rPr>
  </w:style>
  <w:style w:type="character" w:styleId="ErrorTok" w:customStyle="1">
    <w:name w:val="ErrorTok"/>
    <w:basedOn w:val="VerbatimChar"/>
    <w:rPr>
      <w:rFonts w:ascii="Consolas" w:hAnsi="Consolas"/>
      <w:b w:val="1"/>
      <w:color w:val="ff0000"/>
      <w:sz w:val="22"/>
    </w:rPr>
  </w:style>
  <w:style w:type="character" w:styleId="NormalTok" w:customStyle="1">
    <w:name w:val="NormalTok"/>
    <w:basedOn w:val="VerbatimChar"/>
    <w:rPr>
      <w:rFonts w:ascii="Consolas" w:hAnsi="Consolas"/>
      <w:sz w:val="22"/>
    </w:rPr>
  </w:style>
  <w:style w:type="paragraph" w:styleId="TOC1">
    <w:name w:val="toc 1"/>
    <w:basedOn w:val="Normal"/>
    <w:next w:val="Normal"/>
    <w:autoRedefine w:val="1"/>
    <w:uiPriority w:val="39"/>
    <w:rsid w:val="00ED7ABA"/>
    <w:pPr>
      <w:spacing w:after="100"/>
    </w:pPr>
  </w:style>
  <w:style w:type="paragraph" w:styleId="TOC2">
    <w:name w:val="toc 2"/>
    <w:basedOn w:val="Normal"/>
    <w:next w:val="Normal"/>
    <w:autoRedefine w:val="1"/>
    <w:uiPriority w:val="39"/>
    <w:rsid w:val="00ED7ABA"/>
    <w:pPr>
      <w:spacing w:after="100"/>
      <w:ind w:left="240"/>
    </w:pPr>
  </w:style>
  <w:style w:type="paragraph" w:styleId="Header">
    <w:name w:val="header"/>
    <w:basedOn w:val="Normal"/>
    <w:link w:val="HeaderChar"/>
    <w:rsid w:val="00FC6634"/>
    <w:pPr>
      <w:tabs>
        <w:tab w:val="center" w:pos="4680"/>
        <w:tab w:val="right" w:pos="9360"/>
      </w:tabs>
      <w:spacing w:after="0"/>
    </w:pPr>
  </w:style>
  <w:style w:type="character" w:styleId="HeaderChar" w:customStyle="1">
    <w:name w:val="Header Char"/>
    <w:basedOn w:val="DefaultParagraphFont"/>
    <w:link w:val="Header"/>
    <w:rsid w:val="00FC6634"/>
  </w:style>
  <w:style w:type="paragraph" w:styleId="Footer">
    <w:name w:val="footer"/>
    <w:basedOn w:val="Normal"/>
    <w:link w:val="FooterChar"/>
    <w:uiPriority w:val="99"/>
    <w:rsid w:val="00FC6634"/>
    <w:pPr>
      <w:tabs>
        <w:tab w:val="center" w:pos="4680"/>
        <w:tab w:val="right" w:pos="9360"/>
      </w:tabs>
      <w:spacing w:after="0"/>
    </w:pPr>
  </w:style>
  <w:style w:type="character" w:styleId="FooterChar" w:customStyle="1">
    <w:name w:val="Footer Char"/>
    <w:basedOn w:val="DefaultParagraphFont"/>
    <w:link w:val="Footer"/>
    <w:uiPriority w:val="99"/>
    <w:rsid w:val="00FC6634"/>
  </w:style>
  <w:style w:type="paragraph" w:styleId="Subtitle">
    <w:name w:val="Subtitle"/>
    <w:basedOn w:val="Normal"/>
    <w:next w:val="Normal"/>
    <w:pPr>
      <w:spacing w:after="8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hyperlink" Target="https://github.com/plijtmaer/data-warehousing-tp-grup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1fx+ub0qdCd7V9X42ptKLbfOIQ==">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2025-07-03T04:10:00Z</dcterms:created>
  <dc:creator>Martín Gaddi</dc:creator>
</cp:coreProperties>
</file>