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F4C36"/>
          <w:sz w:val="20"/>
        </w:rPr>
        <w:t>GOZADORAS CLUB</w:t>
      </w:r>
    </w:p>
    <w:p>
      <w:pPr>
        <w:pStyle w:val="Title"/>
        <w:spacing w:after="80"/>
      </w:pPr>
      <w:r>
        <w:t>Devolución del Mapa de la Vida Erótica</w:t>
      </w:r>
    </w:p>
    <w:p>
      <w:pPr>
        <w:pStyle w:val="Subtitle"/>
        <w:spacing w:after="80"/>
      </w:pPr>
      <w:r>
        <w:t>Configuración · Destinos · Puente</w:t>
      </w:r>
    </w:p>
    <w:p>
      <w:pPr>
        <w:spacing w:after="160"/>
      </w:pPr>
      <w:r>
        <w:rPr>
          <w:b/>
          <w:color w:val="7E1F0F"/>
          <w:sz w:val="18"/>
        </w:rPr>
        <w:t>PRELIMINAR · 25/09/2026</w:t>
      </w:r>
    </w:p>
    <w:p>
      <w:pPr>
        <w:spacing w:after="120"/>
      </w:pPr>
      <w:r>
        <w:rPr>
          <w:b/>
          <w:color w:val="3F4C36"/>
        </w:rPr>
        <w:t xml:space="preserve">Propósito. </w:t>
      </w:r>
      <w:r>
        <w:t>Definir qué debe ocurrir con el resultado del instrumento para producir una devolución completa, trazable, reconsultable y utilizable, y delimitar la pieza técnica que se dimensionará.</w:t>
      </w:r>
    </w:p>
    <w:tbl>
      <w:tblPr>
        <w:tblW w:type="auto" w:w="0"/>
        <w:jc w:val="left"/>
        <w:tblLook w:firstColumn="1" w:firstRow="1" w:lastColumn="0" w:lastRow="0" w:noHBand="0" w:noVBand="1" w:val="04A0"/>
      </w:tblPr>
      <w:tblGrid>
        <w:gridCol w:w="10224"/>
      </w:tblGrid>
      <w:tr>
        <w:tc>
          <w:tcPr>
            <w:tcW w:type="dxa" w:w="10224"/>
            <w:shd w:fill="F7F1EA"/>
            <w:tcMar>
              <w:top w:w="110" w:type="dxa"/>
              <w:start w:w="130" w:type="dxa"/>
              <w:bottom w:w="110" w:type="dxa"/>
              <w:end w:w="130" w:type="dxa"/>
            </w:tcMar>
          </w:tcPr>
          <w:p>
            <w:r>
              <w:rPr>
                <w:b/>
                <w:color w:val="7E1F0F"/>
              </w:rPr>
              <w:t xml:space="preserve">Resultado esperado. </w:t>
            </w:r>
            <w:r>
              <w:t>La mujer no termina frente a un cuestionario respondido. Termina con una lectura situada de su vida erótica, tres direcciones visibles en primera instancia y una continuidad posible, sin que el sistema diagnostique, invente causas ni decida por ella.</w:t>
            </w:r>
          </w:p>
        </w:tc>
      </w:tr>
    </w:tbl>
    <w:p>
      <w:pPr>
        <w:pStyle w:val="Heading1"/>
        <w:spacing w:before="180" w:after="80"/>
        <w:keepNext/>
      </w:pPr>
      <w:r>
        <w:t>1. Principio de experiencia</w:t>
      </w:r>
    </w:p>
    <w:p>
      <w:r>
        <w:t>La devolución debe integrarse al mismo flujo de experiencia y al mismo estado de sesión del Mapa: una experiencia de navegación, no un formulario ni un reporte técnico. La lógica visual propuesta para el MVP —progreso visible, transiciones, tarjetas/chips, escalas, componentes táctiles y recursos gráficos— puede reutilizarse y ajustarse al instrumento vigente. Cada señal puede usar el componente visual que mejor corresponda sin perder trazabilidad.</w:t>
      </w:r>
    </w:p>
    <w:p>
      <w:pPr>
        <w:pStyle w:val="Heading1"/>
        <w:spacing w:before="180" w:after="80"/>
        <w:keepNext/>
      </w:pPr>
      <w:r>
        <w:t>2. Configuración</w:t>
      </w:r>
    </w:p>
    <w:p>
      <w:pPr>
        <w:pStyle w:val="ListBullet"/>
        <w:spacing w:after="40"/>
        <w:keepLines/>
      </w:pPr>
      <w:r>
        <w:t>La Configuración es una fotografía situada del momento erótico actual. Integra únicamente aquello que las respuestas permiten sostener: estado, dirección expresada, condiciones, recursos, tensiones, cambios e incertidumbres. No es diagnóstico, identidad fija ni puntaje global.</w:t>
      </w:r>
    </w:p>
    <w:p>
      <w:pPr>
        <w:pStyle w:val="ListBullet"/>
        <w:spacing w:after="40"/>
        <w:keepLines/>
      </w:pPr>
      <w:r>
        <w:t>Cada afirmación conserva una traza hacia las respuestas/señales que la sostienen.</w:t>
      </w:r>
    </w:p>
    <w:p>
      <w:pPr>
        <w:pStyle w:val="ListBullet"/>
        <w:spacing w:after="40"/>
        <w:keepLines/>
      </w:pPr>
      <w:r>
        <w:t>Puede contener tensiones simultáneas sin elegir arbitrariamente cuál es “la verdad”.</w:t>
      </w:r>
    </w:p>
    <w:p>
      <w:pPr>
        <w:pStyle w:val="ListBullet"/>
        <w:spacing w:after="40"/>
        <w:keepLines/>
      </w:pPr>
      <w:r>
        <w:t>El lenguaje visible es controlado por GOZADORAS; esta versión no depende de IA generativa para redactar la devolución.</w:t>
      </w:r>
    </w:p>
    <w:p>
      <w:pPr>
        <w:pStyle w:val="Heading1"/>
        <w:spacing w:before="180" w:after="80"/>
        <w:keepNext/>
      </w:pPr>
      <w:r>
        <w:t>3. Destinos</w:t>
      </w:r>
    </w:p>
    <w:p>
      <w:pPr>
        <w:pStyle w:val="ListBullet"/>
        <w:spacing w:after="40"/>
        <w:keepLines/>
      </w:pPr>
      <w:r>
        <w:t>Los Destinos son direcciones posibles de progreso, no prácticas, tratamientos, Jobs ni productos comerciales.</w:t>
      </w:r>
    </w:p>
    <w:p>
      <w:pPr>
        <w:pStyle w:val="ListBullet"/>
        <w:spacing w:after="40"/>
        <w:keepLines/>
      </w:pPr>
      <w:r>
        <w:t>Por cada Mapa completo, el motor debe producir y ordenar exactamente cinco Destinos sustentables: tres principales (posiciones 1–3) y dos alternativos (posiciones 4–5). Los cinco conservan evidencia/traza y orden.</w:t>
      </w:r>
    </w:p>
    <w:p>
      <w:pPr>
        <w:pStyle w:val="ListBullet"/>
        <w:spacing w:after="40"/>
        <w:keepLines/>
      </w:pPr>
      <w:r>
        <w:t>Si un patrón válido de respuestas no permite sostener cinco Destinos sin inventar, el motor no rellena posiciones: ese caso se considera una falla de instrumento/reglas a resolver en QA antes de liberar esa versión.</w:t>
      </w:r>
    </w:p>
    <w:p>
      <w:pPr>
        <w:pStyle w:val="ListBullet"/>
        <w:spacing w:after="40"/>
        <w:keepLines/>
      </w:pPr>
      <w:r>
        <w:t>La mujer ve inicialmente solo los tres principales. Cada Destino visible incluye un porqué breve, humano y trazable.</w:t>
      </w:r>
    </w:p>
    <w:p>
      <w:pPr>
        <w:pStyle w:val="ListBullet"/>
        <w:spacing w:after="40"/>
        <w:keepLines/>
      </w:pPr>
      <w:r>
        <w:t>Si ninguno de los tres principales le hace sentido, puede abrir “Ver otras posibilidades” (o equivalente) y ver los dos Destinos alternativos, también con porqué breve y trazable.</w:t>
      </w:r>
    </w:p>
    <w:p>
      <w:pPr>
        <w:pStyle w:val="ListBullet"/>
        <w:spacing w:after="40"/>
        <w:keepLines/>
      </w:pPr>
      <w:r>
        <w:t>Durante el período de prueba, las posiciones 4–5 son además una herramienta de calibración interna: permiten revisar si el criterio del motor está dejando como alternativas Destinos que metodológicamente deberían haber quedado entre los tres principales. Debe poder auditarse no solo qué cinco Destinos salieron, sino por qué quedaron en ese orden 1–5.</w:t>
      </w:r>
    </w:p>
    <w:p>
      <w:pPr>
        <w:pStyle w:val="ListBullet"/>
        <w:spacing w:after="40"/>
        <w:keepLines/>
      </w:pPr>
      <w:r>
        <w:t>La mujer puede indicar que un Destino le hace especialmente sentido o que todavía no lo tiene claro. Esto se registra como resonancia inicial; no equivale a elección del Destino de trabajo.</w:t>
      </w:r>
    </w:p>
    <w:p>
      <w:pPr>
        <w:pStyle w:val="ListBullet"/>
        <w:spacing w:after="40"/>
        <w:keepLines/>
      </w:pPr>
      <w:r>
        <w:t>Catálogo de trabajo actual: 11 Destinos candidatos. Su número solo cambia si la auditoría metodológica detecta una dirección realmente distinta.</w:t>
      </w:r>
    </w:p>
    <w:p>
      <w:pPr>
        <w:pStyle w:val="Heading1"/>
        <w:spacing w:before="180" w:after="80"/>
        <w:keepNext/>
      </w:pPr>
      <w:r>
        <w:t>4. Condición para habilitar la devolución</w:t>
      </w:r>
    </w:p>
    <w:p>
      <w:r>
        <w:t>La devolución solo se habilita cuando el instrumento alcanza el Gate de completitud definido en el documento “Instrumento del Mapa de la Vida Erótica”. La lógica de respuestas, omisiones, branches, estados de privacidad, persistencia y longitudinalidad se gobierna allí y no se duplica en este documento.</w:t>
      </w:r>
    </w:p>
    <w:p>
      <w:pPr>
        <w:pStyle w:val="Heading1"/>
        <w:spacing w:before="180" w:after="80"/>
        <w:keepNext/>
      </w:pPr>
      <w:r>
        <w:t>5. Pantalla de devolución</w:t>
      </w:r>
    </w:p>
    <w:p>
      <w:pPr>
        <w:pStyle w:val="ListBullet"/>
        <w:spacing w:after="40"/>
        <w:keepLines/>
      </w:pPr>
      <w:r>
        <w:t>Configuración situada en lenguaje humano.</w:t>
      </w:r>
    </w:p>
    <w:p>
      <w:pPr>
        <w:pStyle w:val="ListBullet"/>
        <w:spacing w:after="40"/>
        <w:keepLines/>
      </w:pPr>
      <w:r>
        <w:t>Tres Destinos principales con porqué breve.</w:t>
      </w:r>
    </w:p>
    <w:p>
      <w:pPr>
        <w:pStyle w:val="ListBullet"/>
        <w:spacing w:after="40"/>
        <w:keepLines/>
      </w:pPr>
      <w:r>
        <w:t>Resonancia inicial opcional frente a esos tres Destinos, incluida la posibilidad de indicar que todavía no lo tiene claro.</w:t>
      </w:r>
    </w:p>
    <w:p>
      <w:pPr>
        <w:pStyle w:val="ListBullet"/>
        <w:spacing w:after="40"/>
        <w:keepLines/>
      </w:pPr>
      <w:r>
        <w:t>Si ninguno le hace sentido, acceso explícito a dos Destinos alternativos; si se muestran, la resonancia también puede registrarse respecto de ellos.</w:t>
      </w:r>
    </w:p>
    <w:p>
      <w:pPr>
        <w:pStyle w:val="ListBullet"/>
        <w:spacing w:after="40"/>
        <w:keepLines/>
      </w:pPr>
      <w:r>
        <w:t>Acceso secundario de solo lectura a “Ver mis respuestas”, según las reglas de persistencia del instrumento.</w:t>
      </w:r>
    </w:p>
    <w:p>
      <w:pPr>
        <w:pStyle w:val="ListBullet"/>
        <w:spacing w:after="40"/>
        <w:keepLines/>
      </w:pPr>
      <w:r>
        <w:t>Cierre que invite a continuar sin convertir esa invitación en condición para recibir el resultado.</w:t>
      </w:r>
    </w:p>
    <w:tbl>
      <w:tblPr>
        <w:tblW w:type="auto" w:w="0"/>
        <w:tblLook w:firstColumn="1" w:firstRow="1" w:lastColumn="0" w:lastRow="0" w:noHBand="0" w:noVBand="1" w:val="04A0"/>
      </w:tblPr>
      <w:tblGrid>
        <w:gridCol w:w="10224"/>
      </w:tblGrid>
      <w:tr>
        <w:tc>
          <w:tcPr>
            <w:tcW w:type="dxa" w:w="10224"/>
            <w:shd w:fill="F7F1EA"/>
            <w:tcMar>
              <w:top w:w="100" w:type="dxa"/>
              <w:start w:w="120" w:type="dxa"/>
              <w:bottom w:w="100" w:type="dxa"/>
              <w:end w:w="120" w:type="dxa"/>
            </w:tcMar>
          </w:tcPr>
          <w:p>
            <w:r>
              <w:rPr>
                <w:b/>
                <w:color w:val="7E1F0F"/>
              </w:rPr>
              <w:t xml:space="preserve">Cierre de experiencia sugerido. </w:t>
            </w:r>
            <w:r>
              <w:t>“Tu Mapa sigue. ¿Quieres ver cómo podrías avanzar desde aquí?” → “Ver cómo continuar”.</w:t>
            </w:r>
          </w:p>
        </w:tc>
      </w:tr>
    </w:tbl>
    <w:p>
      <w:pPr>
        <w:pStyle w:val="Heading1"/>
        <w:spacing w:before="180" w:after="80"/>
        <w:keepNext/>
      </w:pPr>
      <w:r>
        <w:t>6. Puente</w:t>
      </w:r>
    </w:p>
    <w:p>
      <w:pPr>
        <w:pStyle w:val="ListBullet"/>
        <w:spacing w:after="40"/>
        <w:keepLines/>
      </w:pPr>
      <w:r>
        <w:t>El Puente es una única página de continuidad posterior a la devolución. Es parte de la pieza solicitada, pero no altera ni condiciona el resultado del Mapa.</w:t>
      </w:r>
    </w:p>
    <w:p>
      <w:pPr>
        <w:pStyle w:val="ListBullet"/>
        <w:spacing w:after="40"/>
        <w:keepLines/>
      </w:pPr>
      <w:r>
        <w:t>GOZADORAS debe poder modificar título, texto, botón, URL/acción y activar/desactivar la acción sin modificar el motor de Configuración/Destinos.</w:t>
      </w:r>
    </w:p>
    <w:p>
      <w:pPr>
        <w:pStyle w:val="ListBullet"/>
        <w:spacing w:after="40"/>
        <w:keepLines/>
      </w:pPr>
      <w:r>
        <w:t>Hoy puede registrar interés; posteriormente puede derivar a invitación, reserva o compra directa del producto posterior.</w:t>
      </w:r>
    </w:p>
    <w:p>
      <w:pPr>
        <w:pStyle w:val="ListBullet"/>
        <w:spacing w:after="40"/>
        <w:keepLines/>
      </w:pPr>
      <w:r>
        <w:t>Los eventos del Puente deben quedar asociados al session_id para poder analizar Mapa → Destinos mostrados → resonancia → continuidad.</w:t>
      </w:r>
    </w:p>
    <w:p>
      <w:pPr>
        <w:pStyle w:val="Heading1"/>
        <w:spacing w:before="180" w:after="80"/>
        <w:keepNext/>
      </w:pPr>
      <w:r>
        <w:t>7. Automatización y reproducibilidad</w:t>
      </w:r>
    </w:p>
    <w:p>
      <w:pPr>
        <w:pStyle w:val="ListBullet"/>
        <w:spacing w:after="40"/>
        <w:keepLines/>
      </w:pPr>
      <w:r>
        <w:t>GOZADORAS define significado, límites y reglas metodológicas. La implementación técnica propone el cómo.</w:t>
      </w:r>
    </w:p>
    <w:p>
      <w:pPr>
        <w:pStyle w:val="ListBullet"/>
        <w:spacing w:after="40"/>
        <w:keepLines/>
      </w:pPr>
      <w:r>
        <w:t>El motor puede normalizar, producir señales, ejecutar branches, armar Configuración y priorizar/ordenar Destinos.</w:t>
      </w:r>
    </w:p>
    <w:p>
      <w:pPr>
        <w:pStyle w:val="ListBullet"/>
        <w:spacing w:after="40"/>
        <w:keepLines/>
      </w:pPr>
      <w:r>
        <w:t>No diagnostica, no inventa causalidad, no redefine lo que la mujer quiere y no elige por ella.</w:t>
      </w:r>
    </w:p>
    <w:p>
      <w:pPr>
        <w:pStyle w:val="ListBullet"/>
        <w:spacing w:after="40"/>
        <w:keepLines/>
      </w:pPr>
      <w:r>
        <w:t>Criterio rector: máxima personalización compatible con trazabilidad, transferibilidad y agencia.</w:t>
      </w:r>
    </w:p>
    <w:p>
      <w:pPr>
        <w:pStyle w:val="ListBullet"/>
        <w:spacing w:after="40"/>
        <w:keepLines/>
      </w:pPr>
      <w:r>
        <w:t>Mismo input + mismas versiones deben reproducir el mismo resultado estructurado: misma Configuración, mismo orden de los cinco Destinos, misma traza de evidencia y misma traza de ranking.</w:t>
      </w:r>
    </w:p>
    <w:p>
      <w:pPr>
        <w:pStyle w:val="Heading1"/>
        <w:spacing w:before="180" w:after="80"/>
        <w:keepNext/>
      </w:pPr>
      <w:r>
        <w:t>8. Estado estructurado mínimo</w:t>
      </w:r>
    </w:p>
    <w:p>
      <w:pPr>
        <w:pStyle w:val="ListBullet"/>
        <w:spacing w:after="40"/>
        <w:keepLines/>
      </w:pPr>
      <w:r>
        <w:t>session_id y map_completed_at;</w:t>
      </w:r>
    </w:p>
    <w:p>
      <w:pPr>
        <w:pStyle w:val="ListBullet"/>
        <w:spacing w:after="40"/>
        <w:keepLines/>
      </w:pPr>
      <w:r>
        <w:t>versión de instrumento, catálogo de Destinos y reglas;</w:t>
      </w:r>
    </w:p>
    <w:p>
      <w:pPr>
        <w:pStyle w:val="ListBullet"/>
        <w:spacing w:after="40"/>
        <w:keepLines/>
      </w:pPr>
      <w:r>
        <w:t>Configuración estructurada;</w:t>
      </w:r>
    </w:p>
    <w:p>
      <w:pPr>
        <w:pStyle w:val="ListBullet"/>
        <w:spacing w:after="40"/>
        <w:keepLines/>
      </w:pPr>
      <w:r>
        <w:t>cinco Destinos ordenados (1–5), sus trazas de evidencia y la traza que explica el ranking;</w:t>
      </w:r>
    </w:p>
    <w:p>
      <w:pPr>
        <w:pStyle w:val="ListBullet"/>
        <w:spacing w:after="40"/>
        <w:keepLines/>
      </w:pPr>
      <w:r>
        <w:t>qué Destinos fueron efectivamente mostrados a la mujer;</w:t>
      </w:r>
    </w:p>
    <w:p>
      <w:pPr>
        <w:pStyle w:val="ListBullet"/>
        <w:spacing w:after="40"/>
        <w:keepLines/>
      </w:pPr>
      <w:r>
        <w:t>resonancia inicial;</w:t>
      </w:r>
    </w:p>
    <w:p>
      <w:pPr>
        <w:pStyle w:val="ListBullet"/>
        <w:spacing w:after="40"/>
        <w:keepLines/>
      </w:pPr>
      <w:r>
        <w:t>eventos del Puente.</w:t>
      </w:r>
    </w:p>
    <w:p>
      <w:pPr>
        <w:pStyle w:val="Heading1"/>
        <w:spacing w:before="180" w:after="80"/>
        <w:keepNext/>
      </w:pPr>
      <w:r>
        <w:t>9. Qué cuenta como terminado</w:t>
      </w:r>
    </w:p>
    <w:p>
      <w:pPr>
        <w:spacing w:after="60"/>
      </w:pPr>
      <w:r>
        <w:t>La pieza se considera terminada solo cuando funciona conforme a los criterios de aceptación acordados, queda bajo control de GOZADORAS y se ha completado la entrega documental, jurídica y de conocimiento al mismo estándar de traspaso ofrecido para el MVP gratuito, extendido a Configuración + Destinos + Puente.</w:t>
      </w:r>
    </w:p>
    <w:p>
      <w:pPr>
        <w:spacing w:after="60"/>
      </w:pPr>
      <w:r>
        <w:t>Para esta negociación, “traspaso” no se usa como sinónimo de la sesión grabada. Refiere al conjunto de entrega y transferencia de control/conocimiento asociado a la pieza. El alcance exacto se confirmará con TLL tomando como referencia las condiciones ya ofrecidas para el MVP gratuito.</w:t>
      </w:r>
    </w:p>
    <w:p>
      <w:r>
        <w:t>Antes de aceptar la pieza, los casos de prueba acordados deben demostrar que la Configuración, el orden de los cinco Destinos, sus trazas y el Puente funcionan conforme a las versiones de instrumento/reglas acordadas.</w:t>
      </w:r>
    </w:p>
    <w:p>
      <w:pPr>
        <w:pStyle w:val="Heading1"/>
        <w:spacing w:before="180" w:after="80"/>
        <w:keepNext/>
      </w:pPr>
      <w:r>
        <w:t>10. Qué necesitamos resolver en la reunión</w:t>
      </w:r>
    </w:p>
    <w:p>
      <w:pPr>
        <w:spacing w:after="60"/>
      </w:pPr>
      <w:r>
        <w:t>Con esta definición y el instrumento preliminar como insumo, necesitamos que TLL proponga cómo resolver técnicamente la pieza completa —Configuración + Destinos + Puente—, cuál sería su alcance y condiciones, qué necesitaría de GOZADORAS y cuáles serían el plazo y el precio.</w:t>
      </w:r>
    </w:p>
    <w:p>
      <w:r>
        <w:t>Antes de entrar a alcance/precio, GOZADORAS planteará que, si TLL construye esta pieza completa, deben mantenerse las mismas condiciones de titularidad y traspaso ya ofrecidas para el MVP original. Primero se aclarará qué entiende exactamente TLL por “traspaso”.</w:t>
      </w:r>
    </w:p>
    <w:p>
      <w:pPr>
        <w:spacing w:before="160"/>
      </w:pPr>
      <w:r>
        <w:rPr>
          <w:b/>
          <w:color w:val="7E1F0F"/>
        </w:rPr>
        <w:t xml:space="preserve">Estado del documento: </w:t>
      </w:r>
      <w:r>
        <w:t>PRELIMINAR PARA DIMENSIONAMIENTO. La definición funcional está suficientemente cerrada para dimensionar la ampliación. El instrumento asociado continúa en revisión y puede recibir ajustes antes del freeze de implementación.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GOZADORAS CLUB · Devolución del Mapa de la Vida Erótica · PRELIMINAR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7E1F0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F4C3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7E1F0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3F4C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Devolución del Mapa de la Vida Erótica - PRELIMINAR</dc:title>
  <dc:subject>Configuración, Destinos y Puente</dc:subject>
  <dc:creator>GOZADORAS CLUB</dc:creator>
  <cp:keywords/>
  <dc:description/>
  <cp:lastModifiedBy>GOZADORAS CLUB</cp:lastModifiedBy>
  <cp:revision>1</cp:revision>
  <dcterms:created xsi:type="dcterms:W3CDTF">2013-12-23T23:15:00Z</dcterms:created>
  <dcterms:modified xsi:type="dcterms:W3CDTF">2013-12-23T23:15:00Z</dcterms:modified>
  <cp:category/>
</cp:coreProperties>
</file>